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C1C" w14:textId="63450102" w:rsidR="009659B1" w:rsidRPr="00E03C1E" w:rsidRDefault="009659B1" w:rsidP="00A5020B">
      <w:pPr>
        <w:widowControl w:val="0"/>
        <w:autoSpaceDE w:val="0"/>
        <w:autoSpaceDN w:val="0"/>
        <w:adjustRightInd w:val="0"/>
        <w:ind w:left="-284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6747DAC5" w14:textId="50DC8A6F" w:rsidR="00E03C1E" w:rsidRPr="00E03C1E" w:rsidRDefault="00E03C1E" w:rsidP="00E03C1E">
      <w:pPr>
        <w:spacing w:line="360" w:lineRule="auto"/>
        <w:jc w:val="center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  <w:r w:rsidRPr="00E03C1E"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  <w:u w:val="single"/>
        </w:rPr>
        <w:t>COMUNICATO STAMPA</w:t>
      </w:r>
    </w:p>
    <w:p w14:paraId="4AA0B85E" w14:textId="77777777" w:rsidR="00E03C1E" w:rsidRPr="00E03C1E" w:rsidRDefault="00E03C1E" w:rsidP="00E03C1E">
      <w:pPr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</w:p>
    <w:p w14:paraId="49CB17AE" w14:textId="5F5E8DD5" w:rsidR="00A4474E" w:rsidRDefault="003B5268" w:rsidP="00A4474E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  <w:bookmarkStart w:id="0" w:name="_Hlk3282992"/>
      <w:r>
        <w:rPr>
          <w:rFonts w:ascii="Microsoft Sans Serif" w:eastAsia="Times New Roman" w:hAnsi="Microsoft Sans Serif" w:cs="Microsoft Sans Serif"/>
          <w:b/>
          <w:bCs/>
          <w:color w:val="0E1C30"/>
        </w:rPr>
        <w:t>BANCA CF</w:t>
      </w:r>
      <w:r w:rsidR="00A4474E"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+ </w:t>
      </w:r>
      <w:r w:rsidR="00EF622F"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SIGLA CON </w:t>
      </w:r>
      <w:r w:rsidR="00387734">
        <w:rPr>
          <w:rFonts w:ascii="Microsoft Sans Serif" w:eastAsia="Times New Roman" w:hAnsi="Microsoft Sans Serif" w:cs="Microsoft Sans Serif"/>
          <w:b/>
          <w:bCs/>
          <w:color w:val="0E1C30"/>
        </w:rPr>
        <w:t>SCANDOLARA</w:t>
      </w:r>
      <w:r w:rsidR="00A4474E"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 SPA </w:t>
      </w:r>
    </w:p>
    <w:p w14:paraId="0F5845BB" w14:textId="58208FBC" w:rsidR="00A4474E" w:rsidRDefault="00EF622F" w:rsidP="00A4474E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  <w:r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UN ACCORDO PER L’ACQUISTO DI CREDITI COMMERCIALI PER UN TURNOVER ANNUO DI </w:t>
      </w:r>
      <w:r w:rsidR="007B2695">
        <w:rPr>
          <w:rFonts w:ascii="Microsoft Sans Serif" w:eastAsia="Times New Roman" w:hAnsi="Microsoft Sans Serif" w:cs="Microsoft Sans Serif"/>
          <w:b/>
          <w:bCs/>
          <w:color w:val="0E1C30"/>
        </w:rPr>
        <w:t>30</w:t>
      </w:r>
      <w:r w:rsidR="008842D1"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color w:val="0E1C30"/>
        </w:rPr>
        <w:t xml:space="preserve">MILIONI </w:t>
      </w:r>
    </w:p>
    <w:p w14:paraId="2B32D9A3" w14:textId="77777777" w:rsidR="00E03C1E" w:rsidRPr="00E03C1E" w:rsidRDefault="00E03C1E" w:rsidP="00A4474E">
      <w:pPr>
        <w:spacing w:line="480" w:lineRule="auto"/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p w14:paraId="58D40BB8" w14:textId="77777777" w:rsidR="00E03C1E" w:rsidRPr="00E03C1E" w:rsidRDefault="00E03C1E" w:rsidP="00E03C1E">
      <w:pPr>
        <w:pBdr>
          <w:top w:val="single" w:sz="4" w:space="0" w:color="000000"/>
        </w:pBdr>
        <w:spacing w:after="200" w:line="360" w:lineRule="auto"/>
        <w:jc w:val="both"/>
        <w:rPr>
          <w:rStyle w:val="Nessuno"/>
          <w:rFonts w:ascii="Microsoft Sans Serif" w:eastAsia="Verdana" w:hAnsi="Microsoft Sans Serif" w:cs="Microsoft Sans Serif"/>
          <w:i/>
          <w:iCs/>
          <w:color w:val="0E1C30"/>
          <w:sz w:val="20"/>
          <w:szCs w:val="20"/>
        </w:rPr>
      </w:pPr>
      <w:bookmarkStart w:id="1" w:name="_Hlk56618293"/>
    </w:p>
    <w:p w14:paraId="01C12B49" w14:textId="29CD74BA" w:rsidR="005840EA" w:rsidRPr="00FF25E8" w:rsidRDefault="00E03C1E" w:rsidP="005840EA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Milano,</w:t>
      </w:r>
      <w:r w:rsidR="00542C51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556803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7 settembre</w:t>
      </w:r>
      <w:r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2022 –</w:t>
      </w:r>
      <w:r w:rsidR="00947E00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DE1C84" w:rsidRPr="00FF25E8">
        <w:rPr>
          <w:rFonts w:ascii="Microsoft Sans Serif" w:hAnsi="Microsoft Sans Serif" w:cs="Microsoft Sans Serif"/>
          <w:color w:val="0E1C30"/>
          <w:sz w:val="20"/>
          <w:szCs w:val="20"/>
        </w:rPr>
        <w:t>Banca CF+</w:t>
      </w:r>
      <w:r w:rsidR="003A5AFF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3A5AFF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(</w:t>
      </w:r>
      <w:hyperlink r:id="rId8" w:history="1">
        <w:r w:rsidR="00215B4D" w:rsidRPr="00FF25E8">
          <w:rPr>
            <w:rStyle w:val="Collegamentoipertestuale"/>
            <w:rFonts w:ascii="Microsoft Sans Serif" w:hAnsi="Microsoft Sans Serif" w:cs="Microsoft Sans Serif"/>
            <w:sz w:val="20"/>
            <w:szCs w:val="20"/>
          </w:rPr>
          <w:t>www.bancacfplus.it</w:t>
        </w:r>
      </w:hyperlink>
      <w:r w:rsidR="00215B4D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)</w:t>
      </w:r>
      <w:r w:rsidR="003A5AFF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, </w:t>
      </w:r>
      <w:r w:rsidR="00A4474E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istituto specializzato in soluzioni di finanziamento alle imprese in situazione </w:t>
      </w:r>
      <w:proofErr w:type="spellStart"/>
      <w:r w:rsidR="00A4474E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performing</w:t>
      </w:r>
      <w:proofErr w:type="spellEnd"/>
      <w:r w:rsidR="00A4474E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o re-</w:t>
      </w:r>
      <w:proofErr w:type="spellStart"/>
      <w:r w:rsidR="00A4474E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performing</w:t>
      </w:r>
      <w:proofErr w:type="spellEnd"/>
      <w:r w:rsidR="003A5AFF"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,</w:t>
      </w:r>
      <w:r w:rsidR="00DE1C84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5840EA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ha sottoscritto un accordo </w:t>
      </w:r>
      <w:r w:rsidR="003A5AFF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per la fornitura di servizi di factoring con 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>Scandolara</w:t>
      </w:r>
      <w:r w:rsidR="00846CDC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S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  <w:r w:rsidR="00846CDC" w:rsidRPr="00FF25E8">
        <w:rPr>
          <w:rFonts w:ascii="Microsoft Sans Serif" w:hAnsi="Microsoft Sans Serif" w:cs="Microsoft Sans Serif"/>
          <w:color w:val="0E1C30"/>
          <w:sz w:val="20"/>
          <w:szCs w:val="20"/>
        </w:rPr>
        <w:t>p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>.A.</w:t>
      </w:r>
      <w:r w:rsidR="00846CDC" w:rsidRPr="00FF25E8">
        <w:rPr>
          <w:rFonts w:ascii="Microsoft Sans Serif" w:hAnsi="Microsoft Sans Serif" w:cs="Microsoft Sans Serif"/>
          <w:color w:val="0E1C30"/>
          <w:sz w:val="20"/>
          <w:szCs w:val="20"/>
        </w:rPr>
        <w:t>,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società leader nell’ambito della produzione di </w:t>
      </w:r>
      <w:r w:rsidR="002D266D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packaging </w:t>
      </w:r>
      <w:r w:rsidR="0051716A">
        <w:rPr>
          <w:rFonts w:ascii="Microsoft Sans Serif" w:hAnsi="Microsoft Sans Serif" w:cs="Microsoft Sans Serif"/>
          <w:color w:val="0E1C30"/>
          <w:sz w:val="20"/>
          <w:szCs w:val="20"/>
        </w:rPr>
        <w:t xml:space="preserve">primario in alluminio e in 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>polietilene per il confezionamento di prodotti farmaceutici, cosmetic</w:t>
      </w:r>
      <w:r w:rsidR="0051716A">
        <w:rPr>
          <w:rFonts w:ascii="Microsoft Sans Serif" w:hAnsi="Microsoft Sans Serif" w:cs="Microsoft Sans Serif"/>
          <w:color w:val="0E1C30"/>
          <w:sz w:val="20"/>
          <w:szCs w:val="20"/>
        </w:rPr>
        <w:t>i e</w:t>
      </w:r>
      <w:r w:rsidR="006E7148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alimentari</w:t>
      </w:r>
      <w:r w:rsidR="00114CE0" w:rsidRPr="00FF25E8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</w:p>
    <w:p w14:paraId="5E6511A3" w14:textId="1146967D" w:rsidR="00F26996" w:rsidRDefault="00432BAF" w:rsidP="00EF2413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>L</w:t>
      </w:r>
      <w:r w:rsidR="00C67136" w:rsidRPr="00FF25E8">
        <w:rPr>
          <w:rFonts w:ascii="Microsoft Sans Serif" w:hAnsi="Microsoft Sans Serif" w:cs="Microsoft Sans Serif"/>
          <w:color w:val="0E1C30"/>
          <w:sz w:val="20"/>
          <w:szCs w:val="20"/>
        </w:rPr>
        <w:t>’accordo</w:t>
      </w:r>
      <w:r w:rsidR="00A564BD">
        <w:rPr>
          <w:rFonts w:ascii="Microsoft Sans Serif" w:hAnsi="Microsoft Sans Serif" w:cs="Microsoft Sans Serif"/>
          <w:color w:val="0E1C30"/>
          <w:sz w:val="20"/>
          <w:szCs w:val="20"/>
        </w:rPr>
        <w:t>, siglato con l’obiettivo di</w:t>
      </w:r>
      <w:r w:rsidR="00215B4D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C47804" w:rsidRPr="00FF25E8">
        <w:rPr>
          <w:rFonts w:ascii="Microsoft Sans Serif" w:hAnsi="Microsoft Sans Serif" w:cs="Microsoft Sans Serif"/>
          <w:color w:val="0E1C30"/>
          <w:sz w:val="20"/>
          <w:szCs w:val="20"/>
        </w:rPr>
        <w:t>finanziare</w:t>
      </w:r>
      <w:r w:rsidR="00215B4D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i</w:t>
      </w:r>
      <w:r w:rsidR="00C43C5E" w:rsidRPr="00FF25E8">
        <w:rPr>
          <w:rFonts w:ascii="Microsoft Sans Serif" w:hAnsi="Microsoft Sans Serif" w:cs="Microsoft Sans Serif"/>
          <w:color w:val="0E1C30"/>
          <w:sz w:val="20"/>
          <w:szCs w:val="20"/>
        </w:rPr>
        <w:t>l capitale circolante,</w:t>
      </w:r>
      <w:r w:rsidR="005840EA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>prevede un</w:t>
      </w:r>
      <w:r w:rsidR="001A6BD2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’operazione di factoring pro soluto 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verso un portafoglio di debitori ceduti </w:t>
      </w:r>
      <w:r w:rsidR="00A564BD">
        <w:rPr>
          <w:rFonts w:ascii="Microsoft Sans Serif" w:hAnsi="Microsoft Sans Serif" w:cs="Microsoft Sans Serif"/>
          <w:color w:val="0E1C30"/>
          <w:sz w:val="20"/>
          <w:szCs w:val="20"/>
        </w:rPr>
        <w:t>costituito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per la maggior parte da grandi gruppi nazional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>i</w:t>
      </w:r>
      <w:r w:rsidR="00866855">
        <w:rPr>
          <w:rFonts w:ascii="Microsoft Sans Serif" w:hAnsi="Microsoft Sans Serif" w:cs="Microsoft Sans Serif"/>
          <w:color w:val="0E1C30"/>
          <w:sz w:val="20"/>
          <w:szCs w:val="20"/>
        </w:rPr>
        <w:t xml:space="preserve">, tra cui </w:t>
      </w:r>
      <w:r w:rsidR="0051716A">
        <w:rPr>
          <w:rFonts w:ascii="Microsoft Sans Serif" w:hAnsi="Microsoft Sans Serif" w:cs="Microsoft Sans Serif"/>
          <w:color w:val="0E1C30"/>
          <w:sz w:val="20"/>
          <w:szCs w:val="20"/>
        </w:rPr>
        <w:t xml:space="preserve">spiccano anche società quotate o partecipate da grandi fondi di investimento, 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per un 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ammontare 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>complessivo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di </w:t>
      </w:r>
      <w:r w:rsidR="007B2695">
        <w:rPr>
          <w:rFonts w:ascii="Microsoft Sans Serif" w:hAnsi="Microsoft Sans Serif" w:cs="Microsoft Sans Serif"/>
          <w:color w:val="0E1C30"/>
          <w:sz w:val="20"/>
          <w:szCs w:val="20"/>
        </w:rPr>
        <w:t>30</w:t>
      </w:r>
      <w:r w:rsidR="008842D1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AC7DD0" w:rsidRPr="00FF25E8">
        <w:rPr>
          <w:rFonts w:ascii="Microsoft Sans Serif" w:hAnsi="Microsoft Sans Serif" w:cs="Microsoft Sans Serif"/>
          <w:color w:val="0E1C30"/>
          <w:sz w:val="20"/>
          <w:szCs w:val="20"/>
        </w:rPr>
        <w:t>milioni di Euro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1A3A44"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di 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>turnover.</w:t>
      </w:r>
    </w:p>
    <w:p w14:paraId="2704EBEC" w14:textId="53EB34E1" w:rsidR="00B5752A" w:rsidRDefault="001A6BD2" w:rsidP="00E9243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B5752A">
        <w:rPr>
          <w:rFonts w:ascii="Microsoft Sans Serif" w:hAnsi="Microsoft Sans Serif" w:cs="Microsoft Sans Serif"/>
          <w:color w:val="0E1C30"/>
          <w:sz w:val="20"/>
          <w:szCs w:val="20"/>
        </w:rPr>
        <w:t xml:space="preserve">Il finanziamento di Banca CF+ </w:t>
      </w:r>
      <w:r w:rsidR="00B5752A" w:rsidRPr="00B5752A">
        <w:rPr>
          <w:rFonts w:ascii="Microsoft Sans Serif" w:hAnsi="Microsoft Sans Serif" w:cs="Microsoft Sans Serif"/>
          <w:color w:val="0E1C30"/>
          <w:sz w:val="20"/>
          <w:szCs w:val="20"/>
        </w:rPr>
        <w:t>consentirà</w:t>
      </w:r>
      <w:r w:rsidRPr="00B5752A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B5752A">
        <w:rPr>
          <w:rFonts w:ascii="Microsoft Sans Serif" w:hAnsi="Microsoft Sans Serif" w:cs="Microsoft Sans Serif"/>
          <w:color w:val="0E1C30"/>
          <w:sz w:val="20"/>
          <w:szCs w:val="20"/>
        </w:rPr>
        <w:t xml:space="preserve">alla società </w:t>
      </w:r>
      <w:r w:rsidRPr="00B5752A">
        <w:rPr>
          <w:rFonts w:ascii="Microsoft Sans Serif" w:hAnsi="Microsoft Sans Serif" w:cs="Microsoft Sans Serif"/>
          <w:color w:val="0E1C30"/>
          <w:sz w:val="20"/>
          <w:szCs w:val="20"/>
        </w:rPr>
        <w:t>di valorizzare le prospettive di rilancio e la solidità del piano</w:t>
      </w:r>
      <w:r w:rsidR="00B54FD1">
        <w:rPr>
          <w:rFonts w:ascii="Microsoft Sans Serif" w:hAnsi="Microsoft Sans Serif" w:cs="Microsoft Sans Serif"/>
          <w:color w:val="0E1C30"/>
          <w:sz w:val="20"/>
          <w:szCs w:val="20"/>
        </w:rPr>
        <w:t xml:space="preserve"> di sviluppo</w:t>
      </w:r>
      <w:r w:rsidR="00B5752A">
        <w:rPr>
          <w:rFonts w:ascii="Microsoft Sans Serif" w:hAnsi="Microsoft Sans Serif" w:cs="Microsoft Sans Serif"/>
          <w:color w:val="0E1C30"/>
          <w:sz w:val="20"/>
          <w:szCs w:val="20"/>
        </w:rPr>
        <w:t xml:space="preserve">, in un momento reso particolarmente complesso anche dagli impatti </w:t>
      </w:r>
      <w:r w:rsidR="002C55C4">
        <w:rPr>
          <w:rFonts w:ascii="Microsoft Sans Serif" w:hAnsi="Microsoft Sans Serif" w:cs="Microsoft Sans Serif"/>
          <w:color w:val="0E1C30"/>
          <w:sz w:val="20"/>
          <w:szCs w:val="20"/>
        </w:rPr>
        <w:t xml:space="preserve">del contesto pandemico </w:t>
      </w:r>
      <w:r w:rsidR="0051716A">
        <w:rPr>
          <w:rFonts w:ascii="Microsoft Sans Serif" w:hAnsi="Microsoft Sans Serif" w:cs="Microsoft Sans Serif"/>
          <w:color w:val="0E1C30"/>
          <w:sz w:val="20"/>
          <w:szCs w:val="20"/>
        </w:rPr>
        <w:t>e</w:t>
      </w:r>
      <w:r w:rsidR="004D1136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51716A">
        <w:rPr>
          <w:rFonts w:ascii="Microsoft Sans Serif" w:hAnsi="Microsoft Sans Serif" w:cs="Microsoft Sans Serif"/>
          <w:color w:val="0E1C30"/>
          <w:sz w:val="20"/>
          <w:szCs w:val="20"/>
        </w:rPr>
        <w:t>inflattivo.</w:t>
      </w:r>
    </w:p>
    <w:p w14:paraId="5B312DFC" w14:textId="364FC043" w:rsidR="009D0BA6" w:rsidRDefault="009D0BA6" w:rsidP="00E9243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9D0BA6">
        <w:rPr>
          <w:rFonts w:ascii="Microsoft Sans Serif" w:hAnsi="Microsoft Sans Serif" w:cs="Microsoft Sans Serif"/>
          <w:color w:val="0E1C30"/>
          <w:sz w:val="20"/>
          <w:szCs w:val="20"/>
        </w:rPr>
        <w:t>Fondata nel 1919 a Tradate (VA), Scandolara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215B4D" w:rsidRPr="00EF2413">
        <w:rPr>
          <w:rFonts w:ascii="Microsoft Sans Serif" w:hAnsi="Microsoft Sans Serif" w:cs="Microsoft Sans Serif"/>
          <w:color w:val="0E1C30"/>
          <w:sz w:val="20"/>
          <w:szCs w:val="20"/>
        </w:rPr>
        <w:t>S.p.A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 xml:space="preserve">. 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>vanta</w:t>
      </w:r>
      <w:r w:rsidRPr="009D0BA6">
        <w:rPr>
          <w:rFonts w:ascii="Microsoft Sans Serif" w:hAnsi="Microsoft Sans Serif" w:cs="Microsoft Sans Serif"/>
          <w:color w:val="0E1C30"/>
          <w:sz w:val="20"/>
          <w:szCs w:val="20"/>
        </w:rPr>
        <w:t xml:space="preserve"> un’offerta completa e un’organizzazione in grado di combinare innovazione, flessibilità operativa ed efficienza logistica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9D0BA6">
        <w:rPr>
          <w:rFonts w:ascii="Microsoft Sans Serif" w:hAnsi="Microsoft Sans Serif" w:cs="Microsoft Sans Serif"/>
          <w:color w:val="0E1C30"/>
          <w:sz w:val="20"/>
          <w:szCs w:val="20"/>
        </w:rPr>
        <w:t>nell’ambito della produzione di tubetti di alluminio e di plastica, da personalizzare con finiture e complementi ad hoc.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076318" w:rsidRPr="002243AC">
        <w:rPr>
          <w:rFonts w:ascii="Microsoft Sans Serif" w:hAnsi="Microsoft Sans Serif" w:cs="Microsoft Sans Serif"/>
          <w:color w:val="0E1C30"/>
          <w:sz w:val="20"/>
          <w:szCs w:val="20"/>
        </w:rPr>
        <w:t>A partire dal 20</w:t>
      </w:r>
      <w:r w:rsidR="008842D1" w:rsidRPr="002243AC">
        <w:rPr>
          <w:rFonts w:ascii="Microsoft Sans Serif" w:hAnsi="Microsoft Sans Serif" w:cs="Microsoft Sans Serif"/>
          <w:color w:val="0E1C30"/>
          <w:sz w:val="20"/>
          <w:szCs w:val="20"/>
        </w:rPr>
        <w:t>20</w:t>
      </w:r>
      <w:r w:rsidR="00076318">
        <w:rPr>
          <w:rFonts w:ascii="Microsoft Sans Serif" w:hAnsi="Microsoft Sans Serif" w:cs="Microsoft Sans Serif"/>
          <w:color w:val="0E1C30"/>
          <w:sz w:val="20"/>
          <w:szCs w:val="20"/>
        </w:rPr>
        <w:t xml:space="preserve">, l’azienda 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ha attuato una strategia di riorganizzazione industriale 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>per il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potenziamento della produzione, concentrando le attività 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>nei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 xml:space="preserve">comparti </w:t>
      </w:r>
      <w:proofErr w:type="spellStart"/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>p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>harma</w:t>
      </w:r>
      <w:proofErr w:type="spellEnd"/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, 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>c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osmetico e </w:t>
      </w:r>
      <w:r w:rsidR="00215B4D">
        <w:rPr>
          <w:rFonts w:ascii="Microsoft Sans Serif" w:hAnsi="Microsoft Sans Serif" w:cs="Microsoft Sans Serif"/>
          <w:color w:val="0E1C30"/>
          <w:sz w:val="20"/>
          <w:szCs w:val="20"/>
        </w:rPr>
        <w:t>f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>ood nella storica sede produttiva di Ascoli Picen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>o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La società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>, inoltre, ha ampliato la propria attività puntando a nuove specializzazioni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, ad esempio nell’area 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alto di gamma 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>beauty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e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in quella degli</w:t>
      </w:r>
      <w:r w:rsidR="00E92430" w:rsidRP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imballaggi sostenibili.</w:t>
      </w:r>
    </w:p>
    <w:p w14:paraId="2C6F4193" w14:textId="4A03C62F" w:rsidR="00260423" w:rsidRPr="00A564BD" w:rsidRDefault="007E0175" w:rsidP="00556803">
      <w:pPr>
        <w:spacing w:after="200"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</w:pP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Grazie a questo nuovo accordo, </w:t>
      </w:r>
      <w:r w:rsidR="00E92430" w:rsidRPr="009D0BA6">
        <w:rPr>
          <w:rFonts w:ascii="Microsoft Sans Serif" w:hAnsi="Microsoft Sans Serif" w:cs="Microsoft Sans Serif"/>
          <w:color w:val="0E1C30"/>
          <w:sz w:val="20"/>
          <w:szCs w:val="20"/>
        </w:rPr>
        <w:t>Scandolara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9D0637">
        <w:rPr>
          <w:rFonts w:ascii="Microsoft Sans Serif" w:hAnsi="Microsoft Sans Serif" w:cs="Microsoft Sans Serif"/>
          <w:color w:val="0E1C30"/>
          <w:sz w:val="20"/>
          <w:szCs w:val="20"/>
        </w:rPr>
        <w:t>S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  <w:r w:rsidR="009D0637">
        <w:rPr>
          <w:rFonts w:ascii="Microsoft Sans Serif" w:hAnsi="Microsoft Sans Serif" w:cs="Microsoft Sans Serif"/>
          <w:color w:val="0E1C30"/>
          <w:sz w:val="20"/>
          <w:szCs w:val="20"/>
        </w:rPr>
        <w:t>p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>.A.</w:t>
      </w:r>
      <w:r w:rsidR="009D0637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 xml:space="preserve">potrà </w:t>
      </w:r>
      <w:r w:rsidR="00E92430" w:rsidRPr="00EF2413">
        <w:rPr>
          <w:rFonts w:ascii="Microsoft Sans Serif" w:hAnsi="Microsoft Sans Serif" w:cs="Microsoft Sans Serif"/>
          <w:color w:val="0E1C30"/>
          <w:sz w:val="20"/>
          <w:szCs w:val="20"/>
        </w:rPr>
        <w:t xml:space="preserve">ottenere </w:t>
      </w:r>
      <w:r w:rsidR="00E92430">
        <w:rPr>
          <w:rFonts w:ascii="Microsoft Sans Serif" w:hAnsi="Microsoft Sans Serif" w:cs="Microsoft Sans Serif"/>
          <w:color w:val="0E1C30"/>
          <w:sz w:val="20"/>
          <w:szCs w:val="20"/>
        </w:rPr>
        <w:t>la liquidità</w:t>
      </w:r>
      <w:r w:rsidR="00E92430" w:rsidRPr="00EF2413">
        <w:rPr>
          <w:rFonts w:ascii="Microsoft Sans Serif" w:hAnsi="Microsoft Sans Serif" w:cs="Microsoft Sans Serif"/>
          <w:color w:val="0E1C30"/>
          <w:sz w:val="20"/>
          <w:szCs w:val="20"/>
        </w:rPr>
        <w:t xml:space="preserve"> necessaria per </w:t>
      </w:r>
      <w:r w:rsidR="009C4A31">
        <w:rPr>
          <w:rFonts w:ascii="Microsoft Sans Serif" w:hAnsi="Microsoft Sans Serif" w:cs="Microsoft Sans Serif"/>
          <w:color w:val="0E1C30"/>
          <w:sz w:val="20"/>
          <w:szCs w:val="20"/>
        </w:rPr>
        <w:t xml:space="preserve">rafforzare la propria posizione economica e </w:t>
      </w:r>
      <w:r w:rsidR="00011FBA">
        <w:rPr>
          <w:rFonts w:ascii="Microsoft Sans Serif" w:hAnsi="Microsoft Sans Serif" w:cs="Microsoft Sans Serif"/>
          <w:color w:val="0E1C30"/>
          <w:sz w:val="20"/>
          <w:szCs w:val="20"/>
        </w:rPr>
        <w:t>proseguire nel proprio piano di sviluppo e crescita</w:t>
      </w:r>
      <w:r w:rsidR="00E92430" w:rsidRPr="00EF2413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</w:p>
    <w:p w14:paraId="6A190A40" w14:textId="069323E5" w:rsidR="00A564BD" w:rsidRPr="00E3226F" w:rsidRDefault="00260423" w:rsidP="00556803">
      <w:pPr>
        <w:spacing w:line="360" w:lineRule="auto"/>
        <w:jc w:val="both"/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  <w:bookmarkStart w:id="2" w:name="_Hlk110254767"/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“Siamo orgog</w:t>
      </w:r>
      <w:r w:rsidR="00C921ED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l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iosi di supportare una realtà storica come Scandolara” commenta </w:t>
      </w:r>
      <w:r w:rsidR="00B57B81" w:rsidRPr="00E3226F">
        <w:rPr>
          <w:rStyle w:val="Nessuno"/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>Iacopo De Francisco</w:t>
      </w:r>
      <w:r w:rsidR="007F1023" w:rsidRPr="00E3226F">
        <w:rPr>
          <w:rStyle w:val="Nessuno"/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 xml:space="preserve">, </w:t>
      </w:r>
      <w:r w:rsidR="00B57B81" w:rsidRPr="00E3226F">
        <w:rPr>
          <w:rStyle w:val="Nessuno"/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 xml:space="preserve">CEO e Direttore Generale </w:t>
      </w:r>
      <w:r w:rsidR="007F1023" w:rsidRPr="00E3226F">
        <w:rPr>
          <w:rStyle w:val="Nessuno"/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>di Banca CF+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. “</w:t>
      </w:r>
      <w:r w:rsidR="009F08B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Grazie alla</w:t>
      </w:r>
      <w:r w:rsidR="00241C1C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nostra piattaforma di Digital Factoring – che dalla sua nascita ad oggi ha gestito quasi 2 miliardi di euro di crediti - </w:t>
      </w:r>
      <w:r w:rsidR="009F08B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Scandolara può contare su una visibilità estremamente granulare della propria posizione per una pronta </w:t>
      </w:r>
      <w:proofErr w:type="spellStart"/>
      <w:r w:rsidR="009F08B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derecognition</w:t>
      </w:r>
      <w:proofErr w:type="spellEnd"/>
      <w:r w:rsidR="009F08B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dei crediti </w:t>
      </w:r>
      <w:r w:rsidR="00A20FBB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e su tempi di erogazione </w:t>
      </w:r>
      <w:r w:rsidR="00A20FBB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lastRenderedPageBreak/>
        <w:t>rapidi</w:t>
      </w:r>
      <w:r w:rsidR="008F34C2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ssimi. </w:t>
      </w:r>
      <w:r w:rsidR="009F08B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Sono certo che il </w:t>
      </w:r>
      <w:r w:rsidR="0020348A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f</w:t>
      </w:r>
      <w:r w:rsidR="00A564BD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inanziamento di Banca CF+</w:t>
      </w:r>
      <w:r w:rsidR="0020348A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A564BD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consentirà al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l’azienda </w:t>
      </w:r>
      <w:r w:rsidR="00A564BD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di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20348A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affrontare </w:t>
      </w:r>
      <w:r w:rsidR="00B35B07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al meglio il percorso di rilancio</w:t>
      </w:r>
      <w:r w:rsidR="0020348A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7F1023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e di esprimere 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appieno il suo </w:t>
      </w:r>
      <w:r w:rsidR="007F1023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elevato 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potenziale</w:t>
      </w:r>
      <w:r w:rsidR="00894D0A"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.</w:t>
      </w: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”</w:t>
      </w:r>
    </w:p>
    <w:bookmarkEnd w:id="2"/>
    <w:p w14:paraId="6D41C1F7" w14:textId="1929737D" w:rsidR="00B57B81" w:rsidRPr="00E3226F" w:rsidRDefault="00B57B81" w:rsidP="00556803">
      <w:pPr>
        <w:spacing w:line="360" w:lineRule="auto"/>
        <w:jc w:val="both"/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bookmarkEnd w:id="0"/>
    <w:bookmarkEnd w:id="1"/>
    <w:p w14:paraId="4478C6AD" w14:textId="77777777" w:rsidR="005D793C" w:rsidRDefault="005D793C" w:rsidP="00556803">
      <w:pPr>
        <w:spacing w:line="360" w:lineRule="auto"/>
        <w:jc w:val="both"/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  <w:r w:rsidRPr="00E3226F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>Il costante contatto con il management</w:t>
      </w:r>
      <w:r w:rsidRPr="005D793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di Scandolara e la profonda conoscenza del mercato ci hanno consentito di affiancare l’azienda nella fase particolarmente strategica del rilancio e di costruire una soluzione “su misura” sulle specifiche esigenze dell’impresa” continua </w:t>
      </w:r>
      <w:r w:rsidRPr="005D793C">
        <w:rPr>
          <w:rStyle w:val="Nessuno"/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>Alberico Potenza, Co-Head of Factoring di Banca CF+.</w:t>
      </w:r>
    </w:p>
    <w:p w14:paraId="5B0B95EC" w14:textId="77777777" w:rsidR="002243AC" w:rsidRDefault="002243AC" w:rsidP="00556803">
      <w:pPr>
        <w:pStyle w:val="xmsonormal"/>
        <w:jc w:val="both"/>
      </w:pPr>
      <w:r>
        <w:rPr>
          <w:rFonts w:ascii="Microsoft Sans Serif" w:hAnsi="Microsoft Sans Serif" w:cs="Microsoft Sans Serif"/>
          <w:color w:val="1C1230"/>
          <w:sz w:val="20"/>
          <w:szCs w:val="20"/>
        </w:rPr>
        <w:t> </w:t>
      </w:r>
    </w:p>
    <w:p w14:paraId="66835427" w14:textId="356C0C12" w:rsidR="002243AC" w:rsidRPr="000738A1" w:rsidRDefault="002243AC" w:rsidP="00556803">
      <w:pPr>
        <w:pStyle w:val="xmsonormal"/>
        <w:spacing w:line="360" w:lineRule="auto"/>
        <w:jc w:val="both"/>
        <w:rPr>
          <w:b/>
        </w:rPr>
      </w:pP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“Questo accordo rappresenta un passaggio molto importante nel percorso di rilancio di Scandolara. Siamo certi che </w:t>
      </w:r>
      <w:r w:rsidR="00DF1A5D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questa</w:t>
      </w: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 partnership possa dare un supporto concreto al conseguimento degli obiettivi di sviluppo della Società. </w:t>
      </w:r>
      <w:r w:rsidR="00A429F0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Siamo molto soddisfatti della collaborazione</w:t>
      </w: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 con una realtà </w:t>
      </w:r>
      <w:r w:rsidR="004B340B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tecnologicamente evoluta </w:t>
      </w:r>
      <w:r w:rsidR="001C753A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come Banca CF+ </w:t>
      </w:r>
      <w:r w:rsidR="00180090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che ha messo a nostra disposizione</w:t>
      </w:r>
      <w:r w:rsidR="0010368B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, non solo </w:t>
      </w: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elevate competenze specialistiche, </w:t>
      </w:r>
      <w:r w:rsidR="0010368B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ma anche </w:t>
      </w:r>
      <w:r w:rsidR="00E8691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tempismo e</w:t>
      </w:r>
      <w:r w:rsidR="00EE24E2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 rapidità nella gestione di tutte le fasi </w:t>
      </w:r>
      <w:r w:rsidR="00E8691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dell'</w:t>
      </w:r>
      <w:r w:rsidR="00D61A71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operazione </w:t>
      </w:r>
      <w:r w:rsidR="00EE24E2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fino </w:t>
      </w:r>
      <w:r w:rsidR="00E8691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all’</w:t>
      </w: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erogazione del credito</w:t>
      </w:r>
      <w:r w:rsidR="001C753A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 xml:space="preserve">” </w:t>
      </w:r>
      <w:r w:rsidRPr="002243AC">
        <w:rPr>
          <w:rStyle w:val="Nessuno"/>
          <w:rFonts w:ascii="Microsoft Sans Serif" w:hAnsi="Microsoft Sans Serif" w:cs="Microsoft Sans Serif"/>
          <w:i/>
          <w:iCs/>
          <w:color w:val="0E1C30"/>
          <w:sz w:val="20"/>
          <w:szCs w:val="20"/>
          <w:lang w:eastAsia="en-US"/>
        </w:rPr>
        <w:t>dichiara</w:t>
      </w:r>
      <w:r>
        <w:rPr>
          <w:rFonts w:ascii="Microsoft Sans Serif" w:hAnsi="Microsoft Sans Serif" w:cs="Microsoft Sans Serif"/>
          <w:color w:val="1C123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bCs/>
          <w:color w:val="1C1230"/>
          <w:sz w:val="20"/>
          <w:szCs w:val="20"/>
        </w:rPr>
        <w:t>Maurizio</w:t>
      </w:r>
      <w:r w:rsidRPr="0051716A">
        <w:rPr>
          <w:rFonts w:ascii="Microsoft Sans Serif" w:hAnsi="Microsoft Sans Serif" w:cs="Microsoft Sans Serif"/>
          <w:b/>
          <w:color w:val="1C1230"/>
          <w:sz w:val="20"/>
          <w:szCs w:val="20"/>
        </w:rPr>
        <w:t xml:space="preserve"> Ria</w:t>
      </w:r>
      <w:r w:rsidR="0051716A">
        <w:rPr>
          <w:rFonts w:ascii="Microsoft Sans Serif" w:hAnsi="Microsoft Sans Serif" w:cs="Microsoft Sans Serif"/>
          <w:bCs/>
          <w:color w:val="1C1230"/>
          <w:sz w:val="20"/>
          <w:szCs w:val="20"/>
        </w:rPr>
        <w:t xml:space="preserve">, </w:t>
      </w:r>
      <w:r w:rsidR="00283EE0" w:rsidRP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>MD di Duke &amp;</w:t>
      </w:r>
      <w:r w:rsidR="00D4406C">
        <w:rPr>
          <w:rFonts w:ascii="Microsoft Sans Serif" w:hAnsi="Microsoft Sans Serif" w:cs="Microsoft Sans Serif"/>
          <w:b/>
          <w:color w:val="1C1230"/>
          <w:sz w:val="20"/>
          <w:szCs w:val="20"/>
        </w:rPr>
        <w:t xml:space="preserve"> </w:t>
      </w:r>
      <w:proofErr w:type="spellStart"/>
      <w:r w:rsidR="00283EE0" w:rsidRP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>Kay</w:t>
      </w:r>
      <w:proofErr w:type="spellEnd"/>
      <w:r w:rsidR="00283EE0" w:rsidRP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 xml:space="preserve"> Italia nonché consigl</w:t>
      </w:r>
      <w:r w:rsid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>i</w:t>
      </w:r>
      <w:r w:rsidR="00283EE0" w:rsidRP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>ere di amministrazione in</w:t>
      </w:r>
      <w:r w:rsidRPr="000738A1">
        <w:rPr>
          <w:rFonts w:ascii="Microsoft Sans Serif" w:hAnsi="Microsoft Sans Serif" w:cs="Microsoft Sans Serif"/>
          <w:b/>
          <w:color w:val="1C1230"/>
          <w:sz w:val="20"/>
          <w:szCs w:val="20"/>
        </w:rPr>
        <w:t xml:space="preserve"> Scandolara S.p.A.</w:t>
      </w:r>
    </w:p>
    <w:p w14:paraId="574038B4" w14:textId="77777777" w:rsidR="002243AC" w:rsidRDefault="002243AC" w:rsidP="00556803">
      <w:pPr>
        <w:pStyle w:val="xmsonormal"/>
        <w:jc w:val="both"/>
      </w:pPr>
      <w:r>
        <w:rPr>
          <w:rFonts w:ascii="Microsoft Sans Serif" w:hAnsi="Microsoft Sans Serif" w:cs="Microsoft Sans Serif"/>
          <w:color w:val="1C1230"/>
          <w:sz w:val="20"/>
          <w:szCs w:val="20"/>
        </w:rPr>
        <w:t> </w:t>
      </w:r>
    </w:p>
    <w:p w14:paraId="60B4957C" w14:textId="77777777" w:rsidR="004913E7" w:rsidRPr="00E03C1E" w:rsidRDefault="004913E7" w:rsidP="00E03C1E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</w:rPr>
      </w:pPr>
    </w:p>
    <w:p w14:paraId="24F6A7CF" w14:textId="77777777" w:rsidR="00A05C25" w:rsidRPr="00A05C25" w:rsidRDefault="00A05C25" w:rsidP="00A05C25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</w:pPr>
      <w:r w:rsidRPr="00A05C25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>Banca CF+</w:t>
      </w:r>
    </w:p>
    <w:p w14:paraId="25907ECD" w14:textId="77777777" w:rsidR="00A05C25" w:rsidRPr="00A05C25" w:rsidRDefault="00A05C25" w:rsidP="00A05C25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Banca CF+ nasce dall’articolata riorganizzazione societaria del Gruppo Credito Fondiario.</w:t>
      </w:r>
    </w:p>
    <w:p w14:paraId="68DBC16F" w14:textId="77777777" w:rsidR="00556803" w:rsidRPr="00A05C25" w:rsidRDefault="00A05C25" w:rsidP="00A05C25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E’ una challenger bank interamente dedicata alle imprese, specializzata in soluzioni di finanziamento ad aziende in situazioni </w:t>
      </w:r>
      <w:proofErr w:type="spellStart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e re-</w:t>
      </w:r>
      <w:proofErr w:type="spellStart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. Si focalizza su tre prodotti di credito specializzato: factoring, acquisto crediti fiscali e finanziamenti a breve e medio termine di imprese con esigenze strutturali e di </w:t>
      </w:r>
      <w:proofErr w:type="spellStart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liquid</w:t>
      </w:r>
      <w:proofErr w:type="spellEnd"/>
    </w:p>
    <w:p w14:paraId="335D46B4" w14:textId="69151537" w:rsidR="00A05C25" w:rsidRPr="00A05C25" w:rsidRDefault="00A05C25" w:rsidP="00A05C25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proofErr w:type="spellStart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ità</w:t>
      </w:r>
      <w:proofErr w:type="spellEnd"/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, anche assistiti dai fondi centrali di garanzia.  La rapidità è il cardine dell’offerta di Banca CF+. Attraverso una piattaforma tecnologica evoluta garantisce processi di interazione con l’azienda, di erogazione e di gestione del credito semplici e tempestivi.</w:t>
      </w:r>
    </w:p>
    <w:p w14:paraId="0AA8DA00" w14:textId="1C6E4521" w:rsidR="00E03C1E" w:rsidRPr="00A05C25" w:rsidRDefault="00A05C25" w:rsidP="00A05C25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A05C25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Banca CF+ gestisce il conto deposito online Esagon.</w:t>
      </w:r>
    </w:p>
    <w:p w14:paraId="46E0D583" w14:textId="77777777" w:rsidR="00A05C25" w:rsidRDefault="00A05C25" w:rsidP="00E03C1E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bookmarkStart w:id="3" w:name="_Hlk277168"/>
    </w:p>
    <w:bookmarkEnd w:id="3"/>
    <w:p w14:paraId="52BC9572" w14:textId="77777777" w:rsidR="004274CF" w:rsidRPr="00674A1A" w:rsidRDefault="004274CF" w:rsidP="004274CF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</w:rPr>
      </w:pPr>
      <w:r w:rsidRPr="00674A1A"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</w:rPr>
        <w:t>Per ulteriori informazioni:</w:t>
      </w:r>
    </w:p>
    <w:tbl>
      <w:tblPr>
        <w:tblStyle w:val="Grigliatabellachiara"/>
        <w:tblpPr w:leftFromText="141" w:rightFromText="141" w:vertAnchor="text" w:horzAnchor="margin" w:tblpY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556803" w:rsidRPr="00556803" w14:paraId="5A8C5881" w14:textId="77777777" w:rsidTr="00556803">
        <w:tc>
          <w:tcPr>
            <w:tcW w:w="3681" w:type="dxa"/>
          </w:tcPr>
          <w:p w14:paraId="3C2E1C6E" w14:textId="77777777" w:rsidR="00556803" w:rsidRPr="00556803" w:rsidRDefault="00556803" w:rsidP="00556803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  <w:t>Banca CF+</w:t>
            </w:r>
          </w:p>
          <w:p w14:paraId="500589E4" w14:textId="77777777" w:rsidR="00556803" w:rsidRPr="00556803" w:rsidRDefault="00556803" w:rsidP="00556803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Simona </w:t>
            </w:r>
            <w:proofErr w:type="spellStart"/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>Salis</w:t>
            </w:r>
            <w:proofErr w:type="spellEnd"/>
          </w:p>
          <w:p w14:paraId="7F87D92C" w14:textId="77777777" w:rsidR="00556803" w:rsidRPr="00556803" w:rsidRDefault="00556803" w:rsidP="00556803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>Head of Marketing and Communication</w:t>
            </w:r>
          </w:p>
          <w:p w14:paraId="19A37C06" w14:textId="77777777" w:rsidR="00556803" w:rsidRPr="00556803" w:rsidRDefault="00556803" w:rsidP="00556803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>Tel. +39 345 0625289</w:t>
            </w:r>
          </w:p>
          <w:p w14:paraId="2FD9C294" w14:textId="77777777" w:rsidR="00556803" w:rsidRPr="00556803" w:rsidRDefault="00556803" w:rsidP="00556803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Email: </w:t>
            </w:r>
            <w:hyperlink r:id="rId9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simona.salis@bancacfplus.it</w:t>
              </w:r>
            </w:hyperlink>
          </w:p>
        </w:tc>
        <w:tc>
          <w:tcPr>
            <w:tcW w:w="5958" w:type="dxa"/>
          </w:tcPr>
          <w:p w14:paraId="500A7DC8" w14:textId="77777777" w:rsidR="00556803" w:rsidRPr="00556803" w:rsidRDefault="00556803" w:rsidP="00556803">
            <w:pPr>
              <w:widowControl w:val="0"/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  <w:t xml:space="preserve">SEC </w:t>
            </w:r>
            <w:proofErr w:type="spellStart"/>
            <w:r w:rsidRPr="00556803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  <w:t>Newgate</w:t>
            </w:r>
            <w:proofErr w:type="spellEnd"/>
          </w:p>
          <w:p w14:paraId="3D884F94" w14:textId="77777777" w:rsidR="00556803" w:rsidRPr="00556803" w:rsidRDefault="00556803" w:rsidP="00556803">
            <w:pPr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Daniele Pinosa, +39 335 7233872, </w:t>
            </w:r>
            <w:hyperlink r:id="rId10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daniele.pinosa@secnewgate.it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3161A627" w14:textId="77777777" w:rsidR="00556803" w:rsidRPr="00556803" w:rsidRDefault="00556803" w:rsidP="00556803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Michele Bon, +39 338 6933868, </w:t>
            </w:r>
            <w:hyperlink r:id="rId11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michele.bon@secnewgate.it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0A2FE14A" w14:textId="77777777" w:rsidR="00556803" w:rsidRPr="00556803" w:rsidRDefault="00556803" w:rsidP="00556803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Fabio </w:t>
            </w:r>
            <w:proofErr w:type="spellStart"/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>Santilio</w:t>
            </w:r>
            <w:proofErr w:type="spellEnd"/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, +39 339 8446521, </w:t>
            </w:r>
            <w:hyperlink r:id="rId12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fabio.santilio@secnewgate.it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69E2936B" w14:textId="77777777" w:rsidR="00556803" w:rsidRPr="00556803" w:rsidRDefault="00556803" w:rsidP="00556803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Chiara Andreotti, +39 340 3613320, </w:t>
            </w:r>
            <w:hyperlink r:id="rId13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chiara.andreotti@secnewgate.it</w:t>
              </w:r>
            </w:hyperlink>
          </w:p>
          <w:p w14:paraId="343E7146" w14:textId="77777777" w:rsidR="00556803" w:rsidRPr="00556803" w:rsidRDefault="00556803" w:rsidP="00556803">
            <w:pPr>
              <w:widowControl w:val="0"/>
              <w:spacing w:line="360" w:lineRule="auto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</w:p>
        </w:tc>
      </w:tr>
    </w:tbl>
    <w:p w14:paraId="1115E350" w14:textId="1778DDA3" w:rsidR="00C97C67" w:rsidRPr="00E03C1E" w:rsidRDefault="00C97C67" w:rsidP="00556803">
      <w:pPr>
        <w:widowControl w:val="0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sectPr w:rsidR="00C97C67" w:rsidRPr="00E03C1E" w:rsidSect="002A01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27" w:right="1134" w:bottom="1276" w:left="1276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A4D" w14:textId="77777777" w:rsidR="00AE3167" w:rsidRDefault="00AE3167" w:rsidP="00685871">
      <w:r>
        <w:separator/>
      </w:r>
    </w:p>
  </w:endnote>
  <w:endnote w:type="continuationSeparator" w:id="0">
    <w:p w14:paraId="07EFCE2A" w14:textId="77777777" w:rsidR="00AE3167" w:rsidRDefault="00AE3167" w:rsidP="006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rbon Regular">
    <w:altName w:val="Calibri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HIOO M+ Avant Garde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eonik">
    <w:altName w:val="Calibri"/>
    <w:panose1 w:val="020B0604020202020204"/>
    <w:charset w:val="00"/>
    <w:family w:val="auto"/>
    <w:pitch w:val="variable"/>
    <w:sig w:usb0="80000047" w:usb1="0000207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0EA5" w14:textId="77777777" w:rsidR="00685871" w:rsidRDefault="00685871" w:rsidP="00CB1529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62B818" w14:textId="77777777" w:rsidR="00685871" w:rsidRDefault="00685871" w:rsidP="0068587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677"/>
    </w:tblGrid>
    <w:tr w:rsidR="00556803" w:rsidRPr="00150561" w14:paraId="48EE91CF" w14:textId="77777777" w:rsidTr="00783D56">
      <w:trPr>
        <w:trHeight w:val="1412"/>
      </w:trPr>
      <w:tc>
        <w:tcPr>
          <w:tcW w:w="5388" w:type="dxa"/>
        </w:tcPr>
        <w:p w14:paraId="3D934C5E" w14:textId="77777777" w:rsidR="00556803" w:rsidRPr="00C93240" w:rsidRDefault="00556803" w:rsidP="00556803">
          <w:pPr>
            <w:pStyle w:val="CM2"/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</w:pPr>
          <w:bookmarkStart w:id="4" w:name="_Hlk90452912"/>
          <w:r w:rsidRPr="00C93240"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  <w:t xml:space="preserve">Banca CF+ </w:t>
          </w:r>
          <w:bookmarkStart w:id="5" w:name="_Hlk90455277"/>
          <w:r w:rsidRPr="00C93240"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  <w:t>S.p.A.</w:t>
          </w:r>
          <w:bookmarkEnd w:id="5"/>
          <w:r w:rsidRPr="00C93240">
            <w:rPr>
              <w:rFonts w:ascii="Microsoft Sans Serif" w:hAnsi="Microsoft Sans Serif" w:cs="Microsoft Sans Serif"/>
              <w:color w:val="0E1C30"/>
              <w:spacing w:val="10"/>
              <w:sz w:val="12"/>
              <w:szCs w:val="12"/>
            </w:rPr>
            <w:tab/>
          </w:r>
        </w:p>
        <w:p w14:paraId="56E598A6" w14:textId="77777777" w:rsidR="00556803" w:rsidRPr="00C93240" w:rsidRDefault="00556803" w:rsidP="00556803">
          <w:pPr>
            <w:pStyle w:val="CM2"/>
            <w:spacing w:after="0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  <w:u w:val="single"/>
            </w:rPr>
          </w:pP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Sede legale: 00187 Roma | Via Piemonte, 38 – Capitale sociale €14.000.000,00 interamente versato – Direzione e uffici: 00187 Roma | Via Piemonte, 38 – Tel. +39 06 5796-1 – Fax: 06 5740269 – </w:t>
          </w:r>
          <w:hyperlink r:id="rId1" w:history="1">
            <w:r w:rsidRPr="00C44991">
              <w:rPr>
                <w:rStyle w:val="Collegamentoipertestuale"/>
                <w:rFonts w:ascii="Microsoft Sans Serif" w:hAnsi="Microsoft Sans Serif" w:cs="Microsoft Sans Serif"/>
                <w:bCs/>
                <w:color w:val="0E1C30"/>
                <w:spacing w:val="10"/>
                <w:sz w:val="12"/>
                <w:szCs w:val="12"/>
              </w:rPr>
              <w:t>info@bancacfplus.it</w:t>
            </w:r>
          </w:hyperlink>
          <w:r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 </w:t>
          </w: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>–</w:t>
          </w:r>
          <w:r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 </w:t>
          </w: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Iscritta al Registro delle Imprese di Roma n°00395320583 REA C.C.I.A.A. Roma n° 30897 </w:t>
          </w:r>
        </w:p>
      </w:tc>
      <w:tc>
        <w:tcPr>
          <w:tcW w:w="4677" w:type="dxa"/>
        </w:tcPr>
        <w:p w14:paraId="411E04BA" w14:textId="77777777" w:rsidR="00556803" w:rsidRDefault="00556803" w:rsidP="00556803">
          <w:pPr>
            <w:pStyle w:val="CM2"/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</w:pPr>
        </w:p>
        <w:p w14:paraId="37A8270B" w14:textId="77777777" w:rsidR="00556803" w:rsidRPr="00C93240" w:rsidRDefault="00556803" w:rsidP="00556803">
          <w:pPr>
            <w:widowControl w:val="0"/>
            <w:tabs>
              <w:tab w:val="left" w:pos="6096"/>
            </w:tabs>
            <w:autoSpaceDE w:val="0"/>
            <w:autoSpaceDN w:val="0"/>
            <w:adjustRightInd w:val="0"/>
            <w:spacing w:after="80"/>
            <w:jc w:val="both"/>
            <w:rPr>
              <w:rFonts w:ascii="Microsoft Sans Serif" w:hAnsi="Microsoft Sans Serif" w:cs="Microsoft Sans Serif"/>
              <w:color w:val="0E1C30"/>
              <w:sz w:val="12"/>
              <w:szCs w:val="12"/>
            </w:rPr>
          </w:pP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>Codice Fiscale 00395320583 – Partita IVA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</w:t>
          </w:r>
          <w:r w:rsidRPr="00CA594E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>16340351002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Capogruppo del “Gruppo Banca CF+”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Albo delle Banche e dei Gruppi Bancari: COD. ABI 10312.7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Aderente al Fondo Interbancario di Tutela dei Depositi – </w:t>
          </w:r>
          <w:hyperlink r:id="rId2" w:history="1">
            <w:r w:rsidRPr="00C44991">
              <w:rPr>
                <w:rStyle w:val="Collegamentoipertestuale"/>
                <w:rFonts w:ascii="Microsoft Sans Serif" w:eastAsia="MS Mincho" w:hAnsi="Microsoft Sans Serif" w:cs="Microsoft Sans Serif"/>
                <w:bCs/>
                <w:color w:val="0E1C30"/>
                <w:spacing w:val="10"/>
                <w:sz w:val="12"/>
                <w:szCs w:val="12"/>
                <w:lang w:eastAsia="it-IT"/>
              </w:rPr>
              <w:t>www.bancacfplus.it</w:t>
            </w:r>
          </w:hyperlink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 </w:t>
          </w:r>
        </w:p>
      </w:tc>
    </w:tr>
    <w:bookmarkEnd w:id="4"/>
  </w:tbl>
  <w:p w14:paraId="46137704" w14:textId="77777777" w:rsidR="00685871" w:rsidRDefault="00685871" w:rsidP="00685871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4ED6" w14:textId="77777777" w:rsidR="00A46B32" w:rsidRPr="00150561" w:rsidRDefault="00A46B32" w:rsidP="00150561">
    <w:pPr>
      <w:pStyle w:val="Pidipagina"/>
      <w:spacing w:line="192" w:lineRule="auto"/>
      <w:rPr>
        <w:rFonts w:ascii="Aeonik" w:hAnsi="Aeoni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2BA4" w14:textId="77777777" w:rsidR="00AE3167" w:rsidRDefault="00AE3167" w:rsidP="00685871">
      <w:r>
        <w:separator/>
      </w:r>
    </w:p>
  </w:footnote>
  <w:footnote w:type="continuationSeparator" w:id="0">
    <w:p w14:paraId="56B195A6" w14:textId="77777777" w:rsidR="00AE3167" w:rsidRDefault="00AE3167" w:rsidP="0068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66" w14:textId="4253DF8D" w:rsidR="00AE2E33" w:rsidRDefault="00AE3167">
    <w:pPr>
      <w:pStyle w:val="Intestazione"/>
    </w:pPr>
    <w:r>
      <w:rPr>
        <w:noProof/>
      </w:rPr>
      <w:pict w14:anchorId="2092F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219" o:spid="_x0000_s1025" type="#_x0000_t136" alt="" style="position:absolute;margin-left:0;margin-top:0;width:577.75pt;height:91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pprovato 6 Sett.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2FB" w14:textId="53B9F828" w:rsidR="00685871" w:rsidRDefault="004274CF" w:rsidP="00A86CE7">
    <w:pPr>
      <w:pStyle w:val="Intestazione"/>
      <w:ind w:left="-284"/>
    </w:pPr>
    <w:r w:rsidRPr="004274CF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1" locked="0" layoutInCell="1" allowOverlap="1" wp14:anchorId="071728A1" wp14:editId="20720BA5">
          <wp:simplePos x="0" y="0"/>
          <wp:positionH relativeFrom="column">
            <wp:posOffset>3692427</wp:posOffset>
          </wp:positionH>
          <wp:positionV relativeFrom="paragraph">
            <wp:posOffset>0</wp:posOffset>
          </wp:positionV>
          <wp:extent cx="2433320" cy="445770"/>
          <wp:effectExtent l="0" t="0" r="5080" b="0"/>
          <wp:wrapTight wrapText="bothSides">
            <wp:wrapPolygon edited="0">
              <wp:start x="2029" y="0"/>
              <wp:lineTo x="113" y="9846"/>
              <wp:lineTo x="0" y="11692"/>
              <wp:lineTo x="0" y="19077"/>
              <wp:lineTo x="338" y="20923"/>
              <wp:lineTo x="17812" y="20923"/>
              <wp:lineTo x="19954" y="20308"/>
              <wp:lineTo x="21532" y="18462"/>
              <wp:lineTo x="21532" y="11692"/>
              <wp:lineTo x="13415" y="5538"/>
              <wp:lineTo x="3608" y="0"/>
              <wp:lineTo x="2029" y="0"/>
            </wp:wrapPolygon>
          </wp:wrapTight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9B1">
      <w:rPr>
        <w:noProof/>
        <w:lang w:eastAsia="it-IT"/>
      </w:rPr>
      <w:drawing>
        <wp:inline distT="0" distB="0" distL="0" distR="0" wp14:anchorId="1EE799A3" wp14:editId="2E143286">
          <wp:extent cx="2157730" cy="628650"/>
          <wp:effectExtent l="0" t="0" r="0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6051E" w14:textId="1F4F10CA" w:rsidR="00E42D05" w:rsidRDefault="00E42D05" w:rsidP="00A86CE7">
    <w:pPr>
      <w:pStyle w:val="Intestazione"/>
      <w:ind w:left="-284"/>
    </w:pPr>
  </w:p>
  <w:p w14:paraId="3743D466" w14:textId="77777777" w:rsidR="00E42D05" w:rsidRDefault="00E42D05" w:rsidP="00A86CE7">
    <w:pPr>
      <w:pStyle w:val="Intestazion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4B3" w14:textId="4F79DFBC" w:rsidR="004274CF" w:rsidRPr="004274CF" w:rsidRDefault="004274CF" w:rsidP="004274CF">
    <w:pPr>
      <w:rPr>
        <w:rFonts w:ascii="Times New Roman" w:eastAsia="Times New Roman" w:hAnsi="Times New Roman" w:cs="Times New Roman"/>
        <w:lang w:eastAsia="it-IT"/>
      </w:rPr>
    </w:pPr>
    <w:r w:rsidRPr="004274CF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8240" behindDoc="1" locked="0" layoutInCell="1" allowOverlap="1" wp14:anchorId="4A10A6AA" wp14:editId="11891A13">
          <wp:simplePos x="0" y="0"/>
          <wp:positionH relativeFrom="column">
            <wp:posOffset>3691255</wp:posOffset>
          </wp:positionH>
          <wp:positionV relativeFrom="paragraph">
            <wp:posOffset>-1563</wp:posOffset>
          </wp:positionV>
          <wp:extent cx="2433320" cy="445770"/>
          <wp:effectExtent l="0" t="0" r="5080" b="0"/>
          <wp:wrapTight wrapText="bothSides">
            <wp:wrapPolygon edited="0">
              <wp:start x="2029" y="0"/>
              <wp:lineTo x="113" y="9846"/>
              <wp:lineTo x="0" y="11692"/>
              <wp:lineTo x="0" y="19077"/>
              <wp:lineTo x="338" y="20923"/>
              <wp:lineTo x="17812" y="20923"/>
              <wp:lineTo x="19954" y="20308"/>
              <wp:lineTo x="21532" y="18462"/>
              <wp:lineTo x="21532" y="11692"/>
              <wp:lineTo x="13415" y="5538"/>
              <wp:lineTo x="3608" y="0"/>
              <wp:lineTo x="2029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786">
      <w:rPr>
        <w:noProof/>
        <w:lang w:eastAsia="it-IT"/>
      </w:rPr>
      <w:drawing>
        <wp:inline distT="0" distB="0" distL="0" distR="0" wp14:anchorId="49FA5AAF" wp14:editId="14ACF312">
          <wp:extent cx="2157730" cy="628650"/>
          <wp:effectExtent l="0" t="0" r="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74CF">
      <w:t xml:space="preserve"> </w:t>
    </w:r>
    <w:r w:rsidRPr="004274CF">
      <w:rPr>
        <w:rFonts w:ascii="Times New Roman" w:eastAsia="Times New Roman" w:hAnsi="Times New Roman" w:cs="Times New Roman"/>
        <w:lang w:eastAsia="it-IT"/>
      </w:rPr>
      <w:fldChar w:fldCharType="begin"/>
    </w:r>
    <w:r w:rsidRPr="004274CF">
      <w:rPr>
        <w:rFonts w:ascii="Times New Roman" w:eastAsia="Times New Roman" w:hAnsi="Times New Roman" w:cs="Times New Roman"/>
        <w:lang w:eastAsia="it-IT"/>
      </w:rPr>
      <w:instrText xml:space="preserve"> INCLUDEPICTURE "https://scandolara.com/wp-content/uploads/2020/08/logo_trasparent.png" \* MERGEFORMATINET </w:instrText>
    </w:r>
    <w:r w:rsidRPr="004274CF">
      <w:rPr>
        <w:rFonts w:ascii="Times New Roman" w:eastAsia="Times New Roman" w:hAnsi="Times New Roman" w:cs="Times New Roman"/>
        <w:lang w:eastAsia="it-IT"/>
      </w:rPr>
      <w:fldChar w:fldCharType="end"/>
    </w:r>
  </w:p>
  <w:p w14:paraId="1BE27CE7" w14:textId="76DF3B46" w:rsidR="00CA2175" w:rsidRDefault="00CA2175" w:rsidP="00A5020B">
    <w:pPr>
      <w:pStyle w:val="Intestazione"/>
      <w:ind w:left="1560" w:hanging="1844"/>
    </w:pPr>
  </w:p>
  <w:p w14:paraId="292C44A8" w14:textId="77777777" w:rsidR="00E00D6E" w:rsidRPr="00CA2175" w:rsidRDefault="00E00D6E" w:rsidP="00C97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D94"/>
    <w:multiLevelType w:val="hybridMultilevel"/>
    <w:tmpl w:val="1F960C1A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003CA7"/>
    <w:multiLevelType w:val="hybridMultilevel"/>
    <w:tmpl w:val="3DDC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DCB"/>
    <w:multiLevelType w:val="hybridMultilevel"/>
    <w:tmpl w:val="CD501CA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D0330DF"/>
    <w:multiLevelType w:val="hybridMultilevel"/>
    <w:tmpl w:val="69AEAB86"/>
    <w:lvl w:ilvl="0" w:tplc="53CAE8A4">
      <w:numFmt w:val="bullet"/>
      <w:lvlText w:val="•"/>
      <w:lvlJc w:val="left"/>
      <w:pPr>
        <w:ind w:left="-1701" w:firstLine="0"/>
      </w:pPr>
      <w:rPr>
        <w:rFonts w:ascii="Verdana" w:eastAsiaTheme="minorHAnsi" w:hAnsi="Verdana" w:cs="Open Sans" w:hint="default"/>
      </w:rPr>
    </w:lvl>
    <w:lvl w:ilvl="1" w:tplc="0410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" w15:restartNumberingAfterBreak="0">
    <w:nsid w:val="503F571C"/>
    <w:multiLevelType w:val="hybridMultilevel"/>
    <w:tmpl w:val="3DFA078C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4615"/>
    <w:multiLevelType w:val="hybridMultilevel"/>
    <w:tmpl w:val="954AA9E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84295896">
    <w:abstractNumId w:val="3"/>
  </w:num>
  <w:num w:numId="2" w16cid:durableId="135489075">
    <w:abstractNumId w:val="4"/>
  </w:num>
  <w:num w:numId="3" w16cid:durableId="1893075288">
    <w:abstractNumId w:val="0"/>
  </w:num>
  <w:num w:numId="4" w16cid:durableId="2108963998">
    <w:abstractNumId w:val="2"/>
  </w:num>
  <w:num w:numId="5" w16cid:durableId="1885753234">
    <w:abstractNumId w:val="5"/>
  </w:num>
  <w:num w:numId="6" w16cid:durableId="176129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E"/>
    <w:rsid w:val="00000398"/>
    <w:rsid w:val="00010A6D"/>
    <w:rsid w:val="00011FBA"/>
    <w:rsid w:val="00012601"/>
    <w:rsid w:val="000168DA"/>
    <w:rsid w:val="00017A81"/>
    <w:rsid w:val="000234F9"/>
    <w:rsid w:val="00035470"/>
    <w:rsid w:val="000423E2"/>
    <w:rsid w:val="00042C18"/>
    <w:rsid w:val="000448E7"/>
    <w:rsid w:val="00052A5A"/>
    <w:rsid w:val="00060AF3"/>
    <w:rsid w:val="000707CA"/>
    <w:rsid w:val="00072DFC"/>
    <w:rsid w:val="000738A1"/>
    <w:rsid w:val="00074C26"/>
    <w:rsid w:val="00076318"/>
    <w:rsid w:val="000842F9"/>
    <w:rsid w:val="00090673"/>
    <w:rsid w:val="000914FA"/>
    <w:rsid w:val="000A4FC1"/>
    <w:rsid w:val="000B3E08"/>
    <w:rsid w:val="000B46DF"/>
    <w:rsid w:val="000C2DBA"/>
    <w:rsid w:val="000C47B4"/>
    <w:rsid w:val="000D3250"/>
    <w:rsid w:val="000E0E11"/>
    <w:rsid w:val="000F013D"/>
    <w:rsid w:val="001020E5"/>
    <w:rsid w:val="0010368B"/>
    <w:rsid w:val="001109EA"/>
    <w:rsid w:val="00111517"/>
    <w:rsid w:val="00114CE0"/>
    <w:rsid w:val="00116AE7"/>
    <w:rsid w:val="001257B3"/>
    <w:rsid w:val="0012685F"/>
    <w:rsid w:val="00127155"/>
    <w:rsid w:val="0014708C"/>
    <w:rsid w:val="00150561"/>
    <w:rsid w:val="001529AC"/>
    <w:rsid w:val="00154261"/>
    <w:rsid w:val="001548E5"/>
    <w:rsid w:val="00163396"/>
    <w:rsid w:val="00170AE3"/>
    <w:rsid w:val="001719F9"/>
    <w:rsid w:val="00180090"/>
    <w:rsid w:val="001A3A44"/>
    <w:rsid w:val="001A6BD2"/>
    <w:rsid w:val="001A7DA5"/>
    <w:rsid w:val="001B18B3"/>
    <w:rsid w:val="001B5F47"/>
    <w:rsid w:val="001C4CBE"/>
    <w:rsid w:val="001C753A"/>
    <w:rsid w:val="001D61E0"/>
    <w:rsid w:val="001E6DA9"/>
    <w:rsid w:val="001F1374"/>
    <w:rsid w:val="0020348A"/>
    <w:rsid w:val="0021064B"/>
    <w:rsid w:val="00212D53"/>
    <w:rsid w:val="00215B4D"/>
    <w:rsid w:val="00222555"/>
    <w:rsid w:val="0022390F"/>
    <w:rsid w:val="002243AC"/>
    <w:rsid w:val="0023447C"/>
    <w:rsid w:val="002352FA"/>
    <w:rsid w:val="0024098A"/>
    <w:rsid w:val="00241C1C"/>
    <w:rsid w:val="00242BD3"/>
    <w:rsid w:val="002467ED"/>
    <w:rsid w:val="00260423"/>
    <w:rsid w:val="00261396"/>
    <w:rsid w:val="002700CA"/>
    <w:rsid w:val="00273352"/>
    <w:rsid w:val="00283EE0"/>
    <w:rsid w:val="00291033"/>
    <w:rsid w:val="00293199"/>
    <w:rsid w:val="002A014C"/>
    <w:rsid w:val="002B1AE9"/>
    <w:rsid w:val="002C1C07"/>
    <w:rsid w:val="002C55C4"/>
    <w:rsid w:val="002D266D"/>
    <w:rsid w:val="002E3C5D"/>
    <w:rsid w:val="002E7A26"/>
    <w:rsid w:val="002F309B"/>
    <w:rsid w:val="00300536"/>
    <w:rsid w:val="00303AA6"/>
    <w:rsid w:val="00304405"/>
    <w:rsid w:val="00305197"/>
    <w:rsid w:val="00312532"/>
    <w:rsid w:val="0031617E"/>
    <w:rsid w:val="0031736C"/>
    <w:rsid w:val="0032115B"/>
    <w:rsid w:val="00324458"/>
    <w:rsid w:val="003442E0"/>
    <w:rsid w:val="0035752A"/>
    <w:rsid w:val="00360997"/>
    <w:rsid w:val="00371AEB"/>
    <w:rsid w:val="0038717E"/>
    <w:rsid w:val="00387734"/>
    <w:rsid w:val="00392FCD"/>
    <w:rsid w:val="0039449E"/>
    <w:rsid w:val="003A36F4"/>
    <w:rsid w:val="003A549C"/>
    <w:rsid w:val="003A55C5"/>
    <w:rsid w:val="003A5AFF"/>
    <w:rsid w:val="003B5268"/>
    <w:rsid w:val="003B6D54"/>
    <w:rsid w:val="003C0D08"/>
    <w:rsid w:val="003C3563"/>
    <w:rsid w:val="003C5401"/>
    <w:rsid w:val="003D02D3"/>
    <w:rsid w:val="003D4A45"/>
    <w:rsid w:val="003D6A36"/>
    <w:rsid w:val="003E6C80"/>
    <w:rsid w:val="003F1889"/>
    <w:rsid w:val="003F6453"/>
    <w:rsid w:val="0040342C"/>
    <w:rsid w:val="004074F7"/>
    <w:rsid w:val="00414188"/>
    <w:rsid w:val="00420DE2"/>
    <w:rsid w:val="004274CF"/>
    <w:rsid w:val="00432BAF"/>
    <w:rsid w:val="00435FC6"/>
    <w:rsid w:val="00436F5A"/>
    <w:rsid w:val="00437B07"/>
    <w:rsid w:val="00440E5D"/>
    <w:rsid w:val="00442A4E"/>
    <w:rsid w:val="0044350C"/>
    <w:rsid w:val="00445FFA"/>
    <w:rsid w:val="00450E2A"/>
    <w:rsid w:val="0045186E"/>
    <w:rsid w:val="004612C6"/>
    <w:rsid w:val="00464221"/>
    <w:rsid w:val="00464F61"/>
    <w:rsid w:val="00471223"/>
    <w:rsid w:val="00474E23"/>
    <w:rsid w:val="0047641D"/>
    <w:rsid w:val="00481F11"/>
    <w:rsid w:val="004913E7"/>
    <w:rsid w:val="00492C0C"/>
    <w:rsid w:val="00493324"/>
    <w:rsid w:val="004B340B"/>
    <w:rsid w:val="004B3E40"/>
    <w:rsid w:val="004B5A30"/>
    <w:rsid w:val="004B6FD3"/>
    <w:rsid w:val="004B7B63"/>
    <w:rsid w:val="004C287D"/>
    <w:rsid w:val="004C7405"/>
    <w:rsid w:val="004D1136"/>
    <w:rsid w:val="004F0CF1"/>
    <w:rsid w:val="004F203A"/>
    <w:rsid w:val="00500C84"/>
    <w:rsid w:val="005033F5"/>
    <w:rsid w:val="005147F4"/>
    <w:rsid w:val="0051716A"/>
    <w:rsid w:val="005254AE"/>
    <w:rsid w:val="00542C51"/>
    <w:rsid w:val="0054721E"/>
    <w:rsid w:val="005507AA"/>
    <w:rsid w:val="00551CC4"/>
    <w:rsid w:val="00556803"/>
    <w:rsid w:val="00563991"/>
    <w:rsid w:val="0056783D"/>
    <w:rsid w:val="0056791D"/>
    <w:rsid w:val="005705D2"/>
    <w:rsid w:val="00574471"/>
    <w:rsid w:val="00574E39"/>
    <w:rsid w:val="005762F2"/>
    <w:rsid w:val="005840EA"/>
    <w:rsid w:val="00593332"/>
    <w:rsid w:val="005A1718"/>
    <w:rsid w:val="005B2F20"/>
    <w:rsid w:val="005C05F3"/>
    <w:rsid w:val="005D4F34"/>
    <w:rsid w:val="005D656C"/>
    <w:rsid w:val="005D793C"/>
    <w:rsid w:val="005E3E3C"/>
    <w:rsid w:val="005F1DA2"/>
    <w:rsid w:val="00610A6B"/>
    <w:rsid w:val="00610F83"/>
    <w:rsid w:val="00612EAE"/>
    <w:rsid w:val="00614977"/>
    <w:rsid w:val="0061703D"/>
    <w:rsid w:val="0062293A"/>
    <w:rsid w:val="00624A0B"/>
    <w:rsid w:val="006532F5"/>
    <w:rsid w:val="006555C9"/>
    <w:rsid w:val="00655AF0"/>
    <w:rsid w:val="0066700E"/>
    <w:rsid w:val="006752AB"/>
    <w:rsid w:val="0067744D"/>
    <w:rsid w:val="00680FE3"/>
    <w:rsid w:val="00684E6F"/>
    <w:rsid w:val="00685871"/>
    <w:rsid w:val="00685A4D"/>
    <w:rsid w:val="006A4D2B"/>
    <w:rsid w:val="006B0D5A"/>
    <w:rsid w:val="006B1D30"/>
    <w:rsid w:val="006B7286"/>
    <w:rsid w:val="006D3DE3"/>
    <w:rsid w:val="006E067D"/>
    <w:rsid w:val="006E55A6"/>
    <w:rsid w:val="006E7148"/>
    <w:rsid w:val="006F260F"/>
    <w:rsid w:val="006F6C6A"/>
    <w:rsid w:val="00707324"/>
    <w:rsid w:val="00713989"/>
    <w:rsid w:val="00714A12"/>
    <w:rsid w:val="007158DE"/>
    <w:rsid w:val="007177F9"/>
    <w:rsid w:val="00721796"/>
    <w:rsid w:val="0075244B"/>
    <w:rsid w:val="00756C61"/>
    <w:rsid w:val="00757732"/>
    <w:rsid w:val="00762570"/>
    <w:rsid w:val="0076723F"/>
    <w:rsid w:val="00772ABB"/>
    <w:rsid w:val="0077467B"/>
    <w:rsid w:val="00793AF7"/>
    <w:rsid w:val="0079666A"/>
    <w:rsid w:val="00797D3E"/>
    <w:rsid w:val="007B250A"/>
    <w:rsid w:val="007B2695"/>
    <w:rsid w:val="007B5AEF"/>
    <w:rsid w:val="007D6DD4"/>
    <w:rsid w:val="007E0175"/>
    <w:rsid w:val="007E1E5E"/>
    <w:rsid w:val="007E3734"/>
    <w:rsid w:val="007E55B0"/>
    <w:rsid w:val="007F1023"/>
    <w:rsid w:val="00801641"/>
    <w:rsid w:val="00820D5D"/>
    <w:rsid w:val="00825707"/>
    <w:rsid w:val="00837A26"/>
    <w:rsid w:val="0084254A"/>
    <w:rsid w:val="00846CDC"/>
    <w:rsid w:val="00851479"/>
    <w:rsid w:val="008524F0"/>
    <w:rsid w:val="00860051"/>
    <w:rsid w:val="008644B4"/>
    <w:rsid w:val="00866855"/>
    <w:rsid w:val="00875C42"/>
    <w:rsid w:val="008818E7"/>
    <w:rsid w:val="008829BF"/>
    <w:rsid w:val="008842D1"/>
    <w:rsid w:val="00894D0A"/>
    <w:rsid w:val="008A1C45"/>
    <w:rsid w:val="008A4200"/>
    <w:rsid w:val="008A4E5F"/>
    <w:rsid w:val="008B2A2B"/>
    <w:rsid w:val="008B4EF7"/>
    <w:rsid w:val="008B77D9"/>
    <w:rsid w:val="008C0075"/>
    <w:rsid w:val="008E29F9"/>
    <w:rsid w:val="008E49A5"/>
    <w:rsid w:val="008F34C2"/>
    <w:rsid w:val="00901E3C"/>
    <w:rsid w:val="00902207"/>
    <w:rsid w:val="00934C38"/>
    <w:rsid w:val="0093792B"/>
    <w:rsid w:val="00947E00"/>
    <w:rsid w:val="00951404"/>
    <w:rsid w:val="0096513C"/>
    <w:rsid w:val="009659B1"/>
    <w:rsid w:val="0097139B"/>
    <w:rsid w:val="00980A23"/>
    <w:rsid w:val="00986C6F"/>
    <w:rsid w:val="009A5BF6"/>
    <w:rsid w:val="009A6D4C"/>
    <w:rsid w:val="009C28DD"/>
    <w:rsid w:val="009C4A31"/>
    <w:rsid w:val="009D0637"/>
    <w:rsid w:val="009D0BA6"/>
    <w:rsid w:val="009D6D76"/>
    <w:rsid w:val="009F07AE"/>
    <w:rsid w:val="009F08B7"/>
    <w:rsid w:val="00A00BF4"/>
    <w:rsid w:val="00A05C25"/>
    <w:rsid w:val="00A1126A"/>
    <w:rsid w:val="00A141B1"/>
    <w:rsid w:val="00A20FBB"/>
    <w:rsid w:val="00A249AE"/>
    <w:rsid w:val="00A252AB"/>
    <w:rsid w:val="00A32C1D"/>
    <w:rsid w:val="00A34064"/>
    <w:rsid w:val="00A429F0"/>
    <w:rsid w:val="00A4474E"/>
    <w:rsid w:val="00A46B32"/>
    <w:rsid w:val="00A5020B"/>
    <w:rsid w:val="00A5456D"/>
    <w:rsid w:val="00A54F52"/>
    <w:rsid w:val="00A564BD"/>
    <w:rsid w:val="00A5663A"/>
    <w:rsid w:val="00A62471"/>
    <w:rsid w:val="00A71C98"/>
    <w:rsid w:val="00A824E2"/>
    <w:rsid w:val="00A83489"/>
    <w:rsid w:val="00A861C0"/>
    <w:rsid w:val="00A86CE7"/>
    <w:rsid w:val="00A879AA"/>
    <w:rsid w:val="00A917F1"/>
    <w:rsid w:val="00A96A5F"/>
    <w:rsid w:val="00AA60DB"/>
    <w:rsid w:val="00AC4A8C"/>
    <w:rsid w:val="00AC7DD0"/>
    <w:rsid w:val="00AD1A2C"/>
    <w:rsid w:val="00AD538D"/>
    <w:rsid w:val="00AE2E33"/>
    <w:rsid w:val="00AE3167"/>
    <w:rsid w:val="00AE59C6"/>
    <w:rsid w:val="00B059A5"/>
    <w:rsid w:val="00B12944"/>
    <w:rsid w:val="00B13DDD"/>
    <w:rsid w:val="00B140C0"/>
    <w:rsid w:val="00B14211"/>
    <w:rsid w:val="00B147C9"/>
    <w:rsid w:val="00B21411"/>
    <w:rsid w:val="00B35B07"/>
    <w:rsid w:val="00B505CC"/>
    <w:rsid w:val="00B5164B"/>
    <w:rsid w:val="00B54FD1"/>
    <w:rsid w:val="00B5700A"/>
    <w:rsid w:val="00B5752A"/>
    <w:rsid w:val="00B57B81"/>
    <w:rsid w:val="00B60ADF"/>
    <w:rsid w:val="00B67111"/>
    <w:rsid w:val="00B73DEC"/>
    <w:rsid w:val="00B74FFF"/>
    <w:rsid w:val="00B90097"/>
    <w:rsid w:val="00B936DA"/>
    <w:rsid w:val="00B93C58"/>
    <w:rsid w:val="00B974A0"/>
    <w:rsid w:val="00BA56C0"/>
    <w:rsid w:val="00BA76BD"/>
    <w:rsid w:val="00BC04F1"/>
    <w:rsid w:val="00BC5786"/>
    <w:rsid w:val="00BD4E0D"/>
    <w:rsid w:val="00BE2594"/>
    <w:rsid w:val="00BE25E1"/>
    <w:rsid w:val="00BE5A7A"/>
    <w:rsid w:val="00BE6114"/>
    <w:rsid w:val="00BF720B"/>
    <w:rsid w:val="00C02441"/>
    <w:rsid w:val="00C03444"/>
    <w:rsid w:val="00C07F25"/>
    <w:rsid w:val="00C12CFD"/>
    <w:rsid w:val="00C16630"/>
    <w:rsid w:val="00C2513C"/>
    <w:rsid w:val="00C36C6D"/>
    <w:rsid w:val="00C37485"/>
    <w:rsid w:val="00C4112F"/>
    <w:rsid w:val="00C42C1D"/>
    <w:rsid w:val="00C43C5E"/>
    <w:rsid w:val="00C44991"/>
    <w:rsid w:val="00C47804"/>
    <w:rsid w:val="00C65F1E"/>
    <w:rsid w:val="00C66FFE"/>
    <w:rsid w:val="00C67136"/>
    <w:rsid w:val="00C91723"/>
    <w:rsid w:val="00C921ED"/>
    <w:rsid w:val="00C93240"/>
    <w:rsid w:val="00C97799"/>
    <w:rsid w:val="00C97C67"/>
    <w:rsid w:val="00CA2175"/>
    <w:rsid w:val="00CA594E"/>
    <w:rsid w:val="00CB3135"/>
    <w:rsid w:val="00CB3534"/>
    <w:rsid w:val="00CC29FC"/>
    <w:rsid w:val="00CC584A"/>
    <w:rsid w:val="00CD0140"/>
    <w:rsid w:val="00CD1B91"/>
    <w:rsid w:val="00CE0186"/>
    <w:rsid w:val="00CE6750"/>
    <w:rsid w:val="00CF52B9"/>
    <w:rsid w:val="00CF5B2B"/>
    <w:rsid w:val="00D0028F"/>
    <w:rsid w:val="00D13BA4"/>
    <w:rsid w:val="00D22DF9"/>
    <w:rsid w:val="00D31852"/>
    <w:rsid w:val="00D34EE4"/>
    <w:rsid w:val="00D356AC"/>
    <w:rsid w:val="00D429F1"/>
    <w:rsid w:val="00D4406C"/>
    <w:rsid w:val="00D46953"/>
    <w:rsid w:val="00D61A71"/>
    <w:rsid w:val="00D76032"/>
    <w:rsid w:val="00D81F77"/>
    <w:rsid w:val="00D8369A"/>
    <w:rsid w:val="00D847AC"/>
    <w:rsid w:val="00DA16BC"/>
    <w:rsid w:val="00DC6D6C"/>
    <w:rsid w:val="00DD1C79"/>
    <w:rsid w:val="00DD2D2D"/>
    <w:rsid w:val="00DD5027"/>
    <w:rsid w:val="00DD70C6"/>
    <w:rsid w:val="00DE1C84"/>
    <w:rsid w:val="00DE3264"/>
    <w:rsid w:val="00DE327F"/>
    <w:rsid w:val="00DF1A5D"/>
    <w:rsid w:val="00DF34B4"/>
    <w:rsid w:val="00DF67BC"/>
    <w:rsid w:val="00E00D6E"/>
    <w:rsid w:val="00E01455"/>
    <w:rsid w:val="00E0275B"/>
    <w:rsid w:val="00E03C1E"/>
    <w:rsid w:val="00E07DBD"/>
    <w:rsid w:val="00E17BB9"/>
    <w:rsid w:val="00E23FB5"/>
    <w:rsid w:val="00E3226F"/>
    <w:rsid w:val="00E32CAE"/>
    <w:rsid w:val="00E37047"/>
    <w:rsid w:val="00E416AD"/>
    <w:rsid w:val="00E42D05"/>
    <w:rsid w:val="00E52693"/>
    <w:rsid w:val="00E5305A"/>
    <w:rsid w:val="00E53936"/>
    <w:rsid w:val="00E81626"/>
    <w:rsid w:val="00E856D7"/>
    <w:rsid w:val="00E8691C"/>
    <w:rsid w:val="00E90ED6"/>
    <w:rsid w:val="00E91384"/>
    <w:rsid w:val="00E91E3E"/>
    <w:rsid w:val="00E92430"/>
    <w:rsid w:val="00EA4B71"/>
    <w:rsid w:val="00EB310F"/>
    <w:rsid w:val="00EB4234"/>
    <w:rsid w:val="00EB479C"/>
    <w:rsid w:val="00EC66D1"/>
    <w:rsid w:val="00ED1160"/>
    <w:rsid w:val="00ED16EF"/>
    <w:rsid w:val="00ED1D38"/>
    <w:rsid w:val="00ED6632"/>
    <w:rsid w:val="00EE24E2"/>
    <w:rsid w:val="00EE3A2F"/>
    <w:rsid w:val="00EE5300"/>
    <w:rsid w:val="00EF2413"/>
    <w:rsid w:val="00EF622F"/>
    <w:rsid w:val="00EF68D4"/>
    <w:rsid w:val="00F014B5"/>
    <w:rsid w:val="00F03FE3"/>
    <w:rsid w:val="00F10D7F"/>
    <w:rsid w:val="00F16914"/>
    <w:rsid w:val="00F209DF"/>
    <w:rsid w:val="00F20E4B"/>
    <w:rsid w:val="00F2280A"/>
    <w:rsid w:val="00F26996"/>
    <w:rsid w:val="00F44BBD"/>
    <w:rsid w:val="00F636FB"/>
    <w:rsid w:val="00F70EE1"/>
    <w:rsid w:val="00F71149"/>
    <w:rsid w:val="00F87804"/>
    <w:rsid w:val="00F92786"/>
    <w:rsid w:val="00FA50B4"/>
    <w:rsid w:val="00FA6197"/>
    <w:rsid w:val="00FA7706"/>
    <w:rsid w:val="00FE0358"/>
    <w:rsid w:val="00FE3679"/>
    <w:rsid w:val="00FE44B4"/>
    <w:rsid w:val="00FF25E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90C1"/>
  <w15:chartTrackingRefBased/>
  <w15:docId w15:val="{EE7878DF-DB6B-4915-8A3E-0C037E9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50A"/>
  </w:style>
  <w:style w:type="paragraph" w:styleId="Titolo1">
    <w:name w:val="heading 1"/>
    <w:basedOn w:val="Normale"/>
    <w:next w:val="Normale"/>
    <w:link w:val="Titolo1Carattere"/>
    <w:uiPriority w:val="99"/>
    <w:qFormat/>
    <w:rsid w:val="00A46B32"/>
    <w:pPr>
      <w:keepNext/>
      <w:jc w:val="right"/>
      <w:outlineLvl w:val="0"/>
    </w:pPr>
    <w:rPr>
      <w:rFonts w:ascii="Times New Roman" w:eastAsia="MS Mincho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71"/>
  </w:style>
  <w:style w:type="character" w:styleId="Numeropagina">
    <w:name w:val="page number"/>
    <w:basedOn w:val="Carpredefinitoparagrafo"/>
    <w:uiPriority w:val="99"/>
    <w:semiHidden/>
    <w:unhideWhenUsed/>
    <w:rsid w:val="00685871"/>
  </w:style>
  <w:style w:type="paragraph" w:styleId="Intestazione">
    <w:name w:val="header"/>
    <w:basedOn w:val="Normale"/>
    <w:link w:val="Intestazione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71"/>
  </w:style>
  <w:style w:type="character" w:customStyle="1" w:styleId="Titolo1Carattere">
    <w:name w:val="Titolo 1 Carattere"/>
    <w:basedOn w:val="Carpredefinitoparagrafo"/>
    <w:link w:val="Titolo1"/>
    <w:uiPriority w:val="99"/>
    <w:rsid w:val="00A46B32"/>
    <w:rPr>
      <w:rFonts w:ascii="Times New Roman" w:eastAsia="MS Mincho" w:hAnsi="Times New Roman" w:cs="Times New Roman"/>
      <w:szCs w:val="20"/>
      <w:lang w:eastAsia="it-IT"/>
    </w:rPr>
  </w:style>
  <w:style w:type="paragraph" w:customStyle="1" w:styleId="CM2">
    <w:name w:val="CM2"/>
    <w:basedOn w:val="Normale"/>
    <w:next w:val="Normale"/>
    <w:uiPriority w:val="99"/>
    <w:rsid w:val="00A46B32"/>
    <w:pPr>
      <w:widowControl w:val="0"/>
      <w:autoSpaceDE w:val="0"/>
      <w:autoSpaceDN w:val="0"/>
      <w:adjustRightInd w:val="0"/>
      <w:spacing w:after="80"/>
    </w:pPr>
    <w:rPr>
      <w:rFonts w:ascii="DHIOO M+ Avant Garde" w:eastAsia="MS Mincho" w:hAnsi="DHIOO M+ Avant Garde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D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DD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D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C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7C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C67"/>
    <w:rPr>
      <w:color w:val="605E5C"/>
      <w:shd w:val="clear" w:color="auto" w:fill="E1DFDD"/>
    </w:rPr>
  </w:style>
  <w:style w:type="character" w:customStyle="1" w:styleId="Nessuno">
    <w:name w:val="Nessuno"/>
    <w:rsid w:val="00E03C1E"/>
  </w:style>
  <w:style w:type="character" w:customStyle="1" w:styleId="Link">
    <w:name w:val="Link"/>
    <w:rsid w:val="00E03C1E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E03C1E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E03C1E"/>
    <w:rPr>
      <w:rFonts w:ascii="Verdana" w:eastAsia="Verdana" w:hAnsi="Verdana" w:cs="Verdana"/>
      <w:outline w:val="0"/>
      <w:color w:val="0563C1"/>
      <w:sz w:val="18"/>
      <w:szCs w:val="18"/>
      <w:u w:val="single" w:color="0563C1"/>
    </w:rPr>
  </w:style>
  <w:style w:type="paragraph" w:styleId="Revisione">
    <w:name w:val="Revision"/>
    <w:hidden/>
    <w:uiPriority w:val="99"/>
    <w:semiHidden/>
    <w:rsid w:val="004913E7"/>
  </w:style>
  <w:style w:type="character" w:styleId="Rimandocommento">
    <w:name w:val="annotation reference"/>
    <w:basedOn w:val="Carpredefinitoparagrafo"/>
    <w:uiPriority w:val="99"/>
    <w:semiHidden/>
    <w:unhideWhenUsed/>
    <w:rsid w:val="00491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3E7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2243AC"/>
    <w:rPr>
      <w:rFonts w:ascii="Calibri" w:hAnsi="Calibri" w:cs="Calibri"/>
      <w:sz w:val="22"/>
      <w:szCs w:val="22"/>
      <w:lang w:eastAsia="it-IT"/>
    </w:rPr>
  </w:style>
  <w:style w:type="table" w:styleId="Grigliatabellachiara">
    <w:name w:val="Grid Table Light"/>
    <w:basedOn w:val="Tabellanormale"/>
    <w:uiPriority w:val="40"/>
    <w:rsid w:val="00556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acfplus.it" TargetMode="External"/><Relationship Id="rId13" Type="http://schemas.openxmlformats.org/officeDocument/2006/relationships/hyperlink" Target="mailto:chiara.andreotti@secnewgat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bio.santilio@secnewgat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e.bon@secnewgat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niele.pinosa@secnewgat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imona.salis@bancacfplus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acfplus.it" TargetMode="External"/><Relationship Id="rId1" Type="http://schemas.openxmlformats.org/officeDocument/2006/relationships/hyperlink" Target="mailto:info@bancacfplu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ko\Downloads\CARTA%20INTESTATA%20CF_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EA90-C4AD-4D9F-A2F1-64DB715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C:\Users\kikko\Downloads\CARTA INTESTATA CF_BASE.dotx</Template>
  <TotalTime>12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Credito Fondiario S.p.A.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Fascilla</dc:creator>
  <cp:keywords/>
  <dc:description/>
  <cp:lastModifiedBy>Michele Bon</cp:lastModifiedBy>
  <cp:revision>3</cp:revision>
  <cp:lastPrinted>2021-03-26T11:12:00Z</cp:lastPrinted>
  <dcterms:created xsi:type="dcterms:W3CDTF">2022-09-06T08:00:00Z</dcterms:created>
  <dcterms:modified xsi:type="dcterms:W3CDTF">2022-09-06T09:50:00Z</dcterms:modified>
</cp:coreProperties>
</file>