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4A33B" w14:textId="77777777" w:rsidR="004C0C61" w:rsidRDefault="004C0C61">
      <w:pPr>
        <w:shd w:val="clear" w:color="auto" w:fill="FFFFFF"/>
        <w:spacing w:after="0" w:line="240" w:lineRule="auto"/>
        <w:ind w:left="1" w:hanging="3"/>
        <w:rPr>
          <w:b/>
          <w:color w:val="0000FF"/>
          <w:sz w:val="26"/>
          <w:szCs w:val="26"/>
          <w:u w:val="single"/>
        </w:rPr>
      </w:pPr>
    </w:p>
    <w:p w14:paraId="0676C80F" w14:textId="77777777" w:rsidR="004C0C61" w:rsidRDefault="00E2743B">
      <w:pPr>
        <w:shd w:val="clear" w:color="auto" w:fill="FFFFFF"/>
        <w:spacing w:after="0"/>
        <w:ind w:left="1" w:hanging="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Gli infestanti tra le principali cause di danni </w:t>
      </w:r>
    </w:p>
    <w:p w14:paraId="15E58EB7" w14:textId="77777777" w:rsidR="004C0C61" w:rsidRDefault="00E2743B">
      <w:pPr>
        <w:shd w:val="clear" w:color="auto" w:fill="FFFFFF"/>
        <w:spacing w:after="0"/>
        <w:ind w:left="1" w:hanging="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nella GDO: come comportarsi</w:t>
      </w:r>
    </w:p>
    <w:p w14:paraId="22A0BCDA" w14:textId="77777777" w:rsidR="004C0C61" w:rsidRDefault="004C0C61">
      <w:pPr>
        <w:spacing w:after="0"/>
        <w:ind w:left="0" w:hanging="2"/>
        <w:jc w:val="center"/>
        <w:rPr>
          <w:b/>
          <w:sz w:val="24"/>
          <w:szCs w:val="24"/>
        </w:rPr>
      </w:pPr>
    </w:p>
    <w:p w14:paraId="0B79BDC8" w14:textId="77777777" w:rsidR="004C0C61" w:rsidRDefault="00E274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Secondo una ricerca del Centre for </w:t>
      </w:r>
      <w:proofErr w:type="spellStart"/>
      <w:r>
        <w:rPr>
          <w:b/>
          <w:i/>
          <w:sz w:val="24"/>
          <w:szCs w:val="24"/>
        </w:rPr>
        <w:t>Economics</w:t>
      </w:r>
      <w:proofErr w:type="spellEnd"/>
      <w:r>
        <w:rPr>
          <w:b/>
          <w:i/>
          <w:sz w:val="24"/>
          <w:szCs w:val="24"/>
        </w:rPr>
        <w:t xml:space="preserve"> and Business </w:t>
      </w:r>
      <w:proofErr w:type="spellStart"/>
      <w:r>
        <w:rPr>
          <w:b/>
          <w:i/>
          <w:sz w:val="24"/>
          <w:szCs w:val="24"/>
        </w:rPr>
        <w:t>Research</w:t>
      </w:r>
      <w:proofErr w:type="spellEnd"/>
      <w:r>
        <w:rPr>
          <w:b/>
          <w:i/>
          <w:sz w:val="24"/>
          <w:szCs w:val="24"/>
        </w:rPr>
        <w:t xml:space="preserve"> (</w:t>
      </w:r>
      <w:proofErr w:type="spellStart"/>
      <w:r>
        <w:rPr>
          <w:b/>
          <w:i/>
          <w:sz w:val="24"/>
          <w:szCs w:val="24"/>
        </w:rPr>
        <w:t>Cebr</w:t>
      </w:r>
      <w:proofErr w:type="spellEnd"/>
      <w:r>
        <w:rPr>
          <w:b/>
          <w:i/>
          <w:sz w:val="24"/>
          <w:szCs w:val="24"/>
        </w:rPr>
        <w:t xml:space="preserve">) commissionata da Rentokil, il 60% delle imprese dichiara che gli insetti delle derrate alimentari causano ogni anno perdite di fatturato comprese tra l’1 e il 9%. </w:t>
      </w:r>
    </w:p>
    <w:p w14:paraId="5872592D" w14:textId="77777777" w:rsidR="004C0C61" w:rsidRDefault="00E274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Le imprese aliment</w:t>
      </w:r>
      <w:r>
        <w:rPr>
          <w:b/>
          <w:i/>
          <w:sz w:val="24"/>
          <w:szCs w:val="24"/>
        </w:rPr>
        <w:t>ari perdono in media 8 giorni di lavoro all’anno a causa delle infestazioni dei roditori.</w:t>
      </w:r>
    </w:p>
    <w:p w14:paraId="35D4040A" w14:textId="77777777" w:rsidR="004C0C61" w:rsidRDefault="004C0C61">
      <w:pPr>
        <w:spacing w:after="0"/>
        <w:ind w:left="0" w:hanging="2"/>
        <w:jc w:val="both"/>
        <w:rPr>
          <w:i/>
        </w:rPr>
      </w:pPr>
    </w:p>
    <w:p w14:paraId="21ABD4AB" w14:textId="73A4A43C" w:rsidR="004C0C61" w:rsidRDefault="00E2743B">
      <w:pPr>
        <w:pBdr>
          <w:top w:val="nil"/>
          <w:left w:val="nil"/>
          <w:bottom w:val="nil"/>
          <w:right w:val="nil"/>
          <w:between w:val="nil"/>
        </w:pBdr>
        <w:shd w:val="clear" w:color="auto" w:fill="F9F9F9"/>
        <w:spacing w:after="240"/>
        <w:ind w:left="0" w:hanging="2"/>
        <w:jc w:val="both"/>
      </w:pPr>
      <w:r>
        <w:rPr>
          <w:i/>
        </w:rPr>
        <w:t>Milano, 9 novembre</w:t>
      </w:r>
      <w:r>
        <w:rPr>
          <w:i/>
        </w:rPr>
        <w:t xml:space="preserve"> 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t xml:space="preserve">In un ambito come quello del food retail, l’igiene è di fondamentale importanza, in primo luogo per garantire la sicurezza dei dipendenti, ma anche e soprattutto quella dei consumatori finali.  </w:t>
      </w:r>
      <w:r>
        <w:rPr>
          <w:b/>
        </w:rPr>
        <w:t>Rentokil – azienda specializzata nel monitoraggio ed eliminazi</w:t>
      </w:r>
      <w:r>
        <w:rPr>
          <w:b/>
        </w:rPr>
        <w:t xml:space="preserve">one degli infestanti del gruppo Rentokil Initial – </w:t>
      </w:r>
      <w:r>
        <w:t>ha più volte sottolineato come</w:t>
      </w:r>
      <w:r>
        <w:rPr>
          <w:b/>
        </w:rPr>
        <w:t xml:space="preserve"> </w:t>
      </w:r>
      <w:r>
        <w:t>siano molteplici gli aspetti che concorrono alla definizione di igiene in questo settore, tra cui, ad esempio, il rispetto dei sistemi di HACCP nei luoghi di lavorazione degl</w:t>
      </w:r>
      <w:r>
        <w:t>i alimenti, il controllo del ciclo di trasporto e di consegna delle merci, la verifica dello stato di magazzini e parcheggi al coperto e all’aperto, la pulizia delle superfici e dei bancali che, direttamente o indirettamente, vengono a contatto con il cibo</w:t>
      </w:r>
      <w:r>
        <w:t>. Vista la natura delle attività commerciali, è assolutamente indispensabile che queste garantiscano ai propri clienti l’assenza di qualsiasi tipo di infestazione, assicurando la pulizia e la salubrità di tutti gli ambienti.</w:t>
      </w:r>
    </w:p>
    <w:p w14:paraId="580A6036" w14:textId="77777777" w:rsidR="004C0C61" w:rsidRDefault="00E2743B">
      <w:pPr>
        <w:spacing w:before="240" w:after="240"/>
        <w:ind w:left="0" w:hanging="2"/>
        <w:jc w:val="both"/>
      </w:pPr>
      <w:r>
        <w:t>Gli infestanti sono presenze sp</w:t>
      </w:r>
      <w:r>
        <w:t>esso silenziose che possono proliferare in uffici, magazzini e grandi stabilimenti alimentari. Topi, ratti, insetti volanti e parassiti delle derrate alimentari possono provocare problemi economici e igienico-sanitari e causano ingenti danni alla GDO. Indi</w:t>
      </w:r>
      <w:r>
        <w:t>viduare rapidamente la specie e agire in maniera tempestiva con un piano di disinfestazione ecologica mirato ed efficace risulta quindi della massima importanza.</w:t>
      </w:r>
    </w:p>
    <w:p w14:paraId="2119EB62" w14:textId="77777777" w:rsidR="004C0C61" w:rsidRDefault="00E2743B">
      <w:pPr>
        <w:spacing w:before="240" w:after="240"/>
        <w:ind w:left="0" w:hanging="2"/>
        <w:jc w:val="both"/>
        <w:rPr>
          <w:i/>
        </w:rPr>
      </w:pPr>
      <w:r>
        <w:rPr>
          <w:i/>
        </w:rPr>
        <w:t>“Il 60% delle imprese dichiara che gli insetti delle derrate alimentari causano ogni anno perd</w:t>
      </w:r>
      <w:r>
        <w:rPr>
          <w:i/>
        </w:rPr>
        <w:t>ite di fatturato comprese tra l’1 e il 9%. Inoltre, le imprese alimentari perdono in media 8 giorni di lavoro all’anno a causa delle infestazioni dei roditori</w:t>
      </w:r>
      <w:r>
        <w:rPr>
          <w:i/>
          <w:vertAlign w:val="superscript"/>
        </w:rPr>
        <w:footnoteReference w:id="1"/>
      </w:r>
      <w:r>
        <w:rPr>
          <w:i/>
        </w:rPr>
        <w:t xml:space="preserve">."– </w:t>
      </w:r>
      <w:r>
        <w:rPr>
          <w:b/>
        </w:rPr>
        <w:t>commenta Ester Papa, biologa e Technical Manager di Rentokil Initial Italia</w:t>
      </w:r>
      <w:r>
        <w:t>.</w:t>
      </w:r>
      <w:r>
        <w:rPr>
          <w:i/>
        </w:rPr>
        <w:t xml:space="preserve"> “La gestione de</w:t>
      </w:r>
      <w:r>
        <w:rPr>
          <w:i/>
        </w:rPr>
        <w:t xml:space="preserve">gli infestanti è un ambito in continua evoluzione e i nostri esperti ricoprono un ruolo sempre più delicato e importante, essendo chiamati a proteggere le aziende, i dipendenti e la salute pubblica dalle minacce generate dagli infestanti. </w:t>
      </w:r>
      <w:r>
        <w:t xml:space="preserve"> </w:t>
      </w:r>
      <w:r>
        <w:rPr>
          <w:i/>
        </w:rPr>
        <w:t>Aderendo all’Age</w:t>
      </w:r>
      <w:r>
        <w:rPr>
          <w:i/>
        </w:rPr>
        <w:t>nda 2030 proposta dall’ONU e ai suoi 17 obiettivi comuni a tutti i paesi membri (</w:t>
      </w:r>
      <w:proofErr w:type="spellStart"/>
      <w:r>
        <w:rPr>
          <w:i/>
        </w:rPr>
        <w:t>Sustainable</w:t>
      </w:r>
      <w:proofErr w:type="spellEnd"/>
      <w:r>
        <w:rPr>
          <w:i/>
        </w:rPr>
        <w:t xml:space="preserve"> Development Goals - </w:t>
      </w:r>
      <w:proofErr w:type="spellStart"/>
      <w:r>
        <w:rPr>
          <w:i/>
        </w:rPr>
        <w:t>SDGs</w:t>
      </w:r>
      <w:proofErr w:type="spellEnd"/>
      <w:r>
        <w:rPr>
          <w:i/>
        </w:rPr>
        <w:t>), Rentokil ha ampliato la sua offerta con soluzioni volte a limitare l’utilizzo di esche tossiche.”</w:t>
      </w:r>
    </w:p>
    <w:p w14:paraId="7A67DA6D" w14:textId="77777777" w:rsidR="004C0C61" w:rsidRDefault="00E2743B">
      <w:pPr>
        <w:pBdr>
          <w:top w:val="nil"/>
          <w:left w:val="nil"/>
          <w:bottom w:val="nil"/>
          <w:right w:val="nil"/>
          <w:between w:val="nil"/>
        </w:pBdr>
        <w:shd w:val="clear" w:color="auto" w:fill="F9F9F9"/>
        <w:spacing w:after="240"/>
        <w:ind w:left="0" w:hanging="2"/>
        <w:jc w:val="both"/>
      </w:pPr>
      <w:r>
        <w:t>Rentokil è molto attenta a questi temi</w:t>
      </w:r>
      <w:r>
        <w:t xml:space="preserve"> e già da anni adotta misure sostenibili, non solo nei propri uffici e stabilimenti, ma soprattutto nei prodotti che impiega per offrire i migliori servizi possibili alle aziende: </w:t>
      </w:r>
      <w:r>
        <w:rPr>
          <w:b/>
        </w:rPr>
        <w:t>l’obiettivo è proporre sempre più spesso metodi di disinfestazione ecologica</w:t>
      </w:r>
      <w:r>
        <w:t>, orientati soprattutto alla prevenzione, ovvero ad evitare infestazioni critiche ad alto grado di contaminazione. L’utilizzo di biocidi e la loro messa a disposizione sul mercato sono disciplinati dal Regolamento (UE) 528/2012 che limita l’utilizzo di esc</w:t>
      </w:r>
      <w:r>
        <w:t xml:space="preserve">he tossiche. I metodi ecologici di disinfestazione, che non comportano agenti chimici dannosi per l’ambiente e per l’uomo, permettono di monitorare, eliminare e catturare gli infestanti, in particolare roditori ed insetti, senza impattare sull’ecosistema. </w:t>
      </w:r>
    </w:p>
    <w:p w14:paraId="7D3380E7" w14:textId="77777777" w:rsidR="004C0C61" w:rsidRDefault="00E2743B">
      <w:pPr>
        <w:pBdr>
          <w:top w:val="nil"/>
          <w:left w:val="nil"/>
          <w:bottom w:val="nil"/>
          <w:right w:val="nil"/>
          <w:between w:val="nil"/>
        </w:pBdr>
        <w:shd w:val="clear" w:color="auto" w:fill="F9F9F9"/>
        <w:spacing w:after="240"/>
        <w:ind w:left="0" w:hanging="2"/>
        <w:jc w:val="both"/>
        <w:rPr>
          <w:color w:val="000A15"/>
          <w:highlight w:val="white"/>
        </w:rPr>
      </w:pPr>
      <w:r>
        <w:lastRenderedPageBreak/>
        <w:t xml:space="preserve">A questo scopo Rentokil si avvale di tecnologie all’avanguardia, come </w:t>
      </w:r>
      <w:proofErr w:type="spellStart"/>
      <w:r>
        <w:rPr>
          <w:b/>
        </w:rPr>
        <w:t>Pest</w:t>
      </w:r>
      <w:proofErr w:type="spellEnd"/>
      <w:r>
        <w:rPr>
          <w:b/>
        </w:rPr>
        <w:t xml:space="preserve"> Connect</w:t>
      </w:r>
      <w:r>
        <w:t xml:space="preserve">. Si tratta di un sistema di interconnessione di dispositivi ideato da Rentokil che </w:t>
      </w:r>
      <w:r>
        <w:rPr>
          <w:b/>
        </w:rPr>
        <w:t>consente di monitorare da remoto, misurare, registrare e segnalare i problemi derivanti d</w:t>
      </w:r>
      <w:r>
        <w:rPr>
          <w:b/>
        </w:rPr>
        <w:t>alla presenza di piccoli roditori</w:t>
      </w:r>
      <w:r>
        <w:t xml:space="preserve">, anche in ambienti di difficile accesso, 24 ore su 24, 7 giorni su 7. </w:t>
      </w:r>
      <w:r>
        <w:rPr>
          <w:color w:val="000A15"/>
          <w:highlight w:val="white"/>
        </w:rPr>
        <w:t xml:space="preserve">Tutti i dispositivi attivati comunicano con il database Rentokil, allertando in real-time i tecnici tramite una rete mobile wireless dedicata. </w:t>
      </w:r>
    </w:p>
    <w:p w14:paraId="3BE5211E" w14:textId="77777777" w:rsidR="004C0C61" w:rsidRDefault="00E2743B">
      <w:pPr>
        <w:ind w:left="0" w:hanging="2"/>
        <w:jc w:val="both"/>
        <w:rPr>
          <w:color w:val="000A15"/>
          <w:highlight w:val="white"/>
        </w:rPr>
      </w:pPr>
      <w:r>
        <w:rPr>
          <w:color w:val="000A15"/>
          <w:highlight w:val="white"/>
        </w:rPr>
        <w:t>Per cont</w:t>
      </w:r>
      <w:r>
        <w:rPr>
          <w:color w:val="000A15"/>
          <w:highlight w:val="white"/>
        </w:rPr>
        <w:t xml:space="preserve">rollare la presenza di insetti volanti negli ambienti di lavoro, Rentokil ha brevettato le </w:t>
      </w:r>
      <w:r>
        <w:rPr>
          <w:b/>
          <w:color w:val="000A15"/>
          <w:highlight w:val="white"/>
        </w:rPr>
        <w:t xml:space="preserve">lampade cattura insetti </w:t>
      </w:r>
      <w:proofErr w:type="spellStart"/>
      <w:r>
        <w:rPr>
          <w:b/>
          <w:color w:val="000A15"/>
          <w:highlight w:val="white"/>
        </w:rPr>
        <w:t>Lumnia</w:t>
      </w:r>
      <w:proofErr w:type="spellEnd"/>
      <w:r>
        <w:rPr>
          <w:color w:val="000A15"/>
          <w:highlight w:val="white"/>
        </w:rPr>
        <w:t>: una gamma di dispositivi intelligenti dotati di tecnologia a luce LED per catturare igienicamente, monitorare ed eliminare in maniera</w:t>
      </w:r>
      <w:r>
        <w:rPr>
          <w:color w:val="000A15"/>
          <w:highlight w:val="white"/>
        </w:rPr>
        <w:t xml:space="preserve"> efficace la fastidiosa presenza di mosche, cimici e altri insetti volanti. Quanto più velocemente gli insetti vengono eliminati, minore è il rischio di contaminazioni varie che possono verificarsi. Inoltre i LED arrivano a consumare anche il 70% di energi</w:t>
      </w:r>
      <w:r>
        <w:rPr>
          <w:color w:val="000A15"/>
          <w:highlight w:val="white"/>
        </w:rPr>
        <w:t>a in meno (in tre anni) garantendo una durata 3 volte maggiore, un netto risparmio di costi e un minor impatto ambientale.</w:t>
      </w:r>
    </w:p>
    <w:p w14:paraId="603457D5" w14:textId="77777777" w:rsidR="004C0C61" w:rsidRDefault="00E2743B">
      <w:pPr>
        <w:ind w:left="0" w:hanging="2"/>
        <w:jc w:val="both"/>
        <w:rPr>
          <w:color w:val="000A15"/>
          <w:highlight w:val="white"/>
        </w:rPr>
      </w:pPr>
      <w:r>
        <w:rPr>
          <w:color w:val="000A15"/>
          <w:highlight w:val="white"/>
        </w:rPr>
        <w:t>Nel settore alimentare è importante anche non sottovalutare la presenza di volatili nei pressi degli stabilimenti, in quanto portator</w:t>
      </w:r>
      <w:r>
        <w:rPr>
          <w:color w:val="000A15"/>
          <w:highlight w:val="white"/>
        </w:rPr>
        <w:t xml:space="preserve">i di agenti patogeni e di conseguenza malattie. </w:t>
      </w:r>
      <w:r>
        <w:rPr>
          <w:color w:val="000A15"/>
          <w:shd w:val="clear" w:color="auto" w:fill="F9F9F9"/>
        </w:rPr>
        <w:t>L’azienda quindi deve implementare misure adeguate a prevenire l’ingresso di volatili all’interno degli edifici o la nidificazione su aree di carico e scarico.</w:t>
      </w:r>
      <w:r>
        <w:rPr>
          <w:color w:val="000A15"/>
          <w:shd w:val="clear" w:color="auto" w:fill="F9F9F9"/>
          <w:vertAlign w:val="superscript"/>
        </w:rPr>
        <w:footnoteReference w:id="2"/>
      </w:r>
      <w:r>
        <w:rPr>
          <w:color w:val="000A15"/>
          <w:shd w:val="clear" w:color="auto" w:fill="F9F9F9"/>
        </w:rPr>
        <w:t xml:space="preserve"> </w:t>
      </w:r>
      <w:r>
        <w:rPr>
          <w:color w:val="000A15"/>
        </w:rPr>
        <w:t>L'impiego dei dissuasori è generalmente il sistema più utilizzato, soprattutto per i risultati che è possibile ottenere e perché costringe gli uccelli a cercare altre superfici di appoggio.</w:t>
      </w:r>
      <w:r>
        <w:rPr>
          <w:color w:val="000A15"/>
          <w:shd w:val="clear" w:color="auto" w:fill="F9F9F9"/>
        </w:rPr>
        <w:t xml:space="preserve"> Scegliere la corretta soluzione</w:t>
      </w:r>
      <w:r>
        <w:rPr>
          <w:b/>
          <w:color w:val="000A15"/>
          <w:shd w:val="clear" w:color="auto" w:fill="F9F9F9"/>
        </w:rPr>
        <w:t xml:space="preserve"> anti-volatili </w:t>
      </w:r>
      <w:r>
        <w:rPr>
          <w:color w:val="000A15"/>
          <w:shd w:val="clear" w:color="auto" w:fill="F9F9F9"/>
        </w:rPr>
        <w:t>permette di ottenere</w:t>
      </w:r>
      <w:r>
        <w:rPr>
          <w:color w:val="000A15"/>
          <w:shd w:val="clear" w:color="auto" w:fill="F9F9F9"/>
        </w:rPr>
        <w:t xml:space="preserve"> risultati efficaci e rispettosi della natura.</w:t>
      </w:r>
    </w:p>
    <w:p w14:paraId="531A81B6" w14:textId="77777777" w:rsidR="004C0C61" w:rsidRDefault="00E2743B">
      <w:pPr>
        <w:spacing w:after="0"/>
        <w:ind w:left="0" w:hanging="2"/>
        <w:jc w:val="both"/>
        <w:rPr>
          <w:color w:val="FF0000"/>
        </w:rPr>
      </w:pPr>
      <w:r>
        <w:rPr>
          <w:color w:val="000A15"/>
        </w:rPr>
        <w:t xml:space="preserve">I sistemi di Digital </w:t>
      </w:r>
      <w:proofErr w:type="spellStart"/>
      <w:r>
        <w:rPr>
          <w:color w:val="000A15"/>
        </w:rPr>
        <w:t>Pest</w:t>
      </w:r>
      <w:proofErr w:type="spellEnd"/>
      <w:r>
        <w:rPr>
          <w:color w:val="000A15"/>
        </w:rPr>
        <w:t xml:space="preserve"> Control </w:t>
      </w:r>
      <w:r>
        <w:rPr>
          <w:color w:val="000A15"/>
          <w:highlight w:val="white"/>
        </w:rPr>
        <w:t>sono studiati per limitare il consumo di esche tossiche nelle aree esterne ed interne, ed evitare comportamenti crudeli nei confronti degli infestanti.</w:t>
      </w:r>
    </w:p>
    <w:p w14:paraId="3AEEFC35" w14:textId="77777777" w:rsidR="004C0C61" w:rsidRDefault="004C0C61">
      <w:pPr>
        <w:spacing w:after="0" w:line="240" w:lineRule="auto"/>
        <w:ind w:left="0" w:hanging="2"/>
        <w:jc w:val="both"/>
        <w:rPr>
          <w:color w:val="FF0000"/>
        </w:rPr>
      </w:pPr>
    </w:p>
    <w:p w14:paraId="7D4E55F7" w14:textId="77777777" w:rsidR="004C0C61" w:rsidRDefault="004C0C61">
      <w:pPr>
        <w:spacing w:after="0" w:line="240" w:lineRule="auto"/>
        <w:ind w:left="0" w:hanging="2"/>
        <w:jc w:val="both"/>
        <w:rPr>
          <w:color w:val="FF0000"/>
        </w:rPr>
      </w:pPr>
    </w:p>
    <w:p w14:paraId="4144E755" w14:textId="77777777" w:rsidR="004C0C61" w:rsidRDefault="004C0C61">
      <w:pPr>
        <w:spacing w:after="0" w:line="240" w:lineRule="auto"/>
        <w:ind w:left="0" w:hanging="2"/>
        <w:jc w:val="both"/>
        <w:rPr>
          <w:color w:val="FF0000"/>
        </w:rPr>
      </w:pPr>
    </w:p>
    <w:p w14:paraId="0B6B7270" w14:textId="77777777" w:rsidR="004C0C61" w:rsidRDefault="00E2743B">
      <w:pPr>
        <w:spacing w:after="0" w:line="240" w:lineRule="auto"/>
        <w:ind w:left="0" w:hanging="2"/>
        <w:jc w:val="both"/>
      </w:pPr>
      <w:r>
        <w:t>***</w:t>
      </w:r>
    </w:p>
    <w:p w14:paraId="3411DBE6" w14:textId="77777777" w:rsidR="004C0C61" w:rsidRDefault="004C0C61">
      <w:pPr>
        <w:spacing w:after="0"/>
        <w:jc w:val="both"/>
        <w:rPr>
          <w:b/>
          <w:sz w:val="10"/>
          <w:szCs w:val="10"/>
        </w:rPr>
      </w:pPr>
    </w:p>
    <w:p w14:paraId="2C2DDCA6" w14:textId="77777777" w:rsidR="004C0C61" w:rsidRDefault="00E2743B">
      <w:pPr>
        <w:spacing w:after="0"/>
        <w:ind w:left="0" w:hanging="2"/>
        <w:rPr>
          <w:b/>
          <w:sz w:val="20"/>
          <w:szCs w:val="20"/>
        </w:rPr>
      </w:pPr>
      <w:r>
        <w:rPr>
          <w:b/>
          <w:sz w:val="20"/>
          <w:szCs w:val="20"/>
        </w:rPr>
        <w:t>Rentokil Initial</w:t>
      </w:r>
    </w:p>
    <w:p w14:paraId="76769AD4" w14:textId="77777777" w:rsidR="004C0C61" w:rsidRDefault="00E2743B">
      <w:pPr>
        <w:spacing w:after="0" w:line="240" w:lineRule="auto"/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Rentokil Initial è il maggior fornitore al mondo di servizi per le aziende. Da oltre 90 anni l’azienda - nata dalla fusione di due società - si occupa di </w:t>
      </w:r>
      <w:proofErr w:type="spellStart"/>
      <w:r>
        <w:rPr>
          <w:sz w:val="20"/>
          <w:szCs w:val="20"/>
        </w:rPr>
        <w:t>Pest</w:t>
      </w:r>
      <w:proofErr w:type="spellEnd"/>
      <w:r>
        <w:rPr>
          <w:sz w:val="20"/>
          <w:szCs w:val="20"/>
        </w:rPr>
        <w:t xml:space="preserve"> e </w:t>
      </w:r>
      <w:proofErr w:type="spellStart"/>
      <w:r>
        <w:rPr>
          <w:sz w:val="20"/>
          <w:szCs w:val="20"/>
        </w:rPr>
        <w:t>Hygiene</w:t>
      </w:r>
      <w:proofErr w:type="spellEnd"/>
      <w:r>
        <w:rPr>
          <w:sz w:val="20"/>
          <w:szCs w:val="20"/>
        </w:rPr>
        <w:t xml:space="preserve"> Services. Attiva in oltre 80 Paesi al mondo - in Europa, Asia, Oceania</w:t>
      </w:r>
      <w:r>
        <w:rPr>
          <w:sz w:val="20"/>
          <w:szCs w:val="20"/>
        </w:rPr>
        <w:t xml:space="preserve">, America e Africa - conta più di 43.000 dipendenti e un fatturato annuo di £ 2.6 miliardi. La filiale italiana opera oggi con due divisioni: Initial </w:t>
      </w:r>
      <w:proofErr w:type="spellStart"/>
      <w:r>
        <w:rPr>
          <w:sz w:val="20"/>
          <w:szCs w:val="20"/>
        </w:rPr>
        <w:t>Hygiene</w:t>
      </w:r>
      <w:proofErr w:type="spellEnd"/>
      <w:r>
        <w:rPr>
          <w:sz w:val="20"/>
          <w:szCs w:val="20"/>
        </w:rPr>
        <w:t>, specializzata in servizi per l’igiene e marketing olfattivo, che si è ampliata grazie all’acquisi</w:t>
      </w:r>
      <w:r>
        <w:rPr>
          <w:sz w:val="20"/>
          <w:szCs w:val="20"/>
        </w:rPr>
        <w:t>zione di CWS-</w:t>
      </w:r>
      <w:proofErr w:type="spellStart"/>
      <w:r>
        <w:rPr>
          <w:sz w:val="20"/>
          <w:szCs w:val="20"/>
        </w:rPr>
        <w:t>boco</w:t>
      </w:r>
      <w:proofErr w:type="spellEnd"/>
      <w:r>
        <w:rPr>
          <w:sz w:val="20"/>
          <w:szCs w:val="20"/>
        </w:rPr>
        <w:t xml:space="preserve"> Italia, e Rentokil </w:t>
      </w:r>
      <w:proofErr w:type="spellStart"/>
      <w:r>
        <w:rPr>
          <w:sz w:val="20"/>
          <w:szCs w:val="20"/>
        </w:rPr>
        <w:t>Pest</w:t>
      </w:r>
      <w:proofErr w:type="spellEnd"/>
      <w:r>
        <w:rPr>
          <w:sz w:val="20"/>
          <w:szCs w:val="20"/>
        </w:rPr>
        <w:t xml:space="preserve"> Control, dedicata ai servizi per la disinfestazione e monitoraggio degli infestanti e la disinfezione degli ambienti. Lo staff è composto ora da circa 700 dipendenti, con un personale tecnico suddiviso su molteplic</w:t>
      </w:r>
      <w:r>
        <w:rPr>
          <w:sz w:val="20"/>
          <w:szCs w:val="20"/>
        </w:rPr>
        <w:t xml:space="preserve">i filiali nel territorio nazionale. Nel 2021 la società ha acquisito Gico Systems, azienda italiana specializzata nel </w:t>
      </w:r>
      <w:proofErr w:type="spellStart"/>
      <w:r>
        <w:rPr>
          <w:sz w:val="20"/>
          <w:szCs w:val="20"/>
        </w:rPr>
        <w:t>pest</w:t>
      </w:r>
      <w:proofErr w:type="spellEnd"/>
      <w:r>
        <w:rPr>
          <w:sz w:val="20"/>
          <w:szCs w:val="20"/>
        </w:rPr>
        <w:t xml:space="preserve"> control e allontanamento volatili.  Rentokil ha un'esperienza globale dal Nord America all'Europa, anche grazie alla recente acquisiz</w:t>
      </w:r>
      <w:r>
        <w:rPr>
          <w:sz w:val="20"/>
          <w:szCs w:val="20"/>
        </w:rPr>
        <w:t xml:space="preserve">ione di </w:t>
      </w:r>
      <w:proofErr w:type="spellStart"/>
      <w:r>
        <w:rPr>
          <w:sz w:val="20"/>
          <w:szCs w:val="20"/>
        </w:rPr>
        <w:t>Terminix</w:t>
      </w:r>
      <w:proofErr w:type="spellEnd"/>
      <w:r>
        <w:rPr>
          <w:sz w:val="20"/>
          <w:szCs w:val="20"/>
        </w:rPr>
        <w:t xml:space="preserve">, società leader del </w:t>
      </w:r>
      <w:proofErr w:type="spellStart"/>
      <w:r>
        <w:rPr>
          <w:sz w:val="20"/>
          <w:szCs w:val="20"/>
        </w:rPr>
        <w:t>Pest</w:t>
      </w:r>
      <w:proofErr w:type="spellEnd"/>
      <w:r>
        <w:rPr>
          <w:sz w:val="20"/>
          <w:szCs w:val="20"/>
        </w:rPr>
        <w:t xml:space="preserve"> Control in Nord America. </w:t>
      </w:r>
    </w:p>
    <w:p w14:paraId="3F1E9EA4" w14:textId="77777777" w:rsidR="004C0C61" w:rsidRDefault="004C0C61">
      <w:pPr>
        <w:spacing w:after="0"/>
        <w:jc w:val="both"/>
        <w:rPr>
          <w:sz w:val="12"/>
          <w:szCs w:val="12"/>
        </w:rPr>
      </w:pPr>
    </w:p>
    <w:p w14:paraId="14B8DB83" w14:textId="77777777" w:rsidR="004C0C61" w:rsidRDefault="004C0C61">
      <w:pPr>
        <w:spacing w:after="0" w:line="240" w:lineRule="auto"/>
        <w:ind w:left="0" w:hanging="2"/>
        <w:jc w:val="both"/>
        <w:rPr>
          <w:b/>
          <w:sz w:val="20"/>
          <w:szCs w:val="20"/>
        </w:rPr>
      </w:pPr>
    </w:p>
    <w:p w14:paraId="12C9F394" w14:textId="77777777" w:rsidR="004C0C61" w:rsidRDefault="004C0C61">
      <w:pPr>
        <w:spacing w:after="0" w:line="240" w:lineRule="auto"/>
        <w:ind w:left="0" w:hanging="2"/>
        <w:jc w:val="both"/>
        <w:rPr>
          <w:b/>
          <w:sz w:val="20"/>
          <w:szCs w:val="20"/>
        </w:rPr>
      </w:pPr>
    </w:p>
    <w:p w14:paraId="68923713" w14:textId="77777777" w:rsidR="004C0C61" w:rsidRDefault="00E2743B">
      <w:pPr>
        <w:spacing w:after="0" w:line="240" w:lineRule="auto"/>
        <w:ind w:left="0" w:hanging="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Contatti per la stampa:</w:t>
      </w:r>
    </w:p>
    <w:p w14:paraId="4C57CA97" w14:textId="77777777" w:rsidR="004C0C61" w:rsidRDefault="00E2743B">
      <w:pPr>
        <w:spacing w:after="0" w:line="240" w:lineRule="auto"/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>Alessia Rebaudo, Federica Ciocia, Francesco Palmerini, Sara Oliverio - Noesis Comunicazione - Tel. 02 8310511</w:t>
      </w:r>
    </w:p>
    <w:p w14:paraId="5F03D1E7" w14:textId="77777777" w:rsidR="004C0C61" w:rsidRDefault="00E2743B">
      <w:pPr>
        <w:spacing w:after="0" w:line="240" w:lineRule="auto"/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Email: </w:t>
      </w:r>
      <w:hyperlink r:id="rId8">
        <w:r>
          <w:rPr>
            <w:color w:val="0563C1"/>
            <w:sz w:val="20"/>
            <w:szCs w:val="20"/>
            <w:u w:val="single"/>
          </w:rPr>
          <w:t>sara.oliverio@noesis.net</w:t>
        </w:r>
      </w:hyperlink>
    </w:p>
    <w:sectPr w:rsidR="004C0C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276" w:right="1133" w:bottom="142" w:left="1134" w:header="284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85B45" w14:textId="77777777" w:rsidR="00000000" w:rsidRDefault="00E2743B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788AF114" w14:textId="77777777" w:rsidR="00000000" w:rsidRDefault="00E2743B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Proxima Nov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5B22F" w14:textId="77777777" w:rsidR="004C0C61" w:rsidRDefault="004C0C6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562C9" w14:textId="77777777" w:rsidR="004C0C61" w:rsidRDefault="00E2743B">
    <w:pPr>
      <w:ind w:left="0" w:hanging="2"/>
      <w:jc w:val="right"/>
      <w:rPr>
        <w:rFonts w:ascii="Times New Roman" w:eastAsia="Times New Roman" w:hAnsi="Times New Roman" w:cs="Times New Roman"/>
        <w:sz w:val="20"/>
        <w:szCs w:val="20"/>
      </w:rPr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95A3F" w14:textId="77777777" w:rsidR="004C0C61" w:rsidRDefault="004C0C6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87CF6" w14:textId="77777777" w:rsidR="00000000" w:rsidRDefault="00E2743B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19747DE2" w14:textId="77777777" w:rsidR="00000000" w:rsidRDefault="00E2743B">
      <w:pPr>
        <w:spacing w:after="0" w:line="240" w:lineRule="auto"/>
        <w:ind w:left="0" w:hanging="2"/>
      </w:pPr>
      <w:r>
        <w:continuationSeparator/>
      </w:r>
    </w:p>
  </w:footnote>
  <w:footnote w:id="1">
    <w:p w14:paraId="5877382F" w14:textId="77777777" w:rsidR="004C0C61" w:rsidRDefault="00E274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Ricerca del Centre for </w:t>
      </w:r>
      <w:proofErr w:type="spellStart"/>
      <w:r>
        <w:rPr>
          <w:i/>
          <w:sz w:val="20"/>
          <w:szCs w:val="20"/>
        </w:rPr>
        <w:t>Economics</w:t>
      </w:r>
      <w:proofErr w:type="spellEnd"/>
      <w:r>
        <w:rPr>
          <w:i/>
          <w:sz w:val="20"/>
          <w:szCs w:val="20"/>
        </w:rPr>
        <w:t xml:space="preserve"> and Business </w:t>
      </w:r>
      <w:proofErr w:type="spellStart"/>
      <w:r>
        <w:rPr>
          <w:i/>
          <w:sz w:val="20"/>
          <w:szCs w:val="20"/>
        </w:rPr>
        <w:t>Research</w:t>
      </w:r>
      <w:proofErr w:type="spellEnd"/>
      <w:r>
        <w:rPr>
          <w:i/>
          <w:sz w:val="20"/>
          <w:szCs w:val="20"/>
        </w:rPr>
        <w:t xml:space="preserve"> (</w:t>
      </w:r>
      <w:proofErr w:type="spellStart"/>
      <w:r>
        <w:rPr>
          <w:i/>
          <w:sz w:val="20"/>
          <w:szCs w:val="20"/>
        </w:rPr>
        <w:t>Cebr</w:t>
      </w:r>
      <w:proofErr w:type="spellEnd"/>
      <w:r>
        <w:rPr>
          <w:i/>
          <w:sz w:val="20"/>
          <w:szCs w:val="20"/>
        </w:rPr>
        <w:t>) commissionata da Rentokil</w:t>
      </w:r>
    </w:p>
  </w:footnote>
  <w:footnote w:id="2">
    <w:p w14:paraId="70B34694" w14:textId="77777777" w:rsidR="004C0C61" w:rsidRDefault="00E274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Standard BRC Food v.9 </w:t>
      </w:r>
      <w:r>
        <w:rPr>
          <w:color w:val="000A15"/>
          <w:sz w:val="20"/>
          <w:szCs w:val="20"/>
        </w:rPr>
        <w:t xml:space="preserve">paragrafo 4.14.7 - </w:t>
      </w:r>
      <w:hyperlink r:id="rId1">
        <w:r>
          <w:rPr>
            <w:sz w:val="20"/>
            <w:szCs w:val="20"/>
            <w:u w:val="single"/>
          </w:rPr>
          <w:t>https://www.brcgs.com/our-standards/food-safety/</w:t>
        </w:r>
      </w:hyperlink>
      <w:r>
        <w:rPr>
          <w:color w:val="000A15"/>
          <w:sz w:val="20"/>
          <w:szCs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DC334" w14:textId="77777777" w:rsidR="004C0C61" w:rsidRDefault="004C0C6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87B48" w14:textId="77777777" w:rsidR="004C0C61" w:rsidRDefault="00E2743B">
    <w:pPr>
      <w:ind w:left="0" w:hanging="2"/>
      <w:jc w:val="right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8240" behindDoc="0" locked="0" layoutInCell="1" hidden="0" allowOverlap="1" wp14:anchorId="1246BB83" wp14:editId="3E944065">
          <wp:simplePos x="0" y="0"/>
          <wp:positionH relativeFrom="margin">
            <wp:posOffset>5488305</wp:posOffset>
          </wp:positionH>
          <wp:positionV relativeFrom="margin">
            <wp:posOffset>-520690</wp:posOffset>
          </wp:positionV>
          <wp:extent cx="939800" cy="208971"/>
          <wp:effectExtent l="0" t="0" r="0" b="0"/>
          <wp:wrapSquare wrapText="bothSides" distT="0" distB="0" distL="114300" distR="114300"/>
          <wp:docPr id="1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1384" r="1425" b="50780"/>
                  <a:stretch>
                    <a:fillRect/>
                  </a:stretch>
                </pic:blipFill>
                <pic:spPr>
                  <a:xfrm>
                    <a:off x="0" y="0"/>
                    <a:ext cx="939800" cy="20897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A51FD" w14:textId="77777777" w:rsidR="004C0C61" w:rsidRDefault="004C0C6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B7470"/>
    <w:multiLevelType w:val="multilevel"/>
    <w:tmpl w:val="5CDE2388"/>
    <w:lvl w:ilvl="0">
      <w:start w:val="1"/>
      <w:numFmt w:val="bullet"/>
      <w:lvlText w:val="●"/>
      <w:lvlJc w:val="left"/>
      <w:pPr>
        <w:ind w:left="71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" w:eastAsia="Noto Sans" w:hAnsi="Noto Sans" w:cs="Noto Sans"/>
      </w:rPr>
    </w:lvl>
  </w:abstractNum>
  <w:num w:numId="1" w16cid:durableId="480705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C61"/>
    <w:rsid w:val="004C0C61"/>
    <w:rsid w:val="00E2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98632"/>
  <w15:docId w15:val="{3BE4ED5A-5D12-4F4E-B75F-27FEB1D29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45248"/>
    <w:pPr>
      <w:suppressAutoHyphens/>
      <w:ind w:leftChars="-1" w:left="-1" w:hangingChars="1"/>
      <w:textDirection w:val="btLr"/>
      <w:textAlignment w:val="top"/>
    </w:pPr>
    <w:rPr>
      <w:rFonts w:eastAsia="Arial Unicode MS" w:cs="Arial Unicode MS"/>
      <w:color w:val="000000"/>
      <w:u w:color="000000"/>
      <w:lang w:eastAsia="en-US"/>
    </w:rPr>
  </w:style>
  <w:style w:type="paragraph" w:styleId="Titolo1">
    <w:name w:val="heading 1"/>
    <w:basedOn w:val="Normale"/>
    <w:next w:val="Normale"/>
    <w:uiPriority w:val="9"/>
    <w:qFormat/>
    <w:rsid w:val="0014524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14524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14524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14524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145248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14524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145248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e1">
    <w:name w:val="Normale1"/>
    <w:rsid w:val="00823AB6"/>
  </w:style>
  <w:style w:type="table" w:customStyle="1" w:styleId="TableNormal0">
    <w:name w:val="Table Normal"/>
    <w:rsid w:val="00823AB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823AB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823AB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10">
    <w:name w:val="Normale1"/>
    <w:rsid w:val="003650C2"/>
  </w:style>
  <w:style w:type="table" w:customStyle="1" w:styleId="TableNormal3">
    <w:name w:val="Table Normal"/>
    <w:rsid w:val="003650C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rsid w:val="003650C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rsid w:val="003650C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11">
    <w:name w:val="Normale1"/>
    <w:rsid w:val="006F5BEA"/>
  </w:style>
  <w:style w:type="table" w:customStyle="1" w:styleId="TableNormal6">
    <w:name w:val="Table Normal"/>
    <w:rsid w:val="006F5BE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0">
    <w:name w:val="Table Normal4"/>
    <w:rsid w:val="006F5BE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12">
    <w:name w:val="Normale1"/>
    <w:rsid w:val="00145248"/>
  </w:style>
  <w:style w:type="table" w:customStyle="1" w:styleId="TableNormal30">
    <w:name w:val="Table Normal3"/>
    <w:rsid w:val="0014524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"/>
    <w:rsid w:val="0014524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next w:val="TableNormal20"/>
    <w:rsid w:val="00145248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rsid w:val="00145248"/>
    <w:rPr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essuno">
    <w:name w:val="Nessuno"/>
    <w:rsid w:val="00145248"/>
    <w:rPr>
      <w:w w:val="100"/>
      <w:position w:val="-1"/>
      <w:effect w:val="none"/>
      <w:vertAlign w:val="baseline"/>
      <w:cs w:val="0"/>
      <w:em w:val="none"/>
    </w:rPr>
  </w:style>
  <w:style w:type="character" w:customStyle="1" w:styleId="Hyperlink0">
    <w:name w:val="Hyperlink.0"/>
    <w:basedOn w:val="Nessuno"/>
    <w:rsid w:val="00145248"/>
    <w:rPr>
      <w:w w:val="100"/>
      <w:position w:val="-1"/>
      <w:effect w:val="none"/>
      <w:vertAlign w:val="baseline"/>
      <w:cs w:val="0"/>
      <w:em w:val="none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F5BE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F5BEA"/>
    <w:rPr>
      <w:rFonts w:eastAsia="Arial Unicode MS" w:cs="Arial Unicode MS"/>
      <w:color w:val="000000"/>
      <w:sz w:val="20"/>
      <w:szCs w:val="20"/>
      <w:u w:color="000000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6F5BEA"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3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30E8"/>
    <w:rPr>
      <w:rFonts w:ascii="Tahoma" w:eastAsia="Arial Unicode MS" w:hAnsi="Tahoma" w:cs="Tahoma"/>
      <w:color w:val="000000"/>
      <w:sz w:val="16"/>
      <w:szCs w:val="16"/>
      <w:u w:color="000000"/>
      <w:lang w:eastAsia="en-US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ind w:left="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sione">
    <w:name w:val="Revision"/>
    <w:hidden/>
    <w:uiPriority w:val="99"/>
    <w:semiHidden/>
    <w:rsid w:val="00116798"/>
    <w:pPr>
      <w:spacing w:after="0" w:line="240" w:lineRule="auto"/>
      <w:ind w:firstLine="0"/>
    </w:pPr>
    <w:rPr>
      <w:rFonts w:eastAsia="Arial Unicode MS" w:cs="Arial Unicode MS"/>
      <w:color w:val="000000"/>
      <w:u w:color="000000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9D1432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D1432"/>
    <w:rPr>
      <w:b/>
      <w:bCs/>
    </w:rPr>
  </w:style>
  <w:style w:type="character" w:styleId="Enfasicorsivo">
    <w:name w:val="Emphasis"/>
    <w:basedOn w:val="Carpredefinitoparagrafo"/>
    <w:uiPriority w:val="20"/>
    <w:qFormat/>
    <w:rsid w:val="00154FE0"/>
    <w:rPr>
      <w:i/>
      <w:iCs/>
    </w:rPr>
  </w:style>
  <w:style w:type="paragraph" w:customStyle="1" w:styleId="Default">
    <w:name w:val="Default"/>
    <w:rsid w:val="007A198C"/>
    <w:pPr>
      <w:autoSpaceDE w:val="0"/>
      <w:autoSpaceDN w:val="0"/>
      <w:adjustRightInd w:val="0"/>
      <w:spacing w:after="0" w:line="240" w:lineRule="auto"/>
      <w:ind w:firstLine="0"/>
    </w:pPr>
    <w:rPr>
      <w:rFonts w:ascii="Roboto" w:hAnsi="Roboto" w:cs="Roboto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BD3D68"/>
    <w:pPr>
      <w:spacing w:line="241" w:lineRule="atLeast"/>
    </w:pPr>
    <w:rPr>
      <w:rFonts w:ascii="Proxima Nova" w:hAnsi="Proxima Nova" w:cs="Calibri"/>
      <w:color w:val="auto"/>
    </w:rPr>
  </w:style>
  <w:style w:type="character" w:customStyle="1" w:styleId="A4">
    <w:name w:val="A4"/>
    <w:uiPriority w:val="99"/>
    <w:rsid w:val="00BD3D68"/>
    <w:rPr>
      <w:rFonts w:cs="Proxima Nova"/>
      <w:color w:val="000000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AA1BA8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D119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D119A"/>
    <w:rPr>
      <w:rFonts w:eastAsia="Arial Unicode MS" w:cs="Arial Unicode MS"/>
      <w:color w:val="000000"/>
      <w:sz w:val="20"/>
      <w:szCs w:val="20"/>
      <w:u w:color="000000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D119A"/>
    <w:rPr>
      <w:vertAlign w:val="superscrip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D119A"/>
    <w:rPr>
      <w:color w:val="605E5C"/>
      <w:shd w:val="clear" w:color="auto" w:fill="E1DFDD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D119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D119A"/>
    <w:rPr>
      <w:rFonts w:eastAsia="Arial Unicode MS" w:cs="Arial Unicode MS"/>
      <w:b/>
      <w:bCs/>
      <w:color w:val="000000"/>
      <w:sz w:val="20"/>
      <w:szCs w:val="20"/>
      <w:u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.oliverio@noesis.ne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rcgs.com/our-standards/food-safety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Fqf6H5M7DR8g5tVhVTtSlS4sLg==">AMUW2mUbXVl7z/jCvfAV9TmJGkYfSAWOgkh3LKYk2BfneK9HxJz0VPvtmSgx+S6fUswwmgCjMxGnL2pz1VHCUVEwyudFdQmaMiJhV8VDDmi5KECYaba2X7w=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1017</Words>
  <Characters>5803</Characters>
  <Application>Microsoft Office Word</Application>
  <DocSecurity>0</DocSecurity>
  <Lines>48</Lines>
  <Paragraphs>13</Paragraphs>
  <ScaleCrop>false</ScaleCrop>
  <Company/>
  <LinksUpToDate>false</LinksUpToDate>
  <CharactersWithSpaces>6807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 Ramponi</dc:creator>
  <cp:lastModifiedBy>Sara Oliverio</cp:lastModifiedBy>
  <cp:revision>2</cp:revision>
  <dcterms:created xsi:type="dcterms:W3CDTF">2022-10-19T13:47:00Z</dcterms:created>
  <dcterms:modified xsi:type="dcterms:W3CDTF">2022-11-09T09:43:00Z</dcterms:modified>
</cp:coreProperties>
</file>