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43" w:rsidRDefault="000A263A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color w:val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35243" w:rsidRDefault="00D35243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D35243" w:rsidRDefault="00D35243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D35243" w:rsidRDefault="00D35243">
      <w:pPr>
        <w:rPr>
          <w:rFonts w:ascii="Times New Roman" w:eastAsia="Times New Roman" w:hAnsi="Times New Roman" w:cs="Times New Roman"/>
          <w:b w:val="0"/>
          <w:bCs w:val="0"/>
        </w:rPr>
      </w:pPr>
    </w:p>
    <w:p w:rsidR="00D35243" w:rsidRDefault="00D35243">
      <w:pPr>
        <w:rPr>
          <w:i/>
          <w:iCs/>
        </w:rPr>
      </w:pPr>
    </w:p>
    <w:p w:rsidR="00D35243" w:rsidRDefault="00D35243">
      <w:pPr>
        <w:jc w:val="right"/>
        <w:rPr>
          <w:i/>
          <w:iCs/>
        </w:rPr>
      </w:pPr>
    </w:p>
    <w:p w:rsidR="00D35243" w:rsidRDefault="00861D95">
      <w:pPr>
        <w:jc w:val="right"/>
        <w:rPr>
          <w:b w:val="0"/>
          <w:bCs w:val="0"/>
          <w:i/>
          <w:iCs/>
          <w:color w:val="000000"/>
        </w:rPr>
      </w:pPr>
      <w:r>
        <w:rPr>
          <w:b w:val="0"/>
          <w:bCs w:val="0"/>
          <w:i/>
          <w:iCs/>
          <w:color w:val="000000"/>
        </w:rPr>
        <w:t>Roma, 5</w:t>
      </w:r>
      <w:r w:rsidR="000A263A">
        <w:rPr>
          <w:b w:val="0"/>
          <w:bCs w:val="0"/>
          <w:i/>
          <w:iCs/>
          <w:color w:val="000000"/>
        </w:rPr>
        <w:t xml:space="preserve"> dicembre 2022</w:t>
      </w:r>
    </w:p>
    <w:p w:rsidR="00D35243" w:rsidRDefault="00D35243">
      <w:pPr>
        <w:jc w:val="right"/>
        <w:rPr>
          <w:color w:val="003366"/>
          <w:u w:val="single" w:color="003366"/>
        </w:rPr>
      </w:pPr>
    </w:p>
    <w:p w:rsidR="00D35243" w:rsidRDefault="00D35243">
      <w:pPr>
        <w:rPr>
          <w:color w:val="003366"/>
          <w:sz w:val="16"/>
          <w:szCs w:val="16"/>
          <w:u w:val="single" w:color="003366"/>
        </w:rPr>
      </w:pPr>
    </w:p>
    <w:p w:rsidR="00D35243" w:rsidRDefault="000A263A">
      <w:pPr>
        <w:spacing w:line="276" w:lineRule="auto"/>
        <w:rPr>
          <w:b w:val="0"/>
          <w:bCs w:val="0"/>
          <w:color w:val="003366"/>
          <w:sz w:val="20"/>
          <w:szCs w:val="20"/>
          <w:u w:val="single" w:color="003366"/>
        </w:rPr>
      </w:pPr>
      <w:r>
        <w:rPr>
          <w:b w:val="0"/>
          <w:bCs w:val="0"/>
          <w:color w:val="003366"/>
          <w:sz w:val="20"/>
          <w:szCs w:val="20"/>
          <w:u w:val="single" w:color="003366"/>
        </w:rPr>
        <w:t>MERCATO AUTOVEICOLI</w:t>
      </w:r>
    </w:p>
    <w:p w:rsidR="00D35243" w:rsidRDefault="00D35243">
      <w:pPr>
        <w:spacing w:line="276" w:lineRule="auto"/>
        <w:rPr>
          <w:color w:val="003366"/>
          <w:sz w:val="16"/>
          <w:szCs w:val="16"/>
          <w:u w:val="single" w:color="003366"/>
        </w:rPr>
      </w:pPr>
    </w:p>
    <w:p w:rsidR="00123BFE" w:rsidRDefault="000A263A" w:rsidP="00123BFE">
      <w:pPr>
        <w:rPr>
          <w:rFonts w:eastAsia="Arial Unicode MS" w:cs="Arial Unicode MS"/>
          <w:color w:val="800000"/>
          <w:sz w:val="24"/>
          <w:szCs w:val="24"/>
          <w:u w:color="800000"/>
        </w:rPr>
      </w:pP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ACI: </w:t>
      </w:r>
      <w:r w:rsidR="00130531">
        <w:rPr>
          <w:rFonts w:eastAsia="Arial Unicode MS" w:cs="Arial Unicode MS"/>
          <w:color w:val="800000"/>
          <w:sz w:val="24"/>
          <w:szCs w:val="24"/>
          <w:u w:color="800000"/>
        </w:rPr>
        <w:t>ANCORA IN CRESCITA A NOVEMBRE IL PARCO CIRCOLANTE</w:t>
      </w:r>
    </w:p>
    <w:p w:rsidR="00D35243" w:rsidRPr="00123BFE" w:rsidRDefault="00130531" w:rsidP="00123BFE">
      <w:pPr>
        <w:rPr>
          <w:rFonts w:eastAsia="Arial Unicode MS" w:cs="Arial Unicode MS"/>
          <w:color w:val="800000"/>
          <w:sz w:val="24"/>
          <w:szCs w:val="24"/>
          <w:u w:color="800000"/>
        </w:rPr>
      </w:pP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MENTRE </w:t>
      </w:r>
      <w:r w:rsidR="00123BFE">
        <w:rPr>
          <w:rFonts w:eastAsia="Arial Unicode MS" w:cs="Arial Unicode MS"/>
          <w:color w:val="800000"/>
          <w:sz w:val="24"/>
          <w:szCs w:val="24"/>
          <w:u w:color="800000"/>
        </w:rPr>
        <w:t>PROSEGUE IL CALO DEL MERCATO DELL’USATO</w:t>
      </w:r>
      <w:r w:rsidR="000A263A">
        <w:rPr>
          <w:rFonts w:eastAsia="Arial Unicode MS" w:cs="Arial Unicode MS"/>
          <w:color w:val="800000"/>
          <w:sz w:val="24"/>
          <w:szCs w:val="24"/>
          <w:u w:color="800000"/>
        </w:rPr>
        <w:t xml:space="preserve">  </w:t>
      </w:r>
    </w:p>
    <w:p w:rsidR="00D35243" w:rsidRDefault="000A26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5243" w:rsidRDefault="00D35243">
      <w:pPr>
        <w:spacing w:line="288" w:lineRule="auto"/>
        <w:jc w:val="both"/>
        <w:rPr>
          <w:sz w:val="16"/>
          <w:szCs w:val="16"/>
        </w:rPr>
      </w:pPr>
    </w:p>
    <w:p w:rsidR="00D35243" w:rsidRPr="00D16693" w:rsidRDefault="006809B1">
      <w:pPr>
        <w:spacing w:line="288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Ancora in sofferenza il mercato delle </w:t>
      </w:r>
      <w:r w:rsidRPr="006809B1">
        <w:rPr>
          <w:bCs w:val="0"/>
          <w:color w:val="000000"/>
          <w:sz w:val="22"/>
          <w:szCs w:val="22"/>
        </w:rPr>
        <w:t>autovetture di secondo mano</w:t>
      </w:r>
      <w:r w:rsidR="006415DA">
        <w:rPr>
          <w:b w:val="0"/>
          <w:bCs w:val="0"/>
          <w:color w:val="000000"/>
          <w:sz w:val="22"/>
          <w:szCs w:val="22"/>
        </w:rPr>
        <w:t xml:space="preserve">, che a </w:t>
      </w:r>
      <w:r>
        <w:rPr>
          <w:b w:val="0"/>
          <w:bCs w:val="0"/>
          <w:color w:val="000000"/>
          <w:sz w:val="22"/>
          <w:szCs w:val="22"/>
        </w:rPr>
        <w:t>novembre ha messo a bilancio l’ennesimo risultato negativo</w:t>
      </w:r>
      <w:r w:rsidR="006415DA">
        <w:rPr>
          <w:b w:val="0"/>
          <w:bCs w:val="0"/>
          <w:color w:val="000000"/>
          <w:sz w:val="22"/>
          <w:szCs w:val="22"/>
        </w:rPr>
        <w:t>, con</w:t>
      </w:r>
      <w:r>
        <w:rPr>
          <w:b w:val="0"/>
          <w:bCs w:val="0"/>
          <w:color w:val="000000"/>
          <w:sz w:val="22"/>
          <w:szCs w:val="22"/>
        </w:rPr>
        <w:t xml:space="preserve"> un </w:t>
      </w:r>
      <w:r w:rsidRPr="006809B1">
        <w:rPr>
          <w:bCs w:val="0"/>
          <w:color w:val="000000"/>
          <w:sz w:val="22"/>
          <w:szCs w:val="22"/>
        </w:rPr>
        <w:t xml:space="preserve">calo dell’8,3% dei </w:t>
      </w:r>
      <w:r w:rsidR="000A263A" w:rsidRPr="006809B1">
        <w:rPr>
          <w:color w:val="000000"/>
          <w:sz w:val="22"/>
          <w:szCs w:val="22"/>
        </w:rPr>
        <w:t xml:space="preserve"> p</w:t>
      </w:r>
      <w:r w:rsidR="000A263A">
        <w:rPr>
          <w:color w:val="000000"/>
          <w:sz w:val="22"/>
          <w:szCs w:val="22"/>
        </w:rPr>
        <w:t>assaggi di proprie</w:t>
      </w:r>
      <w:r>
        <w:rPr>
          <w:color w:val="000000"/>
          <w:sz w:val="22"/>
          <w:szCs w:val="22"/>
        </w:rPr>
        <w:t xml:space="preserve">tà </w:t>
      </w:r>
      <w:r w:rsidR="000A263A">
        <w:rPr>
          <w:color w:val="000000"/>
          <w:sz w:val="22"/>
          <w:szCs w:val="22"/>
        </w:rPr>
        <w:t>al netto delle minivo</w:t>
      </w:r>
      <w:r w:rsidR="000A263A">
        <w:rPr>
          <w:color w:val="000000"/>
          <w:sz w:val="22"/>
          <w:szCs w:val="22"/>
        </w:rPr>
        <w:t>l</w:t>
      </w:r>
      <w:r w:rsidR="000A263A">
        <w:rPr>
          <w:color w:val="000000"/>
          <w:sz w:val="22"/>
          <w:szCs w:val="22"/>
        </w:rPr>
        <w:t>ture</w:t>
      </w:r>
      <w:r w:rsidR="000A263A">
        <w:rPr>
          <w:b w:val="0"/>
          <w:bCs w:val="0"/>
          <w:color w:val="000000"/>
          <w:sz w:val="22"/>
          <w:szCs w:val="22"/>
        </w:rPr>
        <w:t xml:space="preserve"> (trasferimenti temporanei a nome del concessionario in attesa della rivendita al cliente finale</w:t>
      </w:r>
      <w:r w:rsidR="000A263A" w:rsidRPr="006809B1">
        <w:rPr>
          <w:b w:val="0"/>
          <w:bCs w:val="0"/>
          <w:color w:val="000000"/>
          <w:sz w:val="22"/>
          <w:szCs w:val="22"/>
        </w:rPr>
        <w:t xml:space="preserve">) </w:t>
      </w:r>
      <w:r w:rsidR="000A263A" w:rsidRPr="006809B1">
        <w:rPr>
          <w:b w:val="0"/>
          <w:color w:val="000000"/>
          <w:sz w:val="22"/>
          <w:szCs w:val="22"/>
        </w:rPr>
        <w:t>r</w:t>
      </w:r>
      <w:r w:rsidR="000A263A" w:rsidRPr="006809B1">
        <w:rPr>
          <w:b w:val="0"/>
          <w:color w:val="000000"/>
          <w:sz w:val="22"/>
          <w:szCs w:val="22"/>
        </w:rPr>
        <w:t>i</w:t>
      </w:r>
      <w:r w:rsidR="000A263A" w:rsidRPr="006809B1">
        <w:rPr>
          <w:b w:val="0"/>
          <w:color w:val="000000"/>
          <w:sz w:val="22"/>
          <w:szCs w:val="22"/>
        </w:rPr>
        <w:t>spet</w:t>
      </w:r>
      <w:r w:rsidRPr="006809B1">
        <w:rPr>
          <w:b w:val="0"/>
          <w:color w:val="000000"/>
          <w:sz w:val="22"/>
          <w:szCs w:val="22"/>
        </w:rPr>
        <w:t xml:space="preserve">to allo stesso mese del </w:t>
      </w:r>
      <w:r w:rsidR="000A263A" w:rsidRPr="006809B1">
        <w:rPr>
          <w:b w:val="0"/>
          <w:color w:val="000000"/>
          <w:sz w:val="22"/>
          <w:szCs w:val="22"/>
        </w:rPr>
        <w:t>2021</w:t>
      </w:r>
      <w:r w:rsidR="000A263A" w:rsidRPr="006809B1">
        <w:rPr>
          <w:b w:val="0"/>
          <w:bCs w:val="0"/>
          <w:color w:val="000000"/>
          <w:sz w:val="22"/>
          <w:szCs w:val="22"/>
        </w:rPr>
        <w:t>.</w:t>
      </w:r>
      <w:r w:rsidR="006415DA">
        <w:rPr>
          <w:b w:val="0"/>
          <w:bCs w:val="0"/>
          <w:color w:val="000000"/>
          <w:sz w:val="22"/>
          <w:szCs w:val="22"/>
        </w:rPr>
        <w:t xml:space="preserve"> </w:t>
      </w:r>
      <w:r w:rsidR="000A263A">
        <w:rPr>
          <w:color w:val="000000"/>
          <w:sz w:val="22"/>
          <w:szCs w:val="22"/>
        </w:rPr>
        <w:t>Per ogni 100 autovetture nuove ne sono state vendu</w:t>
      </w:r>
      <w:r>
        <w:rPr>
          <w:color w:val="000000"/>
          <w:sz w:val="22"/>
          <w:szCs w:val="22"/>
        </w:rPr>
        <w:t>te 198</w:t>
      </w:r>
      <w:r w:rsidR="000A263A">
        <w:rPr>
          <w:color w:val="000000"/>
          <w:sz w:val="22"/>
          <w:szCs w:val="22"/>
        </w:rPr>
        <w:t xml:space="preserve"> usate nel me</w:t>
      </w:r>
      <w:r>
        <w:rPr>
          <w:color w:val="000000"/>
          <w:sz w:val="22"/>
          <w:szCs w:val="22"/>
        </w:rPr>
        <w:t>se di novembre e 205 nei primi undici</w:t>
      </w:r>
      <w:r w:rsidR="000A263A">
        <w:rPr>
          <w:color w:val="000000"/>
          <w:sz w:val="22"/>
          <w:szCs w:val="22"/>
        </w:rPr>
        <w:t xml:space="preserve"> mesi dell’anno.</w:t>
      </w:r>
      <w:r w:rsidR="00D16693" w:rsidRPr="00D16693">
        <w:rPr>
          <w:b w:val="0"/>
          <w:bCs w:val="0"/>
          <w:color w:val="000000"/>
          <w:sz w:val="22"/>
          <w:szCs w:val="22"/>
        </w:rPr>
        <w:t xml:space="preserve"> </w:t>
      </w:r>
      <w:r w:rsidR="00D16693">
        <w:rPr>
          <w:b w:val="0"/>
          <w:bCs w:val="0"/>
          <w:color w:val="000000"/>
          <w:sz w:val="22"/>
          <w:szCs w:val="22"/>
        </w:rPr>
        <w:t xml:space="preserve">Da segnalare tuttavia </w:t>
      </w:r>
      <w:r w:rsidR="00D16693" w:rsidRPr="006415DA">
        <w:rPr>
          <w:b w:val="0"/>
          <w:bCs w:val="0"/>
          <w:color w:val="000000"/>
          <w:sz w:val="22"/>
          <w:szCs w:val="22"/>
        </w:rPr>
        <w:t>l’aumento delle</w:t>
      </w:r>
      <w:r w:rsidR="00D16693" w:rsidRPr="006415DA">
        <w:rPr>
          <w:bCs w:val="0"/>
          <w:color w:val="000000"/>
          <w:sz w:val="22"/>
          <w:szCs w:val="22"/>
        </w:rPr>
        <w:t xml:space="preserve"> minivolture</w:t>
      </w:r>
      <w:r w:rsidR="00D16693" w:rsidRPr="006809B1">
        <w:rPr>
          <w:b w:val="0"/>
          <w:bCs w:val="0"/>
          <w:color w:val="000000"/>
          <w:sz w:val="22"/>
          <w:szCs w:val="22"/>
        </w:rPr>
        <w:t xml:space="preserve">, </w:t>
      </w:r>
      <w:r w:rsidR="00D16693" w:rsidRPr="006809B1">
        <w:rPr>
          <w:b w:val="0"/>
          <w:color w:val="000000" w:themeColor="text1"/>
          <w:sz w:val="22"/>
          <w:szCs w:val="22"/>
        </w:rPr>
        <w:t>c</w:t>
      </w:r>
      <w:r w:rsidR="00D16693">
        <w:rPr>
          <w:b w:val="0"/>
          <w:color w:val="000000" w:themeColor="text1"/>
          <w:sz w:val="22"/>
          <w:szCs w:val="22"/>
        </w:rPr>
        <w:t>he hanno chiuso il bilancio di novembre evidenziando</w:t>
      </w:r>
      <w:r w:rsidR="00D16693" w:rsidRPr="006809B1">
        <w:rPr>
          <w:b w:val="0"/>
          <w:color w:val="000000" w:themeColor="text1"/>
          <w:sz w:val="22"/>
          <w:szCs w:val="22"/>
        </w:rPr>
        <w:t xml:space="preserve"> un</w:t>
      </w:r>
      <w:r w:rsidR="00D16693">
        <w:rPr>
          <w:b w:val="0"/>
          <w:color w:val="000000" w:themeColor="text1"/>
          <w:sz w:val="22"/>
          <w:szCs w:val="22"/>
        </w:rPr>
        <w:t xml:space="preserve">a </w:t>
      </w:r>
      <w:r w:rsidR="00D16693">
        <w:rPr>
          <w:color w:val="000000" w:themeColor="text1"/>
          <w:sz w:val="22"/>
          <w:szCs w:val="22"/>
        </w:rPr>
        <w:t>variazione</w:t>
      </w:r>
      <w:r w:rsidR="00D16693" w:rsidRPr="006415DA">
        <w:rPr>
          <w:color w:val="000000" w:themeColor="text1"/>
          <w:sz w:val="22"/>
          <w:szCs w:val="22"/>
        </w:rPr>
        <w:t xml:space="preserve"> mensile </w:t>
      </w:r>
      <w:r w:rsidR="00D16693">
        <w:rPr>
          <w:color w:val="000000" w:themeColor="text1"/>
          <w:sz w:val="22"/>
          <w:szCs w:val="22"/>
        </w:rPr>
        <w:t>positiva del</w:t>
      </w:r>
      <w:r w:rsidR="00D16693" w:rsidRPr="006415DA">
        <w:rPr>
          <w:color w:val="000000" w:themeColor="text1"/>
          <w:sz w:val="22"/>
          <w:szCs w:val="22"/>
        </w:rPr>
        <w:t xml:space="preserve"> 6,3%</w:t>
      </w:r>
      <w:r w:rsidR="00D16693">
        <w:rPr>
          <w:b w:val="0"/>
          <w:color w:val="000000" w:themeColor="text1"/>
          <w:sz w:val="22"/>
          <w:szCs w:val="22"/>
        </w:rPr>
        <w:t>.</w:t>
      </w:r>
    </w:p>
    <w:p w:rsidR="00D35243" w:rsidRDefault="00D35243">
      <w:pPr>
        <w:spacing w:line="288" w:lineRule="auto"/>
        <w:jc w:val="both"/>
        <w:rPr>
          <w:color w:val="000000"/>
          <w:sz w:val="22"/>
          <w:szCs w:val="22"/>
        </w:rPr>
      </w:pPr>
    </w:p>
    <w:p w:rsidR="00D35243" w:rsidRDefault="006415DA">
      <w:pPr>
        <w:spacing w:line="288" w:lineRule="auto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Nulla di nuovo</w:t>
      </w:r>
      <w:r w:rsidR="000A263A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sul </w:t>
      </w:r>
      <w:r w:rsidRPr="00C53041">
        <w:rPr>
          <w:bCs w:val="0"/>
          <w:color w:val="000000"/>
          <w:sz w:val="22"/>
          <w:szCs w:val="22"/>
        </w:rPr>
        <w:t>mercato dell’usato</w:t>
      </w:r>
      <w:r>
        <w:rPr>
          <w:b w:val="0"/>
          <w:bCs w:val="0"/>
          <w:color w:val="000000"/>
          <w:sz w:val="22"/>
          <w:szCs w:val="22"/>
        </w:rPr>
        <w:t xml:space="preserve"> per </w:t>
      </w:r>
      <w:r w:rsidR="00C53041">
        <w:rPr>
          <w:b w:val="0"/>
          <w:bCs w:val="0"/>
          <w:color w:val="000000"/>
          <w:sz w:val="22"/>
          <w:szCs w:val="22"/>
        </w:rPr>
        <w:t>quanto riguarda le alimentazioni. A</w:t>
      </w:r>
      <w:r>
        <w:rPr>
          <w:b w:val="0"/>
          <w:bCs w:val="0"/>
          <w:color w:val="000000"/>
          <w:sz w:val="22"/>
          <w:szCs w:val="22"/>
        </w:rPr>
        <w:t>i primi posti si confe</w:t>
      </w:r>
      <w:r w:rsidR="004F6B0C">
        <w:rPr>
          <w:b w:val="0"/>
          <w:bCs w:val="0"/>
          <w:color w:val="000000"/>
          <w:sz w:val="22"/>
          <w:szCs w:val="22"/>
        </w:rPr>
        <w:t>rmano</w:t>
      </w:r>
      <w:r>
        <w:rPr>
          <w:b w:val="0"/>
          <w:bCs w:val="0"/>
          <w:color w:val="000000"/>
          <w:sz w:val="22"/>
          <w:szCs w:val="22"/>
        </w:rPr>
        <w:t xml:space="preserve"> sempre </w:t>
      </w:r>
      <w:r w:rsidR="00C53041">
        <w:rPr>
          <w:b w:val="0"/>
          <w:bCs w:val="0"/>
          <w:color w:val="000000"/>
          <w:sz w:val="22"/>
          <w:szCs w:val="22"/>
        </w:rPr>
        <w:t>i</w:t>
      </w:r>
      <w:r w:rsidR="000A263A">
        <w:rPr>
          <w:b w:val="0"/>
          <w:bCs w:val="0"/>
          <w:color w:val="000000"/>
          <w:sz w:val="22"/>
          <w:szCs w:val="22"/>
        </w:rPr>
        <w:t xml:space="preserve"> </w:t>
      </w:r>
      <w:r w:rsidR="000A263A">
        <w:rPr>
          <w:color w:val="000000"/>
          <w:sz w:val="22"/>
          <w:szCs w:val="22"/>
        </w:rPr>
        <w:t xml:space="preserve">tradizionali </w:t>
      </w:r>
      <w:r w:rsidR="00C53041">
        <w:rPr>
          <w:color w:val="000000"/>
          <w:sz w:val="22"/>
          <w:szCs w:val="22"/>
        </w:rPr>
        <w:t xml:space="preserve">motori a </w:t>
      </w:r>
      <w:r w:rsidR="000A263A">
        <w:rPr>
          <w:color w:val="000000"/>
          <w:sz w:val="22"/>
          <w:szCs w:val="22"/>
        </w:rPr>
        <w:t xml:space="preserve">gasolio e </w:t>
      </w:r>
      <w:r w:rsidR="00C53041">
        <w:rPr>
          <w:color w:val="000000"/>
          <w:sz w:val="22"/>
          <w:szCs w:val="22"/>
        </w:rPr>
        <w:t xml:space="preserve">a </w:t>
      </w:r>
      <w:r w:rsidR="000A263A">
        <w:rPr>
          <w:color w:val="000000"/>
          <w:sz w:val="22"/>
          <w:szCs w:val="22"/>
        </w:rPr>
        <w:t>benzi</w:t>
      </w:r>
      <w:r w:rsidR="00C53041">
        <w:rPr>
          <w:color w:val="000000"/>
          <w:sz w:val="22"/>
          <w:szCs w:val="22"/>
        </w:rPr>
        <w:t xml:space="preserve">na </w:t>
      </w:r>
      <w:r w:rsidR="00C53041" w:rsidRPr="00C53041">
        <w:rPr>
          <w:b w:val="0"/>
          <w:color w:val="000000"/>
          <w:sz w:val="22"/>
          <w:szCs w:val="22"/>
        </w:rPr>
        <w:t>(seppure co</w:t>
      </w:r>
      <w:r w:rsidR="00C53041">
        <w:rPr>
          <w:b w:val="0"/>
          <w:color w:val="000000"/>
          <w:sz w:val="22"/>
          <w:szCs w:val="22"/>
        </w:rPr>
        <w:t>n tre punti percentuali</w:t>
      </w:r>
      <w:r w:rsidR="00C53041" w:rsidRPr="00C53041">
        <w:rPr>
          <w:b w:val="0"/>
          <w:color w:val="000000"/>
          <w:sz w:val="22"/>
          <w:szCs w:val="22"/>
        </w:rPr>
        <w:t xml:space="preserve"> in meno a n</w:t>
      </w:r>
      <w:r w:rsidR="00C53041" w:rsidRPr="00C53041">
        <w:rPr>
          <w:b w:val="0"/>
          <w:color w:val="000000"/>
          <w:sz w:val="22"/>
          <w:szCs w:val="22"/>
        </w:rPr>
        <w:t>o</w:t>
      </w:r>
      <w:r w:rsidR="00C53041" w:rsidRPr="00C53041">
        <w:rPr>
          <w:b w:val="0"/>
          <w:color w:val="000000"/>
          <w:sz w:val="22"/>
          <w:szCs w:val="22"/>
        </w:rPr>
        <w:t xml:space="preserve">vembre per i diesel e un lieve incremento di due punti percentuali per </w:t>
      </w:r>
      <w:r w:rsidR="00C53041">
        <w:rPr>
          <w:b w:val="0"/>
          <w:color w:val="000000"/>
          <w:sz w:val="22"/>
          <w:szCs w:val="22"/>
        </w:rPr>
        <w:t xml:space="preserve">le auto </w:t>
      </w:r>
      <w:r w:rsidR="00C53041" w:rsidRPr="00C53041">
        <w:rPr>
          <w:b w:val="0"/>
          <w:color w:val="000000"/>
          <w:sz w:val="22"/>
          <w:szCs w:val="22"/>
        </w:rPr>
        <w:t>a benzina)</w:t>
      </w:r>
      <w:r w:rsidR="00C53041">
        <w:rPr>
          <w:b w:val="0"/>
          <w:color w:val="000000"/>
          <w:sz w:val="22"/>
          <w:szCs w:val="22"/>
        </w:rPr>
        <w:t>.</w:t>
      </w:r>
      <w:r w:rsidR="00C53041">
        <w:rPr>
          <w:color w:val="000000"/>
          <w:sz w:val="22"/>
          <w:szCs w:val="22"/>
        </w:rPr>
        <w:t xml:space="preserve"> </w:t>
      </w:r>
      <w:r w:rsidR="00C53041" w:rsidRPr="00C53041">
        <w:rPr>
          <w:b w:val="0"/>
          <w:color w:val="000000"/>
          <w:sz w:val="22"/>
          <w:szCs w:val="22"/>
        </w:rPr>
        <w:t>L</w:t>
      </w:r>
      <w:r w:rsidR="000A263A">
        <w:rPr>
          <w:b w:val="0"/>
          <w:bCs w:val="0"/>
          <w:color w:val="000000"/>
          <w:sz w:val="22"/>
          <w:szCs w:val="22"/>
        </w:rPr>
        <w:t>a quota del</w:t>
      </w:r>
      <w:r w:rsidR="00C53041">
        <w:rPr>
          <w:b w:val="0"/>
          <w:bCs w:val="0"/>
          <w:color w:val="000000"/>
          <w:sz w:val="22"/>
          <w:szCs w:val="22"/>
        </w:rPr>
        <w:t xml:space="preserve">le </w:t>
      </w:r>
      <w:r w:rsidR="000A263A" w:rsidRPr="00C53041">
        <w:rPr>
          <w:bCs w:val="0"/>
          <w:color w:val="000000"/>
          <w:sz w:val="22"/>
          <w:szCs w:val="22"/>
        </w:rPr>
        <w:t>ibride a benzina</w:t>
      </w:r>
      <w:r w:rsidR="00C53041">
        <w:rPr>
          <w:b w:val="0"/>
          <w:bCs w:val="0"/>
          <w:color w:val="000000"/>
          <w:sz w:val="22"/>
          <w:szCs w:val="22"/>
        </w:rPr>
        <w:t xml:space="preserve"> si attesta invece al 3,7%, mentre stenta </w:t>
      </w:r>
      <w:r w:rsidR="00130531">
        <w:rPr>
          <w:b w:val="0"/>
          <w:bCs w:val="0"/>
          <w:color w:val="000000"/>
          <w:sz w:val="22"/>
          <w:szCs w:val="22"/>
        </w:rPr>
        <w:t xml:space="preserve">ancora </w:t>
      </w:r>
      <w:r w:rsidR="00C53041">
        <w:rPr>
          <w:b w:val="0"/>
          <w:bCs w:val="0"/>
          <w:color w:val="000000"/>
          <w:sz w:val="22"/>
          <w:szCs w:val="22"/>
        </w:rPr>
        <w:t xml:space="preserve">a decollare un mercato delle </w:t>
      </w:r>
      <w:r w:rsidR="00C53041" w:rsidRPr="00C53041">
        <w:rPr>
          <w:bCs w:val="0"/>
          <w:color w:val="000000"/>
          <w:sz w:val="22"/>
          <w:szCs w:val="22"/>
        </w:rPr>
        <w:t>elettriche</w:t>
      </w:r>
      <w:r w:rsidR="00C53041">
        <w:rPr>
          <w:b w:val="0"/>
          <w:bCs w:val="0"/>
          <w:color w:val="000000"/>
          <w:sz w:val="22"/>
          <w:szCs w:val="22"/>
        </w:rPr>
        <w:t xml:space="preserve"> di seconda mano.</w:t>
      </w:r>
      <w:r w:rsidR="004F6B0C">
        <w:rPr>
          <w:b w:val="0"/>
          <w:bCs w:val="0"/>
          <w:color w:val="000000"/>
          <w:sz w:val="22"/>
          <w:szCs w:val="22"/>
        </w:rPr>
        <w:t xml:space="preserve"> Nei </w:t>
      </w:r>
      <w:r w:rsidR="000A263A">
        <w:rPr>
          <w:color w:val="000000"/>
          <w:sz w:val="22"/>
          <w:szCs w:val="22"/>
        </w:rPr>
        <w:t>minipassaggi</w:t>
      </w:r>
      <w:r w:rsidR="000A263A">
        <w:rPr>
          <w:b w:val="0"/>
          <w:bCs w:val="0"/>
          <w:color w:val="000000"/>
          <w:sz w:val="22"/>
          <w:szCs w:val="22"/>
        </w:rPr>
        <w:t>, infi</w:t>
      </w:r>
      <w:r w:rsidR="004F6B0C">
        <w:rPr>
          <w:b w:val="0"/>
          <w:bCs w:val="0"/>
          <w:color w:val="000000"/>
          <w:sz w:val="22"/>
          <w:szCs w:val="22"/>
        </w:rPr>
        <w:t>ne, primeggiano</w:t>
      </w:r>
      <w:r w:rsidR="000A263A">
        <w:rPr>
          <w:b w:val="0"/>
          <w:bCs w:val="0"/>
          <w:color w:val="000000"/>
          <w:sz w:val="22"/>
          <w:szCs w:val="22"/>
        </w:rPr>
        <w:t xml:space="preserve"> in </w:t>
      </w:r>
      <w:r w:rsidR="004F6B0C">
        <w:rPr>
          <w:b w:val="0"/>
          <w:bCs w:val="0"/>
          <w:color w:val="000000"/>
          <w:sz w:val="22"/>
          <w:szCs w:val="22"/>
        </w:rPr>
        <w:t xml:space="preserve">cima </w:t>
      </w:r>
      <w:r w:rsidR="000A263A">
        <w:rPr>
          <w:b w:val="0"/>
          <w:bCs w:val="0"/>
          <w:color w:val="000000"/>
          <w:sz w:val="22"/>
          <w:szCs w:val="22"/>
        </w:rPr>
        <w:t xml:space="preserve">alla classifica le </w:t>
      </w:r>
      <w:r w:rsidR="000A263A">
        <w:rPr>
          <w:color w:val="000000"/>
          <w:sz w:val="22"/>
          <w:szCs w:val="22"/>
        </w:rPr>
        <w:t>autovetture diesel</w:t>
      </w:r>
      <w:r w:rsidR="000A263A">
        <w:rPr>
          <w:b w:val="0"/>
          <w:bCs w:val="0"/>
          <w:color w:val="000000"/>
          <w:sz w:val="22"/>
          <w:szCs w:val="22"/>
        </w:rPr>
        <w:t xml:space="preserve"> (</w:t>
      </w:r>
      <w:r w:rsidR="004F6B0C">
        <w:rPr>
          <w:b w:val="0"/>
          <w:bCs w:val="0"/>
          <w:color w:val="000000"/>
          <w:sz w:val="22"/>
          <w:szCs w:val="22"/>
        </w:rPr>
        <w:t xml:space="preserve">seppure in calo dal 54,8% di quota di novembre 2021 all’attuale  </w:t>
      </w:r>
      <w:r w:rsidR="000A263A">
        <w:rPr>
          <w:b w:val="0"/>
          <w:bCs w:val="0"/>
          <w:color w:val="000000"/>
          <w:sz w:val="22"/>
          <w:szCs w:val="22"/>
        </w:rPr>
        <w:t>5</w:t>
      </w:r>
      <w:r w:rsidR="004F6B0C">
        <w:rPr>
          <w:b w:val="0"/>
          <w:bCs w:val="0"/>
          <w:color w:val="000000"/>
          <w:sz w:val="22"/>
          <w:szCs w:val="22"/>
        </w:rPr>
        <w:t>1,4</w:t>
      </w:r>
      <w:r w:rsidR="000A263A">
        <w:rPr>
          <w:b w:val="0"/>
          <w:bCs w:val="0"/>
          <w:color w:val="000000"/>
          <w:sz w:val="22"/>
          <w:szCs w:val="22"/>
        </w:rPr>
        <w:t>% di</w:t>
      </w:r>
      <w:r w:rsidR="004F6B0C">
        <w:rPr>
          <w:b w:val="0"/>
          <w:bCs w:val="0"/>
          <w:color w:val="000000"/>
          <w:sz w:val="22"/>
          <w:szCs w:val="22"/>
        </w:rPr>
        <w:t xml:space="preserve"> novembre</w:t>
      </w:r>
      <w:r w:rsidR="000A263A">
        <w:rPr>
          <w:b w:val="0"/>
          <w:bCs w:val="0"/>
          <w:color w:val="000000"/>
          <w:sz w:val="22"/>
          <w:szCs w:val="22"/>
        </w:rPr>
        <w:t xml:space="preserve"> 2022</w:t>
      </w:r>
      <w:r w:rsidR="004F6B0C">
        <w:rPr>
          <w:b w:val="0"/>
          <w:bCs w:val="0"/>
          <w:color w:val="000000"/>
          <w:sz w:val="22"/>
          <w:szCs w:val="22"/>
        </w:rPr>
        <w:t>),</w:t>
      </w:r>
      <w:r w:rsidR="000A263A">
        <w:rPr>
          <w:b w:val="0"/>
          <w:bCs w:val="0"/>
          <w:color w:val="000000"/>
          <w:sz w:val="22"/>
          <w:szCs w:val="22"/>
        </w:rPr>
        <w:t xml:space="preserve"> mentre l’incidenza delle </w:t>
      </w:r>
      <w:r w:rsidR="000A263A" w:rsidRPr="004F6B0C">
        <w:rPr>
          <w:bCs w:val="0"/>
          <w:color w:val="000000"/>
          <w:sz w:val="22"/>
          <w:szCs w:val="22"/>
        </w:rPr>
        <w:t>ibride a benzina</w:t>
      </w:r>
      <w:r w:rsidR="009B05F7">
        <w:rPr>
          <w:b w:val="0"/>
          <w:bCs w:val="0"/>
          <w:color w:val="000000"/>
          <w:sz w:val="22"/>
          <w:szCs w:val="22"/>
        </w:rPr>
        <w:t xml:space="preserve"> raggiunge il 6,3</w:t>
      </w:r>
      <w:r w:rsidR="000A263A">
        <w:rPr>
          <w:b w:val="0"/>
          <w:bCs w:val="0"/>
          <w:color w:val="000000"/>
          <w:sz w:val="22"/>
          <w:szCs w:val="22"/>
        </w:rPr>
        <w:t>%.</w:t>
      </w:r>
    </w:p>
    <w:p w:rsidR="00D35243" w:rsidRDefault="00D35243">
      <w:pPr>
        <w:spacing w:line="288" w:lineRule="auto"/>
        <w:jc w:val="both"/>
        <w:rPr>
          <w:sz w:val="22"/>
          <w:szCs w:val="22"/>
        </w:rPr>
      </w:pPr>
    </w:p>
    <w:p w:rsidR="00D35243" w:rsidRDefault="000A263A">
      <w:pPr>
        <w:spacing w:line="288" w:lineRule="auto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Bilancio positivo, al contrario, per i </w:t>
      </w:r>
      <w:r>
        <w:rPr>
          <w:color w:val="000000"/>
          <w:sz w:val="22"/>
          <w:szCs w:val="22"/>
        </w:rPr>
        <w:t xml:space="preserve">passaggi di proprietà dei motocicli </w:t>
      </w:r>
      <w:r>
        <w:rPr>
          <w:b w:val="0"/>
          <w:bCs w:val="0"/>
          <w:color w:val="000000"/>
          <w:sz w:val="22"/>
          <w:szCs w:val="22"/>
        </w:rPr>
        <w:t>che, al n</w:t>
      </w:r>
      <w:r w:rsidR="004F6B0C">
        <w:rPr>
          <w:b w:val="0"/>
          <w:bCs w:val="0"/>
          <w:color w:val="000000"/>
          <w:sz w:val="22"/>
          <w:szCs w:val="22"/>
        </w:rPr>
        <w:t>etto delle minivolture, nel mese di novembre</w:t>
      </w:r>
      <w:r>
        <w:rPr>
          <w:b w:val="0"/>
          <w:bCs w:val="0"/>
          <w:color w:val="000000"/>
          <w:sz w:val="22"/>
          <w:szCs w:val="22"/>
        </w:rPr>
        <w:t xml:space="preserve"> hanno messo a segno un </w:t>
      </w:r>
      <w:r w:rsidR="004F6B0C">
        <w:rPr>
          <w:color w:val="000000"/>
          <w:sz w:val="22"/>
          <w:szCs w:val="22"/>
        </w:rPr>
        <w:t xml:space="preserve">incremento del </w:t>
      </w:r>
      <w:r>
        <w:rPr>
          <w:color w:val="000000"/>
          <w:sz w:val="22"/>
          <w:szCs w:val="22"/>
        </w:rPr>
        <w:t>4</w:t>
      </w:r>
      <w:r w:rsidR="004F6B0C">
        <w:rPr>
          <w:color w:val="000000"/>
          <w:sz w:val="22"/>
          <w:szCs w:val="22"/>
        </w:rPr>
        <w:t>,2</w:t>
      </w:r>
      <w:r>
        <w:rPr>
          <w:color w:val="000000"/>
          <w:sz w:val="22"/>
          <w:szCs w:val="22"/>
        </w:rPr>
        <w:t xml:space="preserve">% </w:t>
      </w:r>
      <w:r>
        <w:rPr>
          <w:b w:val="0"/>
          <w:bCs w:val="0"/>
          <w:color w:val="000000"/>
          <w:sz w:val="22"/>
          <w:szCs w:val="22"/>
        </w:rPr>
        <w:t>rispetto allo stesso mese del 2021.</w:t>
      </w:r>
    </w:p>
    <w:p w:rsidR="00D35243" w:rsidRDefault="00D35243">
      <w:pPr>
        <w:pStyle w:val="Pidipagina"/>
        <w:tabs>
          <w:tab w:val="clear" w:pos="4819"/>
          <w:tab w:val="clear" w:pos="9638"/>
        </w:tabs>
        <w:spacing w:line="288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D35243" w:rsidRDefault="004F6B0C">
      <w:pPr>
        <w:pStyle w:val="Pidipagina"/>
        <w:tabs>
          <w:tab w:val="clear" w:pos="4819"/>
          <w:tab w:val="clear" w:pos="9638"/>
        </w:tabs>
        <w:spacing w:line="288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totale nei primi undici</w:t>
      </w:r>
      <w:r w:rsidR="000A263A">
        <w:rPr>
          <w:rFonts w:ascii="Cambria" w:hAnsi="Cambria"/>
          <w:sz w:val="22"/>
          <w:szCs w:val="22"/>
        </w:rPr>
        <w:t xml:space="preserve"> mesi del 2022 rispetto allo stesso periodo del 2021 i trasferimenti netti di pr</w:t>
      </w:r>
      <w:r w:rsidR="000A263A">
        <w:rPr>
          <w:rFonts w:ascii="Cambria" w:hAnsi="Cambria"/>
          <w:sz w:val="22"/>
          <w:szCs w:val="22"/>
        </w:rPr>
        <w:t>o</w:t>
      </w:r>
      <w:r w:rsidR="000A263A">
        <w:rPr>
          <w:rFonts w:ascii="Cambria" w:hAnsi="Cambria"/>
          <w:sz w:val="22"/>
          <w:szCs w:val="22"/>
        </w:rPr>
        <w:t>prietà ha</w:t>
      </w:r>
      <w:r>
        <w:rPr>
          <w:rFonts w:ascii="Cambria" w:hAnsi="Cambria"/>
          <w:sz w:val="22"/>
          <w:szCs w:val="22"/>
        </w:rPr>
        <w:t>nno archiviato flessioni del 10,7</w:t>
      </w:r>
      <w:r w:rsidR="000A263A">
        <w:rPr>
          <w:rFonts w:ascii="Cambria" w:hAnsi="Cambria"/>
          <w:sz w:val="22"/>
          <w:szCs w:val="22"/>
        </w:rPr>
        <w:t>% per le autovetture, del</w:t>
      </w:r>
      <w:r>
        <w:rPr>
          <w:rFonts w:ascii="Cambria" w:hAnsi="Cambria"/>
          <w:sz w:val="22"/>
          <w:szCs w:val="22"/>
        </w:rPr>
        <w:t xml:space="preserve"> 5</w:t>
      </w:r>
      <w:r w:rsidR="000A263A">
        <w:rPr>
          <w:rFonts w:ascii="Cambria" w:hAnsi="Cambria"/>
          <w:sz w:val="22"/>
          <w:szCs w:val="22"/>
        </w:rPr>
        <w:t>,2% per i motocicli e del</w:t>
      </w:r>
      <w:r>
        <w:rPr>
          <w:rFonts w:ascii="Cambria" w:hAnsi="Cambria"/>
          <w:sz w:val="22"/>
          <w:szCs w:val="22"/>
        </w:rPr>
        <w:t>l’8,7</w:t>
      </w:r>
      <w:r w:rsidR="000A263A">
        <w:rPr>
          <w:rFonts w:ascii="Cambria" w:hAnsi="Cambria"/>
          <w:sz w:val="22"/>
          <w:szCs w:val="22"/>
        </w:rPr>
        <w:t>% per tutti i veicoli.</w:t>
      </w:r>
    </w:p>
    <w:p w:rsidR="00D35243" w:rsidRDefault="00D35243">
      <w:pPr>
        <w:spacing w:line="288" w:lineRule="auto"/>
        <w:jc w:val="both"/>
        <w:rPr>
          <w:b w:val="0"/>
          <w:bCs w:val="0"/>
          <w:color w:val="000000"/>
          <w:sz w:val="22"/>
          <w:szCs w:val="22"/>
        </w:rPr>
      </w:pPr>
    </w:p>
    <w:p w:rsidR="00D35243" w:rsidRDefault="000A263A">
      <w:pPr>
        <w:spacing w:line="288" w:lineRule="auto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I dati sono riportati nell’ultimo </w:t>
      </w:r>
      <w:r>
        <w:rPr>
          <w:color w:val="000000"/>
          <w:sz w:val="22"/>
          <w:szCs w:val="22"/>
        </w:rPr>
        <w:t>bollettino mensile “Auto-Trend”, l’analisi statistica realizzata dall’Automobile Club d’Italia sui dati del PRA</w:t>
      </w:r>
      <w:r>
        <w:rPr>
          <w:b w:val="0"/>
          <w:bCs w:val="0"/>
          <w:color w:val="000000"/>
          <w:sz w:val="22"/>
          <w:szCs w:val="22"/>
        </w:rPr>
        <w:t>, consultabile sul sito www.aci.it .</w:t>
      </w:r>
    </w:p>
    <w:p w:rsidR="00D35243" w:rsidRDefault="00D35243">
      <w:pPr>
        <w:spacing w:line="288" w:lineRule="auto"/>
        <w:jc w:val="both"/>
        <w:rPr>
          <w:b w:val="0"/>
          <w:bCs w:val="0"/>
          <w:color w:val="000000"/>
          <w:sz w:val="22"/>
          <w:szCs w:val="22"/>
        </w:rPr>
      </w:pPr>
    </w:p>
    <w:p w:rsidR="00D35243" w:rsidRDefault="004F6B0C">
      <w:pPr>
        <w:spacing w:line="288" w:lineRule="auto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In terreno ampiamente </w:t>
      </w:r>
      <w:r w:rsidR="00130531">
        <w:rPr>
          <w:b w:val="0"/>
          <w:bCs w:val="0"/>
          <w:color w:val="000000"/>
          <w:sz w:val="22"/>
          <w:szCs w:val="22"/>
        </w:rPr>
        <w:t>negativo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="00130531">
        <w:rPr>
          <w:b w:val="0"/>
          <w:bCs w:val="0"/>
          <w:color w:val="000000"/>
          <w:sz w:val="22"/>
          <w:szCs w:val="22"/>
        </w:rPr>
        <w:t xml:space="preserve">a novembre </w:t>
      </w:r>
      <w:r>
        <w:rPr>
          <w:b w:val="0"/>
          <w:bCs w:val="0"/>
          <w:color w:val="000000"/>
          <w:sz w:val="22"/>
          <w:szCs w:val="22"/>
        </w:rPr>
        <w:t xml:space="preserve">le </w:t>
      </w:r>
      <w:r w:rsidRPr="004F6B0C">
        <w:rPr>
          <w:bCs w:val="0"/>
          <w:color w:val="000000"/>
          <w:sz w:val="22"/>
          <w:szCs w:val="22"/>
        </w:rPr>
        <w:t>radiazioni di autovetture</w:t>
      </w:r>
      <w:r>
        <w:rPr>
          <w:b w:val="0"/>
          <w:bCs w:val="0"/>
          <w:color w:val="000000"/>
          <w:sz w:val="22"/>
          <w:szCs w:val="22"/>
        </w:rPr>
        <w:t xml:space="preserve">, </w:t>
      </w:r>
      <w:r w:rsidR="00130531">
        <w:rPr>
          <w:b w:val="0"/>
          <w:bCs w:val="0"/>
          <w:color w:val="000000"/>
          <w:sz w:val="22"/>
          <w:szCs w:val="22"/>
        </w:rPr>
        <w:t xml:space="preserve">che </w:t>
      </w:r>
      <w:r w:rsidR="000A263A">
        <w:rPr>
          <w:b w:val="0"/>
          <w:bCs w:val="0"/>
          <w:color w:val="000000"/>
          <w:sz w:val="22"/>
          <w:szCs w:val="22"/>
        </w:rPr>
        <w:t xml:space="preserve">hanno </w:t>
      </w:r>
      <w:r>
        <w:rPr>
          <w:b w:val="0"/>
          <w:bCs w:val="0"/>
          <w:color w:val="000000"/>
          <w:sz w:val="22"/>
          <w:szCs w:val="22"/>
        </w:rPr>
        <w:t>archiviato</w:t>
      </w:r>
      <w:r w:rsidR="000A263A">
        <w:rPr>
          <w:b w:val="0"/>
          <w:bCs w:val="0"/>
          <w:color w:val="000000"/>
          <w:sz w:val="22"/>
          <w:szCs w:val="22"/>
        </w:rPr>
        <w:t xml:space="preserve"> un </w:t>
      </w:r>
      <w:r w:rsidR="000A263A">
        <w:rPr>
          <w:color w:val="000000"/>
          <w:sz w:val="22"/>
          <w:szCs w:val="22"/>
        </w:rPr>
        <w:t>calo del 2</w:t>
      </w:r>
      <w:r>
        <w:rPr>
          <w:color w:val="000000"/>
          <w:sz w:val="22"/>
          <w:szCs w:val="22"/>
        </w:rPr>
        <w:t>9,1</w:t>
      </w:r>
      <w:r w:rsidR="000A263A">
        <w:rPr>
          <w:color w:val="000000"/>
          <w:sz w:val="22"/>
          <w:szCs w:val="22"/>
        </w:rPr>
        <w:t xml:space="preserve">% </w:t>
      </w:r>
      <w:r w:rsidR="000A263A" w:rsidRPr="004F6B0C">
        <w:rPr>
          <w:b w:val="0"/>
          <w:color w:val="000000"/>
          <w:sz w:val="22"/>
          <w:szCs w:val="22"/>
        </w:rPr>
        <w:t>ri</w:t>
      </w:r>
      <w:r w:rsidR="00130531">
        <w:rPr>
          <w:b w:val="0"/>
          <w:color w:val="000000"/>
          <w:sz w:val="22"/>
          <w:szCs w:val="22"/>
        </w:rPr>
        <w:t>spetto al mese di novembre</w:t>
      </w:r>
      <w:r w:rsidR="000A263A" w:rsidRPr="004F6B0C">
        <w:rPr>
          <w:b w:val="0"/>
          <w:color w:val="000000"/>
          <w:sz w:val="22"/>
          <w:szCs w:val="22"/>
        </w:rPr>
        <w:t xml:space="preserve"> 2021</w:t>
      </w:r>
      <w:r w:rsidR="000A263A">
        <w:rPr>
          <w:color w:val="000000"/>
          <w:sz w:val="22"/>
          <w:szCs w:val="22"/>
        </w:rPr>
        <w:t>,</w:t>
      </w:r>
      <w:r w:rsidR="000A263A" w:rsidRPr="004F6B0C">
        <w:rPr>
          <w:b w:val="0"/>
          <w:bCs w:val="0"/>
          <w:color w:val="000000" w:themeColor="text1"/>
          <w:sz w:val="22"/>
          <w:szCs w:val="22"/>
        </w:rPr>
        <w:t xml:space="preserve"> con </w:t>
      </w:r>
      <w:r>
        <w:rPr>
          <w:b w:val="0"/>
          <w:bCs w:val="0"/>
          <w:color w:val="000000" w:themeColor="text1"/>
          <w:sz w:val="22"/>
          <w:szCs w:val="22"/>
        </w:rPr>
        <w:t xml:space="preserve">solo </w:t>
      </w:r>
      <w:r w:rsidRPr="004F6B0C">
        <w:rPr>
          <w:b w:val="0"/>
          <w:color w:val="000000" w:themeColor="text1"/>
          <w:sz w:val="22"/>
          <w:szCs w:val="22"/>
        </w:rPr>
        <w:t>79.983 pratiche</w:t>
      </w:r>
      <w:r w:rsidRPr="004F6B0C">
        <w:rPr>
          <w:color w:val="000000" w:themeColor="text1"/>
          <w:sz w:val="22"/>
          <w:szCs w:val="22"/>
        </w:rPr>
        <w:t xml:space="preserve"> </w:t>
      </w:r>
      <w:r w:rsidRPr="004F6B0C">
        <w:rPr>
          <w:b w:val="0"/>
          <w:color w:val="000000" w:themeColor="text1"/>
          <w:sz w:val="22"/>
          <w:szCs w:val="22"/>
        </w:rPr>
        <w:t>(numero più basso in assoluto per novembre</w:t>
      </w:r>
      <w:r w:rsidRPr="004F6B0C">
        <w:rPr>
          <w:b w:val="0"/>
        </w:rPr>
        <w:t>)</w:t>
      </w:r>
      <w:r w:rsidRPr="004F6B0C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ri</w:t>
      </w:r>
      <w:r w:rsidR="00D16693">
        <w:rPr>
          <w:b w:val="0"/>
          <w:bCs w:val="0"/>
          <w:color w:val="000000"/>
          <w:sz w:val="22"/>
          <w:szCs w:val="22"/>
        </w:rPr>
        <w:t>s</w:t>
      </w:r>
      <w:r>
        <w:rPr>
          <w:b w:val="0"/>
          <w:bCs w:val="0"/>
          <w:color w:val="000000"/>
          <w:sz w:val="22"/>
          <w:szCs w:val="22"/>
        </w:rPr>
        <w:t xml:space="preserve">petto alle </w:t>
      </w:r>
      <w:r w:rsidRPr="004F6B0C">
        <w:rPr>
          <w:b w:val="0"/>
          <w:color w:val="000000" w:themeColor="text1"/>
          <w:sz w:val="22"/>
          <w:szCs w:val="22"/>
        </w:rPr>
        <w:t>112.738</w:t>
      </w:r>
      <w:r w:rsidR="00D16693">
        <w:rPr>
          <w:b w:val="0"/>
          <w:color w:val="000000" w:themeColor="text1"/>
          <w:sz w:val="22"/>
          <w:szCs w:val="22"/>
        </w:rPr>
        <w:t xml:space="preserve"> dello stesso mese</w:t>
      </w:r>
      <w:r w:rsidRPr="004F6B0C">
        <w:rPr>
          <w:b w:val="0"/>
          <w:color w:val="000000" w:themeColor="text1"/>
          <w:sz w:val="22"/>
          <w:szCs w:val="22"/>
        </w:rPr>
        <w:t xml:space="preserve"> </w:t>
      </w:r>
      <w:r w:rsidR="00D16693">
        <w:rPr>
          <w:b w:val="0"/>
          <w:color w:val="000000" w:themeColor="text1"/>
          <w:sz w:val="22"/>
          <w:szCs w:val="22"/>
        </w:rPr>
        <w:t>del</w:t>
      </w:r>
      <w:r w:rsidRPr="004F6B0C">
        <w:rPr>
          <w:b w:val="0"/>
          <w:color w:val="000000" w:themeColor="text1"/>
          <w:sz w:val="22"/>
          <w:szCs w:val="22"/>
        </w:rPr>
        <w:t xml:space="preserve"> 2021</w:t>
      </w:r>
      <w:r w:rsidRPr="004F6B0C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0A263A">
        <w:rPr>
          <w:b w:val="0"/>
          <w:bCs w:val="0"/>
          <w:color w:val="000000"/>
          <w:sz w:val="22"/>
          <w:szCs w:val="22"/>
        </w:rPr>
        <w:t xml:space="preserve">. </w:t>
      </w:r>
      <w:r w:rsidR="000A263A">
        <w:rPr>
          <w:color w:val="000000"/>
          <w:sz w:val="22"/>
          <w:szCs w:val="22"/>
        </w:rPr>
        <w:t>Il tasso unitario di sostituzione me</w:t>
      </w:r>
      <w:r w:rsidR="000A263A">
        <w:rPr>
          <w:color w:val="000000"/>
          <w:sz w:val="22"/>
          <w:szCs w:val="22"/>
        </w:rPr>
        <w:t>n</w:t>
      </w:r>
      <w:r w:rsidR="000A263A">
        <w:rPr>
          <w:color w:val="000000"/>
          <w:sz w:val="22"/>
          <w:szCs w:val="22"/>
        </w:rPr>
        <w:t>sile si attesta pertan</w:t>
      </w:r>
      <w:r>
        <w:rPr>
          <w:color w:val="000000"/>
          <w:sz w:val="22"/>
          <w:szCs w:val="22"/>
        </w:rPr>
        <w:t>to a 0,</w:t>
      </w:r>
      <w:r w:rsidR="000A263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8</w:t>
      </w:r>
      <w:r w:rsidR="000A263A">
        <w:rPr>
          <w:color w:val="000000"/>
          <w:sz w:val="22"/>
          <w:szCs w:val="22"/>
        </w:rPr>
        <w:t xml:space="preserve"> (ogni 100 auto nuove ne s</w:t>
      </w:r>
      <w:r w:rsidR="009B05F7">
        <w:rPr>
          <w:color w:val="000000"/>
          <w:sz w:val="22"/>
          <w:szCs w:val="22"/>
        </w:rPr>
        <w:t>ono state radiate 86), salendo</w:t>
      </w:r>
      <w:r w:rsidR="000A263A">
        <w:rPr>
          <w:color w:val="000000"/>
          <w:sz w:val="22"/>
          <w:szCs w:val="22"/>
        </w:rPr>
        <w:t xml:space="preserve"> compless</w:t>
      </w:r>
      <w:r w:rsidR="000A263A">
        <w:rPr>
          <w:color w:val="000000"/>
          <w:sz w:val="22"/>
          <w:szCs w:val="22"/>
        </w:rPr>
        <w:t>i</w:t>
      </w:r>
      <w:r w:rsidR="000A263A">
        <w:rPr>
          <w:color w:val="000000"/>
          <w:sz w:val="22"/>
          <w:szCs w:val="22"/>
        </w:rPr>
        <w:t>vamen</w:t>
      </w:r>
      <w:r w:rsidR="00123BFE">
        <w:rPr>
          <w:color w:val="000000"/>
          <w:sz w:val="22"/>
          <w:szCs w:val="22"/>
        </w:rPr>
        <w:t>te a 0,79</w:t>
      </w:r>
      <w:r w:rsidR="009B05F7">
        <w:rPr>
          <w:color w:val="000000"/>
          <w:sz w:val="22"/>
          <w:szCs w:val="22"/>
        </w:rPr>
        <w:t xml:space="preserve"> nei primi undici</w:t>
      </w:r>
      <w:r w:rsidR="000A263A">
        <w:rPr>
          <w:color w:val="000000"/>
          <w:sz w:val="22"/>
          <w:szCs w:val="22"/>
        </w:rPr>
        <w:t xml:space="preserve"> mesi dell’anno. </w:t>
      </w:r>
      <w:r w:rsidR="00123BFE" w:rsidRPr="00123BFE">
        <w:rPr>
          <w:b w:val="0"/>
          <w:color w:val="000000"/>
          <w:sz w:val="22"/>
          <w:szCs w:val="22"/>
        </w:rPr>
        <w:t xml:space="preserve">In </w:t>
      </w:r>
      <w:r w:rsidR="00123BFE" w:rsidRPr="00123BFE">
        <w:rPr>
          <w:b w:val="0"/>
          <w:bCs w:val="0"/>
          <w:color w:val="000000"/>
          <w:sz w:val="22"/>
          <w:szCs w:val="22"/>
        </w:rPr>
        <w:t>c</w:t>
      </w:r>
      <w:r w:rsidR="000A263A" w:rsidRPr="00123BFE">
        <w:rPr>
          <w:b w:val="0"/>
          <w:bCs w:val="0"/>
          <w:color w:val="000000"/>
          <w:sz w:val="22"/>
          <w:szCs w:val="22"/>
        </w:rPr>
        <w:t>ontrazione</w:t>
      </w:r>
      <w:r w:rsidR="00123BFE">
        <w:rPr>
          <w:b w:val="0"/>
          <w:bCs w:val="0"/>
          <w:color w:val="000000"/>
          <w:sz w:val="22"/>
          <w:szCs w:val="22"/>
        </w:rPr>
        <w:t xml:space="preserve"> a novembre anche </w:t>
      </w:r>
      <w:r w:rsidR="000A263A">
        <w:rPr>
          <w:b w:val="0"/>
          <w:bCs w:val="0"/>
          <w:color w:val="000000"/>
          <w:sz w:val="22"/>
          <w:szCs w:val="22"/>
        </w:rPr>
        <w:t xml:space="preserve">le </w:t>
      </w:r>
      <w:r w:rsidR="000A263A">
        <w:rPr>
          <w:color w:val="000000"/>
          <w:sz w:val="22"/>
          <w:szCs w:val="22"/>
        </w:rPr>
        <w:t>radiazioni di motocicli</w:t>
      </w:r>
      <w:r w:rsidR="00123BFE">
        <w:rPr>
          <w:b w:val="0"/>
          <w:bCs w:val="0"/>
          <w:color w:val="000000"/>
          <w:sz w:val="22"/>
          <w:szCs w:val="22"/>
        </w:rPr>
        <w:t xml:space="preserve">, che hanno registrato </w:t>
      </w:r>
      <w:r w:rsidR="000A263A">
        <w:rPr>
          <w:b w:val="0"/>
          <w:bCs w:val="0"/>
          <w:color w:val="000000"/>
          <w:sz w:val="22"/>
          <w:szCs w:val="22"/>
        </w:rPr>
        <w:t>una</w:t>
      </w:r>
      <w:r w:rsidR="000A263A">
        <w:rPr>
          <w:color w:val="000000"/>
          <w:sz w:val="22"/>
          <w:szCs w:val="22"/>
        </w:rPr>
        <w:t xml:space="preserve"> variazione </w:t>
      </w:r>
      <w:r w:rsidR="00123BFE">
        <w:rPr>
          <w:color w:val="000000"/>
          <w:sz w:val="22"/>
          <w:szCs w:val="22"/>
        </w:rPr>
        <w:t xml:space="preserve">mensile </w:t>
      </w:r>
      <w:r w:rsidR="000A263A">
        <w:rPr>
          <w:color w:val="000000"/>
          <w:sz w:val="22"/>
          <w:szCs w:val="22"/>
        </w:rPr>
        <w:t>nega</w:t>
      </w:r>
      <w:r w:rsidR="00123BFE">
        <w:rPr>
          <w:color w:val="000000"/>
          <w:sz w:val="22"/>
          <w:szCs w:val="22"/>
        </w:rPr>
        <w:t>tiva del 4,9</w:t>
      </w:r>
      <w:r w:rsidR="000A263A">
        <w:rPr>
          <w:color w:val="000000"/>
          <w:sz w:val="22"/>
          <w:szCs w:val="22"/>
        </w:rPr>
        <w:t xml:space="preserve">% </w:t>
      </w:r>
      <w:r w:rsidR="000A263A">
        <w:rPr>
          <w:b w:val="0"/>
          <w:bCs w:val="0"/>
          <w:color w:val="000000"/>
          <w:sz w:val="22"/>
          <w:szCs w:val="22"/>
        </w:rPr>
        <w:t>.</w:t>
      </w:r>
    </w:p>
    <w:p w:rsidR="00D35243" w:rsidRDefault="00D35243">
      <w:pPr>
        <w:spacing w:line="288" w:lineRule="auto"/>
        <w:jc w:val="both"/>
        <w:rPr>
          <w:sz w:val="22"/>
          <w:szCs w:val="22"/>
        </w:rPr>
      </w:pPr>
    </w:p>
    <w:p w:rsidR="00D35243" w:rsidRDefault="00123BFE">
      <w:pPr>
        <w:pStyle w:val="Pidipagina"/>
        <w:tabs>
          <w:tab w:val="clear" w:pos="4819"/>
          <w:tab w:val="clear" w:pos="9638"/>
          <w:tab w:val="left" w:pos="8805"/>
        </w:tabs>
        <w:spacing w:line="288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 gennaio a novembre</w:t>
      </w:r>
      <w:r w:rsidR="000A263A">
        <w:rPr>
          <w:rFonts w:ascii="Cambria" w:hAnsi="Cambria"/>
          <w:sz w:val="22"/>
          <w:szCs w:val="22"/>
        </w:rPr>
        <w:t xml:space="preserve"> 2022 rispetto allo stesso periodo del 2021 le radiazioni hanno archiviato decr</w:t>
      </w:r>
      <w:r w:rsidR="000A263A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menti del 29,6</w:t>
      </w:r>
      <w:r w:rsidR="000A263A">
        <w:rPr>
          <w:rFonts w:ascii="Cambria" w:hAnsi="Cambria"/>
          <w:sz w:val="22"/>
          <w:szCs w:val="22"/>
        </w:rPr>
        <w:t xml:space="preserve">% per le autovetture, </w:t>
      </w:r>
      <w:r>
        <w:rPr>
          <w:rFonts w:ascii="Cambria" w:hAnsi="Cambria"/>
          <w:sz w:val="22"/>
          <w:szCs w:val="22"/>
        </w:rPr>
        <w:t>del 3,2% per i motocicli e del 27,1</w:t>
      </w:r>
      <w:r w:rsidR="000A263A">
        <w:rPr>
          <w:rFonts w:ascii="Cambria" w:hAnsi="Cambria"/>
          <w:sz w:val="22"/>
          <w:szCs w:val="22"/>
        </w:rPr>
        <w:t>% per tutti i veicoli.</w:t>
      </w:r>
    </w:p>
    <w:p w:rsidR="00D35243" w:rsidRDefault="00D35243"/>
    <w:p w:rsidR="00D35243" w:rsidRDefault="00D35243"/>
    <w:p w:rsidR="00D35243" w:rsidRDefault="00D35243"/>
    <w:p w:rsidR="00D35243" w:rsidRDefault="00D35243" w:rsidP="00861D95">
      <w:pPr>
        <w:jc w:val="both"/>
      </w:pPr>
    </w:p>
    <w:p w:rsidR="00D35243" w:rsidRDefault="00D35243"/>
    <w:p w:rsidR="00D35243" w:rsidRDefault="000A263A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color w:val="800000"/>
          <w:sz w:val="22"/>
          <w:szCs w:val="22"/>
          <w:u w:color="800000"/>
        </w:rPr>
        <w:t>RADIAZIONI E USATO A NOVEMBRE</w:t>
      </w:r>
    </w:p>
    <w:p w:rsidR="00D35243" w:rsidRDefault="00D35243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5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50"/>
        <w:gridCol w:w="1415"/>
        <w:gridCol w:w="1415"/>
        <w:gridCol w:w="1015"/>
        <w:gridCol w:w="1415"/>
        <w:gridCol w:w="1416"/>
        <w:gridCol w:w="1013"/>
      </w:tblGrid>
      <w:tr w:rsidR="00D35243" w:rsidTr="00665E57">
        <w:trPr>
          <w:trHeight w:val="322"/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D35243"/>
        </w:tc>
        <w:tc>
          <w:tcPr>
            <w:tcW w:w="3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 xml:space="preserve">PASSAGGI </w:t>
            </w:r>
            <w:proofErr w:type="spellStart"/>
            <w:r>
              <w:rPr>
                <w:color w:val="000099"/>
                <w:sz w:val="20"/>
                <w:szCs w:val="20"/>
                <w:u w:color="000099"/>
              </w:rPr>
              <w:t>DI</w:t>
            </w:r>
            <w:proofErr w:type="spellEnd"/>
            <w:r>
              <w:rPr>
                <w:color w:val="000099"/>
                <w:sz w:val="20"/>
                <w:szCs w:val="20"/>
                <w:u w:color="000099"/>
              </w:rPr>
              <w:t xml:space="preserve"> PROPRIETA’ (*)</w:t>
            </w:r>
          </w:p>
        </w:tc>
      </w:tr>
      <w:tr w:rsidR="00D35243" w:rsidTr="00665E57">
        <w:trPr>
          <w:trHeight w:val="332"/>
          <w:jc w:val="center"/>
        </w:trPr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D35243"/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 xml:space="preserve"> NOV ’21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NOV ’22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NOV ’21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NOV ’22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</w:tr>
      <w:tr w:rsidR="000A263A" w:rsidTr="00665E57">
        <w:trPr>
          <w:trHeight w:val="412"/>
          <w:jc w:val="center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AUTO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112.738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79.983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-29,1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255.995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234.631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-8,3</w:t>
            </w:r>
          </w:p>
        </w:tc>
      </w:tr>
      <w:tr w:rsidR="000A263A" w:rsidTr="00665E57">
        <w:trPr>
          <w:trHeight w:val="412"/>
          <w:jc w:val="center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MOTO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9.786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9.310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-4,9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39.594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41.263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0A263A" w:rsidTr="00665E57">
        <w:trPr>
          <w:trHeight w:val="412"/>
          <w:jc w:val="center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u w:color="000099"/>
              </w:rPr>
              <w:t>TUTTI I VEICOLI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133.101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98.472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-26,0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336.557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315.139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 w:rsidP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-6,4</w:t>
            </w:r>
          </w:p>
        </w:tc>
      </w:tr>
    </w:tbl>
    <w:p w:rsidR="00D35243" w:rsidRDefault="00D35243" w:rsidP="006809B1">
      <w:pPr>
        <w:widowControl w:val="0"/>
        <w:jc w:val="both"/>
        <w:rPr>
          <w:color w:val="800000"/>
          <w:sz w:val="8"/>
          <w:szCs w:val="8"/>
          <w:u w:color="800000"/>
        </w:rPr>
      </w:pPr>
    </w:p>
    <w:p w:rsidR="00D35243" w:rsidRDefault="000A263A">
      <w:pPr>
        <w:widowControl w:val="0"/>
        <w:ind w:left="1" w:hanging="1"/>
        <w:rPr>
          <w:color w:val="800000"/>
          <w:sz w:val="6"/>
          <w:szCs w:val="6"/>
          <w:u w:color="800000"/>
        </w:rPr>
      </w:pPr>
      <w:r>
        <w:rPr>
          <w:color w:val="800000"/>
          <w:sz w:val="6"/>
          <w:szCs w:val="6"/>
          <w:u w:color="800000"/>
        </w:rPr>
        <w:t xml:space="preserve">    </w:t>
      </w:r>
    </w:p>
    <w:p w:rsidR="00D35243" w:rsidRDefault="000A263A">
      <w:pPr>
        <w:jc w:val="left"/>
        <w:rPr>
          <w:i/>
          <w:iCs/>
        </w:rPr>
      </w:pPr>
      <w:r>
        <w:t xml:space="preserve">      </w:t>
      </w:r>
      <w:r>
        <w:rPr>
          <w:i/>
          <w:iCs/>
        </w:rPr>
        <w:t>Fonte: ACI – Automobile Club d’Italia      (*) Al netto delle minivolture</w:t>
      </w:r>
    </w:p>
    <w:p w:rsidR="00D35243" w:rsidRDefault="00D35243">
      <w:pPr>
        <w:jc w:val="left"/>
      </w:pPr>
    </w:p>
    <w:p w:rsidR="00D35243" w:rsidRDefault="00D35243">
      <w:pPr>
        <w:jc w:val="left"/>
      </w:pPr>
    </w:p>
    <w:p w:rsidR="00D35243" w:rsidRDefault="00D35243">
      <w:pPr>
        <w:jc w:val="left"/>
      </w:pPr>
    </w:p>
    <w:p w:rsidR="00D35243" w:rsidRDefault="000A263A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RADIAZIONI E USATO DA GENNAIO A NOVEMBRE</w:t>
      </w:r>
    </w:p>
    <w:p w:rsidR="00D35243" w:rsidRDefault="00D35243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5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8"/>
        <w:gridCol w:w="1416"/>
        <w:gridCol w:w="1416"/>
        <w:gridCol w:w="1017"/>
        <w:gridCol w:w="1414"/>
        <w:gridCol w:w="1415"/>
        <w:gridCol w:w="1013"/>
      </w:tblGrid>
      <w:tr w:rsidR="00D35243" w:rsidTr="00665E57">
        <w:trPr>
          <w:trHeight w:val="3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D35243"/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 xml:space="preserve">PASSAGGI </w:t>
            </w:r>
            <w:proofErr w:type="spellStart"/>
            <w:r>
              <w:rPr>
                <w:color w:val="000099"/>
                <w:sz w:val="20"/>
                <w:szCs w:val="20"/>
                <w:u w:color="000099"/>
              </w:rPr>
              <w:t>DI</w:t>
            </w:r>
            <w:proofErr w:type="spellEnd"/>
            <w:r>
              <w:rPr>
                <w:color w:val="000099"/>
                <w:sz w:val="20"/>
                <w:szCs w:val="20"/>
                <w:u w:color="000099"/>
              </w:rPr>
              <w:t xml:space="preserve"> PROPRIETA’ (*)</w:t>
            </w:r>
          </w:p>
        </w:tc>
      </w:tr>
      <w:tr w:rsidR="00D35243" w:rsidTr="00665E57">
        <w:trPr>
          <w:trHeight w:val="332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D35243"/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u w:color="011892"/>
              </w:rPr>
              <w:t xml:space="preserve"> </w:t>
            </w:r>
            <w:r>
              <w:rPr>
                <w:sz w:val="20"/>
                <w:szCs w:val="20"/>
                <w:u w:color="011892"/>
              </w:rPr>
              <w:t>GEN-NOV ’21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GEN-NOV ’22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GEN-NOV ’21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GEN-NOV ’22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</w:tr>
      <w:tr w:rsidR="000A263A" w:rsidTr="00665E57">
        <w:trPr>
          <w:trHeight w:val="412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AUTO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1.376.278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968.613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-29,6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2.795.754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2.496.438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-10,7</w:t>
            </w:r>
          </w:p>
        </w:tc>
      </w:tr>
      <w:tr w:rsidR="000A263A" w:rsidTr="00665E57">
        <w:trPr>
          <w:trHeight w:val="412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MOTO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109.574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106.026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-3,2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617.568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585.564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-5,2</w:t>
            </w:r>
          </w:p>
        </w:tc>
      </w:tr>
      <w:tr w:rsidR="000A263A" w:rsidTr="00665E57">
        <w:trPr>
          <w:trHeight w:val="412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TUTTI I VEICOLI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1.618.979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1.180.196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-27,1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3.833.428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b w:val="0"/>
                <w:color w:val="000000"/>
                <w:sz w:val="24"/>
                <w:szCs w:val="24"/>
              </w:rPr>
            </w:pPr>
            <w:r w:rsidRPr="000A263A">
              <w:rPr>
                <w:rFonts w:cs="Tahoma"/>
                <w:b w:val="0"/>
                <w:color w:val="000000"/>
                <w:sz w:val="24"/>
                <w:szCs w:val="24"/>
              </w:rPr>
              <w:t>3.500.439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Pr="000A263A" w:rsidRDefault="000A263A">
            <w:pPr>
              <w:rPr>
                <w:rFonts w:cs="Tahoma"/>
                <w:color w:val="FF0000"/>
                <w:sz w:val="24"/>
                <w:szCs w:val="24"/>
              </w:rPr>
            </w:pPr>
            <w:r w:rsidRPr="000A263A">
              <w:rPr>
                <w:rFonts w:cs="Tahoma"/>
                <w:bCs w:val="0"/>
                <w:color w:val="FF0000"/>
                <w:sz w:val="24"/>
                <w:szCs w:val="24"/>
              </w:rPr>
              <w:t>-8,7</w:t>
            </w:r>
          </w:p>
        </w:tc>
      </w:tr>
    </w:tbl>
    <w:p w:rsidR="00D35243" w:rsidRDefault="00D35243">
      <w:pPr>
        <w:widowControl w:val="0"/>
        <w:ind w:left="433" w:hanging="433"/>
        <w:rPr>
          <w:color w:val="800000"/>
          <w:sz w:val="12"/>
          <w:szCs w:val="12"/>
          <w:u w:color="800000"/>
        </w:rPr>
      </w:pPr>
    </w:p>
    <w:p w:rsidR="00D35243" w:rsidRDefault="00D35243" w:rsidP="006809B1">
      <w:pPr>
        <w:widowControl w:val="0"/>
        <w:jc w:val="both"/>
        <w:rPr>
          <w:color w:val="800000"/>
          <w:sz w:val="6"/>
          <w:szCs w:val="6"/>
          <w:u w:color="800000"/>
        </w:rPr>
      </w:pPr>
    </w:p>
    <w:p w:rsidR="00D35243" w:rsidRDefault="000A263A">
      <w:pPr>
        <w:jc w:val="left"/>
      </w:pPr>
      <w:r>
        <w:t xml:space="preserve">      </w:t>
      </w:r>
      <w:r>
        <w:rPr>
          <w:i/>
          <w:iCs/>
        </w:rPr>
        <w:t>Fonte: ACI – Automobile Club d’Italia      (*) Al netto delle minivolture</w:t>
      </w:r>
    </w:p>
    <w:p w:rsidR="00D35243" w:rsidRDefault="00D35243">
      <w:pPr>
        <w:jc w:val="left"/>
      </w:pPr>
    </w:p>
    <w:p w:rsidR="00D35243" w:rsidRDefault="00D35243">
      <w:pPr>
        <w:jc w:val="left"/>
      </w:pPr>
    </w:p>
    <w:p w:rsidR="00D35243" w:rsidRDefault="00D35243">
      <w:pPr>
        <w:jc w:val="left"/>
      </w:pPr>
    </w:p>
    <w:p w:rsidR="00D35243" w:rsidRDefault="00D35243">
      <w:pPr>
        <w:jc w:val="left"/>
      </w:pPr>
    </w:p>
    <w:p w:rsidR="00D35243" w:rsidRDefault="000A263A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sz w:val="22"/>
          <w:szCs w:val="22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2022: RADIAZIONI AUTOVETTURE SECONDO LA CLASSE EURO (Val. %)</w:t>
      </w:r>
    </w:p>
    <w:p w:rsidR="00D35243" w:rsidRDefault="00D35243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ED7E7"/>
        <w:tblLayout w:type="fixed"/>
        <w:tblLook w:val="04A0"/>
      </w:tblPr>
      <w:tblGrid>
        <w:gridCol w:w="1374"/>
        <w:gridCol w:w="618"/>
        <w:gridCol w:w="617"/>
        <w:gridCol w:w="616"/>
        <w:gridCol w:w="616"/>
        <w:gridCol w:w="616"/>
        <w:gridCol w:w="616"/>
        <w:gridCol w:w="615"/>
        <w:gridCol w:w="616"/>
        <w:gridCol w:w="615"/>
        <w:gridCol w:w="616"/>
        <w:gridCol w:w="617"/>
        <w:gridCol w:w="617"/>
        <w:gridCol w:w="780"/>
      </w:tblGrid>
      <w:tr w:rsidR="00D35243" w:rsidTr="00665E57">
        <w:trPr>
          <w:trHeight w:hRule="exact" w:val="491"/>
          <w:jc w:val="center"/>
        </w:trPr>
        <w:tc>
          <w:tcPr>
            <w:tcW w:w="1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D35243"/>
        </w:tc>
        <w:tc>
          <w:tcPr>
            <w:tcW w:w="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GEN</w:t>
            </w:r>
          </w:p>
        </w:tc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FEB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MAR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APR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MAG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GIU</w:t>
            </w:r>
          </w:p>
        </w:tc>
        <w:tc>
          <w:tcPr>
            <w:tcW w:w="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LUG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AGO</w:t>
            </w:r>
          </w:p>
        </w:tc>
        <w:tc>
          <w:tcPr>
            <w:tcW w:w="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SET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OTT</w:t>
            </w:r>
          </w:p>
        </w:tc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NOV</w:t>
            </w:r>
          </w:p>
        </w:tc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DIC</w:t>
            </w: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99"/>
                <w:sz w:val="16"/>
                <w:szCs w:val="16"/>
                <w:u w:color="000099"/>
              </w:rPr>
              <w:t>TOTALE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20"/>
                <w:szCs w:val="20"/>
                <w:u w:color="000099"/>
              </w:rPr>
              <w:t>EURO 0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1,0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1,0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0,9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1,0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1,1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20"/>
                <w:szCs w:val="20"/>
                <w:u w:color="000099"/>
              </w:rPr>
              <w:t>EURO 1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2,3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2,2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2,3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1,9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2,2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2,0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2,2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20"/>
                <w:szCs w:val="20"/>
                <w:u w:color="000099"/>
              </w:rPr>
              <w:t>EURO 2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19,1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18,3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18,1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18,5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18,4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16,3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17,0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17,4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17,5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17,3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16,3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17,7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20"/>
                <w:szCs w:val="20"/>
                <w:u w:color="000099"/>
              </w:rPr>
              <w:t>EURO 3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27,2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26,5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26,1</w:t>
            </w:r>
          </w:p>
        </w:tc>
        <w:tc>
          <w:tcPr>
            <w:tcW w:w="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26,0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25,6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25,3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25,0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25,6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25,3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25,3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25,2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25,8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20"/>
                <w:szCs w:val="20"/>
                <w:u w:color="000099"/>
              </w:rPr>
              <w:t>EURO 4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35,0</w:t>
            </w:r>
          </w:p>
        </w:tc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35,1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33,8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32,6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31,9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37,3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34,6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34,6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34,2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34,7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35,0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34,5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20"/>
                <w:szCs w:val="20"/>
                <w:u w:color="000099"/>
              </w:rPr>
              <w:t>EURO 5-6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13,2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14,8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16,5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17,3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18,3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15,4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17,5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16,9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16,2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15,6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16,8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16,1</w:t>
            </w:r>
          </w:p>
        </w:tc>
      </w:tr>
      <w:tr w:rsidR="00750C09" w:rsidTr="00665E57">
        <w:trPr>
          <w:trHeight w:hRule="exact" w:val="400"/>
          <w:jc w:val="center"/>
        </w:trPr>
        <w:tc>
          <w:tcPr>
            <w:tcW w:w="13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color w:val="000099"/>
                <w:sz w:val="16"/>
                <w:szCs w:val="16"/>
                <w:u w:color="000099"/>
              </w:rPr>
              <w:t xml:space="preserve">Non identificato </w:t>
            </w:r>
          </w:p>
        </w:tc>
        <w:tc>
          <w:tcPr>
            <w:tcW w:w="6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2,0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2,5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2,8</w:t>
            </w:r>
          </w:p>
        </w:tc>
        <w:tc>
          <w:tcPr>
            <w:tcW w:w="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2,7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3,8</w:t>
            </w:r>
          </w:p>
        </w:tc>
        <w:tc>
          <w:tcPr>
            <w:tcW w:w="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3,9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b w:val="0"/>
                <w:color w:val="auto"/>
                <w:sz w:val="20"/>
                <w:szCs w:val="20"/>
              </w:rPr>
              <w:t>3,5</w:t>
            </w:r>
          </w:p>
        </w:tc>
        <w:tc>
          <w:tcPr>
            <w:tcW w:w="6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 w:rsidP="00750C09">
            <w:pPr>
              <w:rPr>
                <w:rFonts w:cs="Arial"/>
                <w:color w:val="auto"/>
                <w:sz w:val="20"/>
                <w:szCs w:val="20"/>
              </w:rPr>
            </w:pPr>
            <w:r w:rsidRPr="00750C09">
              <w:rPr>
                <w:rFonts w:cs="Arial"/>
                <w:color w:val="auto"/>
                <w:sz w:val="20"/>
                <w:szCs w:val="20"/>
              </w:rPr>
              <w:t>2,7</w:t>
            </w:r>
          </w:p>
        </w:tc>
      </w:tr>
    </w:tbl>
    <w:p w:rsidR="000A263A" w:rsidRDefault="000A263A" w:rsidP="006809B1">
      <w:pPr>
        <w:jc w:val="both"/>
        <w:rPr>
          <w:color w:val="800000"/>
          <w:sz w:val="6"/>
          <w:szCs w:val="6"/>
          <w:u w:color="800000"/>
        </w:rPr>
      </w:pPr>
    </w:p>
    <w:p w:rsidR="000A263A" w:rsidRDefault="000A263A">
      <w:pPr>
        <w:rPr>
          <w:color w:val="800000"/>
          <w:sz w:val="6"/>
          <w:szCs w:val="6"/>
          <w:u w:color="800000"/>
        </w:rPr>
      </w:pPr>
    </w:p>
    <w:p w:rsidR="000A263A" w:rsidRDefault="000A263A">
      <w:pPr>
        <w:rPr>
          <w:color w:val="800000"/>
          <w:sz w:val="6"/>
          <w:szCs w:val="6"/>
          <w:u w:color="800000"/>
        </w:rPr>
      </w:pPr>
    </w:p>
    <w:p w:rsidR="00D35243" w:rsidRDefault="000A263A">
      <w:pPr>
        <w:jc w:val="left"/>
        <w:rPr>
          <w:i/>
          <w:iCs/>
        </w:rPr>
      </w:pPr>
      <w:r>
        <w:rPr>
          <w:color w:val="800000"/>
          <w:u w:color="800000"/>
        </w:rPr>
        <w:t xml:space="preserve">      </w:t>
      </w:r>
      <w:r>
        <w:rPr>
          <w:i/>
          <w:iCs/>
        </w:rPr>
        <w:t>Fonte: ACI – Automobile Club d’Italia</w:t>
      </w:r>
    </w:p>
    <w:p w:rsidR="00D35243" w:rsidRDefault="00D35243"/>
    <w:p w:rsidR="00D35243" w:rsidRDefault="00D35243"/>
    <w:p w:rsidR="00D35243" w:rsidRDefault="00D35243"/>
    <w:p w:rsidR="00861D95" w:rsidRDefault="00861D95" w:rsidP="00861D95">
      <w:pPr>
        <w:jc w:val="both"/>
        <w:rPr>
          <w:sz w:val="22"/>
          <w:szCs w:val="22"/>
        </w:rPr>
      </w:pPr>
    </w:p>
    <w:p w:rsidR="00861D95" w:rsidRDefault="00861D95" w:rsidP="00861D95">
      <w:pPr>
        <w:jc w:val="both"/>
        <w:rPr>
          <w:sz w:val="22"/>
          <w:szCs w:val="22"/>
        </w:rPr>
      </w:pPr>
    </w:p>
    <w:p w:rsidR="00D35243" w:rsidRDefault="000A263A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color w:val="800000"/>
          <w:sz w:val="22"/>
          <w:szCs w:val="22"/>
          <w:u w:color="800000"/>
        </w:rPr>
        <w:t>CONFRONTO PRIME ISCRIZIONI–PASSAGGI AUTOVETTURE PER ALIMENTAZIONE</w:t>
      </w:r>
    </w:p>
    <w:p w:rsidR="00D35243" w:rsidRDefault="00D35243">
      <w:pPr>
        <w:rPr>
          <w:sz w:val="12"/>
          <w:szCs w:val="12"/>
        </w:rPr>
      </w:pPr>
    </w:p>
    <w:tbl>
      <w:tblPr>
        <w:tblStyle w:val="TableNormal"/>
        <w:tblW w:w="9550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2405"/>
        <w:gridCol w:w="1294"/>
        <w:gridCol w:w="1292"/>
        <w:gridCol w:w="980"/>
        <w:gridCol w:w="1304"/>
        <w:gridCol w:w="1295"/>
        <w:gridCol w:w="980"/>
      </w:tblGrid>
      <w:tr w:rsidR="00D35243" w:rsidTr="00665E57">
        <w:trPr>
          <w:trHeight w:val="352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D35243"/>
        </w:tc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5243" w:rsidRDefault="000A263A">
            <w:r>
              <w:rPr>
                <w:rFonts w:ascii="Arial" w:hAnsi="Arial"/>
                <w:sz w:val="20"/>
                <w:szCs w:val="20"/>
                <w:u w:color="011892"/>
              </w:rPr>
              <w:t xml:space="preserve">QUOTA </w:t>
            </w:r>
            <w:proofErr w:type="spellStart"/>
            <w:r>
              <w:rPr>
                <w:rFonts w:ascii="Arial" w:hAnsi="Arial"/>
                <w:sz w:val="20"/>
                <w:szCs w:val="20"/>
                <w:u w:color="011892"/>
              </w:rPr>
              <w:t>DI</w:t>
            </w:r>
            <w:proofErr w:type="spellEnd"/>
            <w:r>
              <w:rPr>
                <w:rFonts w:ascii="Arial" w:hAnsi="Arial"/>
                <w:sz w:val="20"/>
                <w:szCs w:val="20"/>
                <w:u w:color="011892"/>
              </w:rPr>
              <w:t xml:space="preserve"> MERCATO (%)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5243" w:rsidRDefault="00D35243"/>
        </w:tc>
      </w:tr>
      <w:tr w:rsidR="00D35243" w:rsidTr="00665E57">
        <w:trPr>
          <w:trHeight w:val="56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D35243"/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NOV ’21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NOV ’22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pPr>
              <w:pStyle w:val="Nessunaspaziatura"/>
            </w:pPr>
            <w:r>
              <w:rPr>
                <w:sz w:val="20"/>
                <w:szCs w:val="20"/>
                <w:u w:color="011892"/>
              </w:rPr>
              <w:t>Var. %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GEN-NOV ’21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GEN-NOV ’22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sz w:val="20"/>
                <w:szCs w:val="20"/>
                <w:u w:color="011892"/>
              </w:rPr>
              <w:t>Var. %</w:t>
            </w:r>
          </w:p>
        </w:tc>
      </w:tr>
      <w:tr w:rsidR="000A263A" w:rsidTr="00665E57">
        <w:trPr>
          <w:trHeight w:val="36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 </w:t>
            </w:r>
          </w:p>
        </w:tc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4"/>
                <w:szCs w:val="24"/>
                <w:u w:color="000099"/>
              </w:rPr>
              <w:t>PASSAGGI AL NETTO MINIVOLTURE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/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 xml:space="preserve">BENZINA 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37,2%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39,3%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FF0000"/>
                <w:sz w:val="22"/>
                <w:szCs w:val="22"/>
              </w:rPr>
            </w:pPr>
            <w:r w:rsidRPr="000A263A">
              <w:rPr>
                <w:color w:val="FF0000"/>
                <w:sz w:val="22"/>
                <w:szCs w:val="22"/>
              </w:rPr>
              <w:t>-3,0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37,0%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37,8%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FF0000"/>
                <w:sz w:val="22"/>
                <w:szCs w:val="22"/>
              </w:rPr>
            </w:pPr>
            <w:r w:rsidRPr="000A263A">
              <w:rPr>
                <w:color w:val="FF0000"/>
                <w:sz w:val="22"/>
                <w:szCs w:val="22"/>
              </w:rPr>
              <w:t>-8,8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DIESEL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48,6%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45,5%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FF0000"/>
                <w:sz w:val="22"/>
                <w:szCs w:val="22"/>
              </w:rPr>
            </w:pPr>
            <w:r w:rsidRPr="000A263A">
              <w:rPr>
                <w:color w:val="FF0000"/>
                <w:sz w:val="22"/>
                <w:szCs w:val="22"/>
              </w:rPr>
              <w:t>-14,2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49,4%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47,5%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FF0000"/>
                <w:sz w:val="22"/>
                <w:szCs w:val="22"/>
              </w:rPr>
            </w:pPr>
            <w:r w:rsidRPr="000A263A">
              <w:rPr>
                <w:color w:val="FF0000"/>
                <w:sz w:val="22"/>
                <w:szCs w:val="22"/>
              </w:rPr>
              <w:t>-14,2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ELETTRICO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FF0000"/>
                <w:sz w:val="22"/>
                <w:szCs w:val="22"/>
              </w:rPr>
            </w:pPr>
            <w:r w:rsidRPr="000A263A">
              <w:rPr>
                <w:color w:val="FF0000"/>
                <w:sz w:val="22"/>
                <w:szCs w:val="22"/>
              </w:rPr>
              <w:t>-37,7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000000"/>
                <w:sz w:val="22"/>
                <w:szCs w:val="22"/>
              </w:rPr>
            </w:pPr>
            <w:r w:rsidRPr="000A263A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IBRIDO-BENZINA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000000"/>
                <w:sz w:val="22"/>
                <w:szCs w:val="22"/>
              </w:rPr>
            </w:pPr>
            <w:r w:rsidRPr="000A263A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000000"/>
                <w:sz w:val="22"/>
                <w:szCs w:val="22"/>
              </w:rPr>
            </w:pPr>
            <w:r w:rsidRPr="000A263A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IBRIDO-GASOLIO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000000"/>
                <w:sz w:val="22"/>
                <w:szCs w:val="22"/>
              </w:rPr>
            </w:pPr>
            <w:r w:rsidRPr="000A263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b w:val="0"/>
                <w:color w:val="000000"/>
                <w:sz w:val="22"/>
                <w:szCs w:val="22"/>
              </w:rPr>
            </w:pPr>
            <w:r w:rsidRPr="000A263A">
              <w:rPr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color w:val="000000"/>
                <w:sz w:val="22"/>
                <w:szCs w:val="22"/>
              </w:rPr>
            </w:pPr>
            <w:r w:rsidRPr="000A263A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0A263A" w:rsidTr="00665E57">
        <w:trPr>
          <w:trHeight w:val="36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/>
        </w:tc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>
            <w:r>
              <w:rPr>
                <w:color w:val="000099"/>
                <w:sz w:val="24"/>
                <w:szCs w:val="24"/>
                <w:u w:color="000099"/>
              </w:rPr>
              <w:t>MINIVOLTURE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63A" w:rsidRDefault="000A263A"/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BENZINA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30,4%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31,8%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11,4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30,7%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31,6%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A263A">
              <w:rPr>
                <w:rFonts w:ascii="Calibri" w:hAnsi="Calibri"/>
                <w:color w:val="FF0000"/>
                <w:sz w:val="22"/>
                <w:szCs w:val="22"/>
              </w:rPr>
              <w:t>-2,5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DIESEL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54,8%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51,4%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A263A">
              <w:rPr>
                <w:rFonts w:ascii="Calibri" w:hAnsi="Calibri"/>
                <w:color w:val="FF0000"/>
                <w:sz w:val="22"/>
                <w:szCs w:val="22"/>
              </w:rPr>
              <w:t>-0,2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56,4%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A263A">
              <w:rPr>
                <w:rFonts w:ascii="Calibri" w:hAnsi="Calibri"/>
                <w:color w:val="FF0000"/>
                <w:sz w:val="22"/>
                <w:szCs w:val="22"/>
              </w:rPr>
              <w:t>-11,1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</w:rPr>
              <w:t>ELETTRICO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72,0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IBRIDO-BENZINA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83,2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70,0</w:t>
            </w:r>
          </w:p>
        </w:tc>
      </w:tr>
      <w:tr w:rsidR="000A263A" w:rsidTr="00665E57">
        <w:trPr>
          <w:trHeight w:val="320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Default="000A263A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IBRIDO-GASOLIO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A26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263A" w:rsidRPr="000A263A" w:rsidRDefault="000A263A" w:rsidP="000A263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263A">
              <w:rPr>
                <w:rFonts w:ascii="Calibri" w:hAnsi="Calibri"/>
                <w:color w:val="000000" w:themeColor="text1"/>
                <w:sz w:val="22"/>
                <w:szCs w:val="22"/>
              </w:rPr>
              <w:t>75,7</w:t>
            </w:r>
          </w:p>
        </w:tc>
      </w:tr>
    </w:tbl>
    <w:p w:rsidR="00D35243" w:rsidRDefault="00D35243" w:rsidP="000A263A">
      <w:pPr>
        <w:widowControl w:val="0"/>
        <w:jc w:val="both"/>
        <w:rPr>
          <w:sz w:val="12"/>
          <w:szCs w:val="12"/>
        </w:rPr>
      </w:pPr>
    </w:p>
    <w:p w:rsidR="00D35243" w:rsidRDefault="00D35243">
      <w:pPr>
        <w:widowControl w:val="0"/>
        <w:rPr>
          <w:sz w:val="6"/>
          <w:szCs w:val="6"/>
        </w:rPr>
      </w:pPr>
    </w:p>
    <w:p w:rsidR="00D35243" w:rsidRDefault="000A263A">
      <w:pPr>
        <w:jc w:val="left"/>
        <w:rPr>
          <w:i/>
          <w:iCs/>
        </w:rPr>
      </w:pPr>
      <w:r>
        <w:t xml:space="preserve">             </w:t>
      </w:r>
      <w:r>
        <w:rPr>
          <w:i/>
          <w:iCs/>
        </w:rPr>
        <w:t>Fonte: ACI – Automobile Club d’Italia</w:t>
      </w:r>
    </w:p>
    <w:p w:rsidR="00D35243" w:rsidRDefault="000A263A">
      <w:pPr>
        <w:jc w:val="left"/>
      </w:pPr>
      <w:r>
        <w:rPr>
          <w:i/>
          <w:iCs/>
        </w:rPr>
        <w:t xml:space="preserve">             NOTA: Le variazioni percentuali sono calcolate rispetto ai valori assoluti delle formalità non inseriti in tabella.</w:t>
      </w:r>
    </w:p>
    <w:p w:rsidR="00D35243" w:rsidRDefault="00D35243">
      <w:pPr>
        <w:jc w:val="left"/>
        <w:rPr>
          <w:sz w:val="22"/>
          <w:szCs w:val="22"/>
        </w:rPr>
      </w:pPr>
    </w:p>
    <w:p w:rsidR="00D35243" w:rsidRDefault="00D35243">
      <w:pPr>
        <w:jc w:val="left"/>
        <w:rPr>
          <w:sz w:val="22"/>
          <w:szCs w:val="22"/>
        </w:rPr>
      </w:pPr>
    </w:p>
    <w:p w:rsidR="00D35243" w:rsidRDefault="00D35243">
      <w:pPr>
        <w:jc w:val="left"/>
        <w:rPr>
          <w:sz w:val="22"/>
          <w:szCs w:val="22"/>
        </w:rPr>
      </w:pPr>
    </w:p>
    <w:p w:rsidR="00D35243" w:rsidRDefault="00D35243">
      <w:pPr>
        <w:jc w:val="left"/>
        <w:rPr>
          <w:sz w:val="22"/>
          <w:szCs w:val="22"/>
        </w:rPr>
      </w:pPr>
    </w:p>
    <w:p w:rsidR="00D35243" w:rsidRDefault="000A263A">
      <w:pPr>
        <w:rPr>
          <w:sz w:val="22"/>
          <w:szCs w:val="22"/>
        </w:rPr>
      </w:pPr>
      <w:r>
        <w:rPr>
          <w:rFonts w:eastAsia="Arial Unicode MS" w:cs="Arial Unicode MS"/>
          <w:color w:val="800000"/>
          <w:sz w:val="22"/>
          <w:szCs w:val="22"/>
          <w:u w:color="800000"/>
        </w:rPr>
        <w:t>AUTOVETTURE: QUADRO PROVINCIALE (Novembre 2022)</w:t>
      </w:r>
    </w:p>
    <w:p w:rsidR="00D35243" w:rsidRDefault="00D35243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ED7E7"/>
        <w:tblLayout w:type="fixed"/>
        <w:tblLook w:val="04A0"/>
      </w:tblPr>
      <w:tblGrid>
        <w:gridCol w:w="2721"/>
        <w:gridCol w:w="1195"/>
        <w:gridCol w:w="1195"/>
        <w:gridCol w:w="1196"/>
        <w:gridCol w:w="1195"/>
        <w:gridCol w:w="1195"/>
        <w:gridCol w:w="1197"/>
      </w:tblGrid>
      <w:tr w:rsidR="00D35243" w:rsidTr="00665E57">
        <w:trPr>
          <w:trHeight w:val="325"/>
          <w:jc w:val="center"/>
        </w:trPr>
        <w:tc>
          <w:tcPr>
            <w:tcW w:w="2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43" w:rsidRDefault="000A263A">
            <w:r>
              <w:rPr>
                <w:color w:val="000080"/>
                <w:sz w:val="20"/>
                <w:szCs w:val="20"/>
                <w:u w:color="000080"/>
              </w:rPr>
              <w:t> </w:t>
            </w:r>
          </w:p>
        </w:tc>
        <w:tc>
          <w:tcPr>
            <w:tcW w:w="358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58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PASSAGGI NETTI</w:t>
            </w:r>
          </w:p>
        </w:tc>
      </w:tr>
      <w:tr w:rsidR="00D35243" w:rsidTr="00665E57">
        <w:trPr>
          <w:trHeight w:val="56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D35243">
            <w:pPr>
              <w:rPr>
                <w:color w:val="000099"/>
                <w:sz w:val="22"/>
                <w:szCs w:val="22"/>
                <w:u w:color="000099"/>
              </w:rPr>
            </w:pPr>
          </w:p>
          <w:p w:rsidR="00D35243" w:rsidRDefault="000A263A">
            <w:r>
              <w:rPr>
                <w:color w:val="000099"/>
                <w:sz w:val="22"/>
                <w:szCs w:val="22"/>
                <w:u w:color="000099"/>
              </w:rPr>
              <w:t>Provincia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2021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2022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 xml:space="preserve"> Var. %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2021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>2022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243" w:rsidRDefault="000A263A">
            <w:r>
              <w:rPr>
                <w:color w:val="000099"/>
                <w:sz w:val="20"/>
                <w:szCs w:val="20"/>
                <w:u w:color="000099"/>
              </w:rPr>
              <w:t xml:space="preserve"> Var. %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AL (Alessandria)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841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531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bookmarkStart w:id="0" w:name="RANGE!E4:E126"/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1.918</w:t>
            </w:r>
            <w:bookmarkEnd w:id="0"/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1.727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AT (Asti)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443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252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-43,2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977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861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BI (Biella)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401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277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-31,0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847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793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CN (Cuneo)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1.457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927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2.745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2.514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NO (Novara)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719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439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-38,9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1.539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1.503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TO (Torino)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4.099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2.683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-34,6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9.636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9.002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lastRenderedPageBreak/>
              <w:t xml:space="preserve">VB (Verbania)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303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216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-28,8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665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VC (Vercelli)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390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244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-37,5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745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701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-5,9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PIEMONTE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8.653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5.567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-35,7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19.151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17.766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-7,2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AO (Aosta)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370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244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-34,1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674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611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-9,3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VALLE D'AOSTA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370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244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-34,1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674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611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-9,3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BG (Bergamo)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2.038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1.381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4.194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4.098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BS (Brescia)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2.431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1.474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-39,4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5.396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5.101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-5,5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CO (Como)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1.367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789</w:t>
            </w:r>
          </w:p>
        </w:tc>
        <w:tc>
          <w:tcPr>
            <w:tcW w:w="11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-42,3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2.451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2.388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CR (Cremona)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748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560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-25,2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1.347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1.284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LC (Lecco)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733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469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1.287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1.270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LO (Lodi)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568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338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-40,5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955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881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MN (Mantova)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614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-34,1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1.771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1.560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proofErr w:type="spellStart"/>
            <w:r>
              <w:rPr>
                <w:sz w:val="20"/>
                <w:szCs w:val="20"/>
                <w:u w:color="011892"/>
              </w:rPr>
              <w:t>MI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(Milano)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6.456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5.441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-15,7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11.342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11.102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MB (Monza Brianza)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1.711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1.104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-35,5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3.384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3.120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PV (Pavia)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1.238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724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-41,5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2.295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2.290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-0,2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SO (Sondrio)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367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266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-27,6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867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814</w:t>
            </w:r>
          </w:p>
        </w:tc>
        <w:tc>
          <w:tcPr>
            <w:tcW w:w="11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VA (Varese)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1.868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1.193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3.640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3.375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LOMBARDIA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20.456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14.354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-29,8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38.929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37.285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-4,2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BZ (Bolzano)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1.365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971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-28,9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2.816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2.154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-23,5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TN (Trento)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1.303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1.060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-18,6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3.258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2.715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-16,7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TRENTINO A.A.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2.668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2.031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-23,9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6.074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4.869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-19,8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BL (Belluno)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466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276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-40,8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960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753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-21,5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PD (Padova)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1.921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1.224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3.674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3.414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RO (Rovigo)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539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549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1,8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926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784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-15,3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TV (Treviso) 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1.849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1.246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3.501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3.175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-9,3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VE (Venezia)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1.427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981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-31,3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3.244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3.001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VR (Verona)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1.779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1.264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-29,0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3.926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3.644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proofErr w:type="spellStart"/>
            <w:r>
              <w:rPr>
                <w:sz w:val="20"/>
                <w:szCs w:val="20"/>
                <w:u w:color="011892"/>
              </w:rPr>
              <w:t>VI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(Vicenza)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1.771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1.227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-30,7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3.565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3.248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lastRenderedPageBreak/>
              <w:t>VENETO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9.752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6.765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-30,6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19.796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18.020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-9,0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GO (Gorizia)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316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200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567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558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PN (Pordenone)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818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633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-22,6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1.345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1.251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TS (Trieste)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350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251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-28,4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720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738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2,5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UD (Udine)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1.305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904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-30,8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2.382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2.143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FRIULI V.G.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2.789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1.987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-28,8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5.014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4.691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-6,5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GE (Genova)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1.038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743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-28,4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2.847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2.509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IM (Imperia)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315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220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-30,3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1.028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854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-17,0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SP (La Spezia)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296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204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-31,2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907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793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SV (Savona)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342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-23,0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1.228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1.202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LIGURIA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2.093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1.508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-27,9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6.010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5.358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-10,9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BO (Bologna)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1.756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1.318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-25,0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3.896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3.417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FE (Ferrara)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730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540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-26,1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1.390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1.296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FO (Forlì)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704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535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-24,1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1.601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1.532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MO (Modena)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1.257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927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-26,3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3.031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2.881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PR (Parma)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489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-42,0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1.913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1.681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PC (Piacenza)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509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344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1.207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1.114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RA (Ravenna)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840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561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-33,3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1.702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1.578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RE (Reggio Emilia)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995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833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-16,2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2.302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2.331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1,3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RN (Rimini)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664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428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-35,5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1.379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1.213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EMILIA ROMAGNA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8.299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5.974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-28,0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18.421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17.044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-7,5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3333FF"/>
              </w:rPr>
            </w:pPr>
            <w:r w:rsidRPr="00861D95">
              <w:rPr>
                <w:color w:val="3333FF"/>
                <w:sz w:val="20"/>
                <w:szCs w:val="20"/>
                <w:u w:color="000099"/>
              </w:rPr>
              <w:t>NORD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55.080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38.429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-30,2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114.069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105.644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-7,4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AR (Arezzo)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589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370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-37,2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1.455</w:t>
            </w:r>
          </w:p>
        </w:tc>
        <w:tc>
          <w:tcPr>
            <w:tcW w:w="11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1.395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FI (Firenze)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1.979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1.155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-41,6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3.732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3.409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GR (Grosseto)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504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332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-34,1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1.119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1.032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proofErr w:type="spellStart"/>
            <w:r>
              <w:rPr>
                <w:sz w:val="20"/>
                <w:szCs w:val="20"/>
                <w:u w:color="011892"/>
              </w:rPr>
              <w:t>LI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(Livorno)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557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374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1.336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1.234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LU (Lucca)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641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1.608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1.457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-9,4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MS (Massa Carrara)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298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194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-35,0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801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693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-13,5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lastRenderedPageBreak/>
              <w:t xml:space="preserve">PI (Pisa)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711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429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-39,6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1.644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1.584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PT (Pistoia)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718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482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1.464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1.285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PO (Prato)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262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-20,9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939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914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SI (Siena)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523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329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-37,1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1.222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1.060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-13,3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TOSCANA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6.859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4.568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-33,4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15.320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14.063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-8,2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PG (Perugia)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1.319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937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-29,0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3.073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2.864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TR (Terni)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456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293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-35,8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984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864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UMBRIA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1.775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1.230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-30,7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4.057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3.728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-8,1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AN (Ancona)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956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658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-31,2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1.934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1.726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AP (Ascoli Piceno)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383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297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-22,5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714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727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1,9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FM (Fermo)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284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260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692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568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-17,9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MC (Macerata)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638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323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-49,4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1.260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1.196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-5,1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PU (Pesaro e Urbino)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537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333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-38,0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1.283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1.173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MARCHE</w:t>
            </w:r>
          </w:p>
        </w:tc>
        <w:tc>
          <w:tcPr>
            <w:tcW w:w="11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2.798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1.870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-33,2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5.883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5.391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-8,4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FR (Frosinone)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900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624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-30,7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2.452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2.050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-16,4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LT (Latina)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1.179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713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-39,5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2.824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2.414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-14,5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RI (Rieti)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346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279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-19,4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806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709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RM (Roma)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8.996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6.641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-26,2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19.260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17.879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VT (Viterbo)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698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458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-34,3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1.553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1.339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-13,8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LAZIO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12.119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8.715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-28,1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26.895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24.391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-9,3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3333FF"/>
              </w:rPr>
            </w:pPr>
            <w:r w:rsidRPr="00861D95">
              <w:rPr>
                <w:color w:val="3333FF"/>
                <w:sz w:val="20"/>
                <w:szCs w:val="20"/>
                <w:u w:color="000099"/>
              </w:rPr>
              <w:t>CENTRO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23.551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16.384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-30,4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52.155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47.573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-8,8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AQ (L'Aquila)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615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422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-31,3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1.255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1.239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CH (Chieti)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718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483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1.555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1.424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PE (Pescara)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577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420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-27,2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1.330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1.153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-13,3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TE (Teramo)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619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461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-25,5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1.406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1.278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-9,1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ABRUZZO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2.529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1.787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-29,3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5.546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5.094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-8,1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CB (Campobasso)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349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266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-23,8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995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967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IS (Isernia)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157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-29,7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393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lastRenderedPageBreak/>
              <w:t>MOLISE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506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376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-25,7</w:t>
            </w:r>
          </w:p>
        </w:tc>
        <w:tc>
          <w:tcPr>
            <w:tcW w:w="11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1.426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1.359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-4,7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AV (Avellino)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1.013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445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-56,0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1.800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1.597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BN (Benevento)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491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314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-36,1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1.104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1.050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CE (Caserta)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1.489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1.144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-23,1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3.884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3.743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NA (Napoli)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4.386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3.700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-15,6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11.406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10.636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SA (Salerno)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1.646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1.108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4.760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4.368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CAMPANIA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9.025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6.711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-25,6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22.954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21.394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-6,8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BA (Bari)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2.493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1.737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-30,3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5.392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5.039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-6,5</w:t>
            </w:r>
          </w:p>
        </w:tc>
      </w:tr>
      <w:tr w:rsidR="00750C09" w:rsidRPr="00750C09" w:rsidTr="00665E57">
        <w:trPr>
          <w:trHeight w:val="52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BT (Barletta Andria Trani)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783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445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-43,1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1.788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1.584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BR (Brindisi)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782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512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-34,5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1.893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1.751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FG (Foggia)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926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697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-24,7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3.044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2.818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-7,4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LE (Lecce)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1.846</w:t>
            </w:r>
          </w:p>
        </w:tc>
        <w:tc>
          <w:tcPr>
            <w:tcW w:w="11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1.229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-33,4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3.623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3.057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-15,6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TA (Taranto)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895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692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-22,7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2.619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2.339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PUGLIA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7.725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5.312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-31,2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18.359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16.588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-9,6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MT (Matera)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356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231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-35,2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823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790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PZ (Potenza)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612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443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-27,6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1.573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1.385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BASILICATA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968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674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-30,4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2.396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2.175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-9,2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CZ (Catanzaro)    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495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375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-24,2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1.429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1.398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CS (Cosenza)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971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660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-32,0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3.224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2.870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KR (Crotone)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155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163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5,5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708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663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RC (Reggio Calabria)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652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477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-26,8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2.284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2.097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VV (Vibo Valentia)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189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181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645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579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CALABRIA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2.462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1.856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-24,6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8.290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7.607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-8,2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AG (Agrigento)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485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-33,6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1.829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1.585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-13,3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proofErr w:type="spellStart"/>
            <w:r>
              <w:rPr>
                <w:sz w:val="20"/>
                <w:szCs w:val="20"/>
                <w:u w:color="011892"/>
              </w:rPr>
              <w:t>CL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(Caltanissetta)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392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336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-14,3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1.067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933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CT (Catania)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1.572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1.370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5.891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4.997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-15,2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EN (Enna)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220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177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-19,8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689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572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-17,0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ME (Messina)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790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594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-24,8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2.622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2.298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-12,3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lastRenderedPageBreak/>
              <w:t xml:space="preserve">PA (Palermo) 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1.877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1.514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-19,3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5.078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4.393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-13,5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RG (Ragusa)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501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415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-17,1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1.516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1.443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SR (Siracusa)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709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549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-22,6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1.930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1.761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-8,7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TP (Trapani)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847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702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-17,1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2.144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1.838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-14,3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993300"/>
              </w:rPr>
            </w:pPr>
            <w:r w:rsidRPr="00861D95">
              <w:rPr>
                <w:color w:val="993300"/>
                <w:sz w:val="20"/>
                <w:szCs w:val="20"/>
                <w:u w:color="993300"/>
              </w:rPr>
              <w:t>SICILIA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7.639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6.142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-19,6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22.766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19.820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9933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993300"/>
                <w:sz w:val="22"/>
                <w:szCs w:val="22"/>
              </w:rPr>
              <w:t>-12,9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CA (Cagliari)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836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657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-21,4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2.027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1.971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-2,8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NU (Nuoro)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436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360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-17,4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1.043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957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-8,3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OR (Oristano)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331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227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-31,5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722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676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-6,3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 xml:space="preserve">SS (Sassari)    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1.130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757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-33,0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2.585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2.284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-11,6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Default="00750C09">
            <w:r>
              <w:rPr>
                <w:sz w:val="20"/>
                <w:szCs w:val="20"/>
                <w:u w:color="011892"/>
              </w:rPr>
              <w:t>SU (Sud Sardegna)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520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-40,4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1.657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 w:val="0"/>
                <w:color w:val="auto"/>
                <w:sz w:val="22"/>
                <w:szCs w:val="22"/>
              </w:rPr>
              <w:t>1.489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auto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color w:val="auto"/>
                <w:sz w:val="22"/>
                <w:szCs w:val="22"/>
              </w:rPr>
              <w:t>-10,2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750C09" w:rsidRDefault="00750C09">
            <w:pPr>
              <w:rPr>
                <w:color w:val="C00000"/>
              </w:rPr>
            </w:pPr>
            <w:r w:rsidRPr="00750C09">
              <w:rPr>
                <w:color w:val="C00000"/>
                <w:sz w:val="20"/>
                <w:szCs w:val="20"/>
                <w:u w:color="993300"/>
              </w:rPr>
              <w:t>SARDEGNA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C000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C00000"/>
                <w:sz w:val="22"/>
                <w:szCs w:val="22"/>
              </w:rPr>
              <w:t>3.253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C000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C00000"/>
                <w:sz w:val="22"/>
                <w:szCs w:val="22"/>
              </w:rPr>
              <w:t>2.311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C000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C00000"/>
                <w:sz w:val="22"/>
                <w:szCs w:val="22"/>
              </w:rPr>
              <w:t>-29,0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C000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C00000"/>
                <w:sz w:val="22"/>
                <w:szCs w:val="22"/>
              </w:rPr>
              <w:t>8.034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C000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C00000"/>
                <w:sz w:val="22"/>
                <w:szCs w:val="22"/>
              </w:rPr>
              <w:t>7.376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C00000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C00000"/>
                <w:sz w:val="22"/>
                <w:szCs w:val="22"/>
              </w:rPr>
              <w:t>-8,2</w:t>
            </w:r>
          </w:p>
        </w:tc>
      </w:tr>
      <w:tr w:rsidR="00750C09" w:rsidRPr="00750C09" w:rsidTr="00665E57">
        <w:trPr>
          <w:trHeight w:val="340"/>
          <w:jc w:val="center"/>
        </w:trPr>
        <w:tc>
          <w:tcPr>
            <w:tcW w:w="27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>
            <w:pPr>
              <w:rPr>
                <w:color w:val="3333FF"/>
              </w:rPr>
            </w:pPr>
            <w:r w:rsidRPr="00861D95">
              <w:rPr>
                <w:color w:val="3333FF"/>
                <w:sz w:val="20"/>
                <w:szCs w:val="20"/>
                <w:u w:color="000099"/>
              </w:rPr>
              <w:t>SUD E ISOLE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34.107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25.170</w:t>
            </w:r>
          </w:p>
        </w:tc>
        <w:tc>
          <w:tcPr>
            <w:tcW w:w="11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-26,2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89.771</w:t>
            </w:r>
          </w:p>
        </w:tc>
        <w:tc>
          <w:tcPr>
            <w:tcW w:w="11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81.415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C09" w:rsidRPr="00861D95" w:rsidRDefault="00750C09" w:rsidP="00750C09">
            <w:pPr>
              <w:rPr>
                <w:rFonts w:eastAsia="Arial Unicode MS" w:cs="Arial Unicode MS"/>
                <w:color w:val="3333FF"/>
                <w:sz w:val="22"/>
                <w:szCs w:val="22"/>
              </w:rPr>
            </w:pPr>
            <w:r w:rsidRPr="00861D95">
              <w:rPr>
                <w:rFonts w:eastAsia="Arial Unicode MS" w:cs="Arial Unicode MS"/>
                <w:bCs w:val="0"/>
                <w:color w:val="3333FF"/>
                <w:sz w:val="22"/>
                <w:szCs w:val="22"/>
              </w:rPr>
              <w:t>-9,3</w:t>
            </w:r>
          </w:p>
        </w:tc>
      </w:tr>
    </w:tbl>
    <w:p w:rsidR="00D35243" w:rsidRDefault="00D35243" w:rsidP="00861D95">
      <w:pPr>
        <w:widowControl w:val="0"/>
        <w:jc w:val="both"/>
        <w:rPr>
          <w:color w:val="800000"/>
          <w:sz w:val="12"/>
          <w:szCs w:val="12"/>
          <w:u w:color="800000"/>
        </w:rPr>
      </w:pPr>
    </w:p>
    <w:p w:rsidR="00D35243" w:rsidRDefault="00D35243" w:rsidP="00861D95">
      <w:pPr>
        <w:widowControl w:val="0"/>
        <w:ind w:left="55" w:hanging="55"/>
        <w:rPr>
          <w:color w:val="800000"/>
          <w:sz w:val="6"/>
          <w:szCs w:val="6"/>
          <w:u w:color="800000"/>
        </w:rPr>
      </w:pPr>
    </w:p>
    <w:p w:rsidR="00D35243" w:rsidRDefault="000A263A" w:rsidP="00861D95">
      <w:pPr>
        <w:jc w:val="left"/>
      </w:pPr>
      <w:r>
        <w:t xml:space="preserve">        </w:t>
      </w:r>
      <w:r>
        <w:rPr>
          <w:i/>
          <w:iCs/>
        </w:rPr>
        <w:t>Fonte: ACI – Automobile Club d’Italia</w:t>
      </w:r>
    </w:p>
    <w:sectPr w:rsidR="00D35243" w:rsidSect="00D35243">
      <w:headerReference w:type="default" r:id="rId7"/>
      <w:footerReference w:type="default" r:id="rId8"/>
      <w:pgSz w:w="11900" w:h="16840"/>
      <w:pgMar w:top="539" w:right="926" w:bottom="851" w:left="1080" w:header="708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00" w:rsidRDefault="00FD0900" w:rsidP="00D35243">
      <w:r>
        <w:separator/>
      </w:r>
    </w:p>
  </w:endnote>
  <w:endnote w:type="continuationSeparator" w:id="0">
    <w:p w:rsidR="00FD0900" w:rsidRDefault="00FD0900" w:rsidP="00D3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09" w:rsidRDefault="00750C09">
    <w:pPr>
      <w:pStyle w:val="Pidipagina"/>
      <w:pBdr>
        <w:top w:val="single" w:sz="4" w:space="0" w:color="000000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ACI – AUTOMOBILE CLUB D’ITALIA</w:t>
    </w:r>
  </w:p>
  <w:p w:rsidR="00750C09" w:rsidRDefault="00750C09">
    <w:pPr>
      <w:pStyle w:val="Pidipagina"/>
      <w:rPr>
        <w:i/>
        <w:iCs/>
        <w:sz w:val="16"/>
        <w:szCs w:val="16"/>
      </w:rPr>
    </w:pPr>
    <w:r>
      <w:rPr>
        <w:i/>
        <w:iCs/>
        <w:sz w:val="16"/>
        <w:szCs w:val="16"/>
      </w:rPr>
      <w:t>Ufficio Stampa</w:t>
    </w:r>
  </w:p>
  <w:p w:rsidR="00750C09" w:rsidRDefault="00750C09">
    <w:pPr>
      <w:pStyle w:val="Pidipagina"/>
    </w:pPr>
    <w:r>
      <w:rPr>
        <w:sz w:val="16"/>
        <w:szCs w:val="16"/>
        <w:lang w:val="de-DE"/>
      </w:rPr>
      <w:t>ufficio.stampa@aci.it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00" w:rsidRDefault="00FD0900" w:rsidP="00D35243">
      <w:r>
        <w:separator/>
      </w:r>
    </w:p>
  </w:footnote>
  <w:footnote w:type="continuationSeparator" w:id="0">
    <w:p w:rsidR="00FD0900" w:rsidRDefault="00FD0900" w:rsidP="00D3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09" w:rsidRDefault="00750C09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243"/>
    <w:rsid w:val="000079E0"/>
    <w:rsid w:val="000A263A"/>
    <w:rsid w:val="00123BFE"/>
    <w:rsid w:val="00130531"/>
    <w:rsid w:val="002308A5"/>
    <w:rsid w:val="004F3D98"/>
    <w:rsid w:val="004F6B0C"/>
    <w:rsid w:val="006415DA"/>
    <w:rsid w:val="00665E57"/>
    <w:rsid w:val="006809B1"/>
    <w:rsid w:val="00750C09"/>
    <w:rsid w:val="00861D95"/>
    <w:rsid w:val="009118D4"/>
    <w:rsid w:val="00914AFB"/>
    <w:rsid w:val="009B05F7"/>
    <w:rsid w:val="00AB4532"/>
    <w:rsid w:val="00C53041"/>
    <w:rsid w:val="00C91491"/>
    <w:rsid w:val="00CF3D9D"/>
    <w:rsid w:val="00D16693"/>
    <w:rsid w:val="00D35243"/>
    <w:rsid w:val="00F74FB2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5243"/>
    <w:pPr>
      <w:jc w:val="center"/>
    </w:pPr>
    <w:rPr>
      <w:rFonts w:ascii="Cambria" w:eastAsia="Cambria" w:hAnsi="Cambria" w:cs="Cambria"/>
      <w:b/>
      <w:bCs/>
      <w:color w:val="011892"/>
      <w:sz w:val="18"/>
      <w:szCs w:val="18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5243"/>
    <w:rPr>
      <w:u w:val="single"/>
    </w:rPr>
  </w:style>
  <w:style w:type="table" w:customStyle="1" w:styleId="TableNormal">
    <w:name w:val="Table Normal"/>
    <w:rsid w:val="00D35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352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dipagina">
    <w:name w:val="footer"/>
    <w:rsid w:val="00D35243"/>
    <w:pPr>
      <w:tabs>
        <w:tab w:val="center" w:pos="4819"/>
        <w:tab w:val="right" w:pos="9638"/>
      </w:tabs>
      <w:jc w:val="center"/>
    </w:pPr>
    <w:rPr>
      <w:rFonts w:ascii="Arial" w:hAnsi="Arial" w:cs="Arial Unicode MS"/>
      <w:color w:val="000000"/>
      <w:sz w:val="24"/>
      <w:szCs w:val="24"/>
      <w:u w:color="000000"/>
      <w:shd w:val="nil"/>
    </w:rPr>
  </w:style>
  <w:style w:type="paragraph" w:styleId="Nessunaspaziatura">
    <w:name w:val="No Spacing"/>
    <w:rsid w:val="00D35243"/>
    <w:pPr>
      <w:jc w:val="center"/>
    </w:pPr>
    <w:rPr>
      <w:rFonts w:ascii="Cambria" w:hAnsi="Cambria" w:cs="Arial Unicode MS"/>
      <w:b/>
      <w:bCs/>
      <w:color w:val="011892"/>
      <w:sz w:val="18"/>
      <w:szCs w:val="18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745227</cp:lastModifiedBy>
  <cp:revision>6</cp:revision>
  <dcterms:created xsi:type="dcterms:W3CDTF">2022-12-05T12:25:00Z</dcterms:created>
  <dcterms:modified xsi:type="dcterms:W3CDTF">2022-12-05T15:23:00Z</dcterms:modified>
</cp:coreProperties>
</file>