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7071"/>
      </w:tblGrid>
      <w:tr w:rsidR="00FB7F62" w14:paraId="609D432C" w14:textId="77777777" w:rsidTr="00FB7F62">
        <w:tc>
          <w:tcPr>
            <w:tcW w:w="2139" w:type="dxa"/>
            <w:shd w:val="clear" w:color="auto" w:fill="auto"/>
          </w:tcPr>
          <w:p w14:paraId="04788D7F" w14:textId="6356BB20" w:rsidR="00FB7F62" w:rsidRPr="00E01302" w:rsidRDefault="00FB7F62" w:rsidP="00FB7F62">
            <w:pPr>
              <w:pStyle w:val="ReleaseDat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Pr="00EF1436">
              <w:rPr>
                <w:b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71" w:type="dxa"/>
            <w:shd w:val="clear" w:color="auto" w:fill="auto"/>
          </w:tcPr>
          <w:p w14:paraId="1D2D13E2" w14:textId="77777777" w:rsidR="00FB7F62" w:rsidRPr="00586869" w:rsidRDefault="00FB7F62" w:rsidP="00FB7F62">
            <w:pPr>
              <w:pStyle w:val="ReleaseDate"/>
              <w:spacing w:line="259" w:lineRule="auto"/>
              <w:rPr>
                <w:sz w:val="22"/>
                <w:szCs w:val="22"/>
              </w:rPr>
            </w:pPr>
          </w:p>
          <w:p w14:paraId="1FD8F0DE" w14:textId="64ACA2F7" w:rsidR="00FB7F62" w:rsidRPr="00E01302" w:rsidRDefault="00736F6D" w:rsidP="00FB7F62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6D4A">
              <w:rPr>
                <w:sz w:val="22"/>
                <w:szCs w:val="22"/>
              </w:rPr>
              <w:t>3</w:t>
            </w:r>
            <w:r w:rsidR="00FB7F62">
              <w:rPr>
                <w:sz w:val="22"/>
                <w:szCs w:val="22"/>
              </w:rPr>
              <w:t>.1</w:t>
            </w:r>
            <w:r w:rsidR="00AF5CC2">
              <w:rPr>
                <w:sz w:val="22"/>
                <w:szCs w:val="22"/>
              </w:rPr>
              <w:t>2</w:t>
            </w:r>
            <w:r w:rsidR="00FB7F62">
              <w:rPr>
                <w:sz w:val="22"/>
                <w:szCs w:val="22"/>
              </w:rPr>
              <w:t>.2022</w:t>
            </w:r>
          </w:p>
        </w:tc>
      </w:tr>
    </w:tbl>
    <w:p w14:paraId="04639BF1" w14:textId="7C622EA2" w:rsidR="008535BE" w:rsidRDefault="008535BE" w:rsidP="00083440">
      <w:pPr>
        <w:spacing w:after="0" w:line="276" w:lineRule="auto"/>
        <w:jc w:val="center"/>
        <w:rPr>
          <w:rFonts w:eastAsia="Arial"/>
          <w:b/>
          <w:bCs/>
          <w:sz w:val="28"/>
          <w:szCs w:val="28"/>
          <w:lang w:val="it-IT"/>
        </w:rPr>
      </w:pPr>
    </w:p>
    <w:p w14:paraId="68A4B312" w14:textId="5B391F64" w:rsidR="008535BE" w:rsidRDefault="008535BE" w:rsidP="00083440">
      <w:pPr>
        <w:spacing w:after="0" w:line="276" w:lineRule="auto"/>
        <w:jc w:val="center"/>
        <w:rPr>
          <w:rFonts w:eastAsia="Arial"/>
          <w:b/>
          <w:bCs/>
          <w:sz w:val="28"/>
          <w:szCs w:val="28"/>
          <w:lang w:val="it-IT"/>
        </w:rPr>
      </w:pPr>
      <w:r>
        <w:rPr>
          <w:rFonts w:eastAsia="Arial"/>
          <w:b/>
          <w:bCs/>
          <w:sz w:val="28"/>
          <w:szCs w:val="28"/>
          <w:lang w:val="it-IT"/>
        </w:rPr>
        <w:t>Nuovo studio Eaton: l’Italia migliora sulla transizione energetica, ma gli obiettivi di decarbonizzazione sono ancora lontani</w:t>
      </w:r>
    </w:p>
    <w:p w14:paraId="39761592" w14:textId="02265E81" w:rsidR="00095B53" w:rsidRDefault="00095B53" w:rsidP="00083440">
      <w:pPr>
        <w:spacing w:after="0" w:line="276" w:lineRule="auto"/>
        <w:jc w:val="center"/>
        <w:rPr>
          <w:rFonts w:eastAsia="Arial"/>
          <w:b/>
          <w:bCs/>
          <w:sz w:val="28"/>
          <w:szCs w:val="28"/>
          <w:lang w:val="it-IT"/>
        </w:rPr>
      </w:pPr>
    </w:p>
    <w:p w14:paraId="150433E3" w14:textId="77AB2A5F" w:rsidR="00095B53" w:rsidRDefault="00095B53" w:rsidP="00083440">
      <w:pPr>
        <w:spacing w:after="0" w:line="276" w:lineRule="auto"/>
        <w:jc w:val="center"/>
        <w:rPr>
          <w:rFonts w:eastAsia="Arial"/>
          <w:i/>
          <w:iCs/>
          <w:sz w:val="24"/>
          <w:szCs w:val="24"/>
          <w:lang w:val="it-IT"/>
        </w:rPr>
      </w:pPr>
      <w:r>
        <w:rPr>
          <w:rFonts w:eastAsia="Arial"/>
          <w:i/>
          <w:iCs/>
          <w:sz w:val="24"/>
          <w:szCs w:val="24"/>
          <w:lang w:val="it-IT"/>
        </w:rPr>
        <w:t>P</w:t>
      </w:r>
      <w:r w:rsidRPr="00095B53">
        <w:rPr>
          <w:rFonts w:eastAsia="Arial"/>
          <w:i/>
          <w:iCs/>
          <w:sz w:val="24"/>
          <w:szCs w:val="24"/>
          <w:lang w:val="it-IT"/>
        </w:rPr>
        <w:t>er raggiungere gli obiettivi</w:t>
      </w:r>
      <w:r>
        <w:rPr>
          <w:rFonts w:eastAsia="Arial"/>
          <w:i/>
          <w:iCs/>
          <w:sz w:val="24"/>
          <w:szCs w:val="24"/>
          <w:lang w:val="it-IT"/>
        </w:rPr>
        <w:t xml:space="preserve"> fissati</w:t>
      </w:r>
      <w:r w:rsidRPr="00095B53">
        <w:rPr>
          <w:rFonts w:eastAsia="Arial"/>
          <w:i/>
          <w:iCs/>
          <w:sz w:val="24"/>
          <w:szCs w:val="24"/>
          <w:lang w:val="it-IT"/>
        </w:rPr>
        <w:t xml:space="preserve"> per il 2030, </w:t>
      </w:r>
      <w:r>
        <w:rPr>
          <w:rFonts w:eastAsia="Arial"/>
          <w:i/>
          <w:iCs/>
          <w:sz w:val="24"/>
          <w:szCs w:val="24"/>
          <w:lang w:val="it-IT"/>
        </w:rPr>
        <w:br/>
      </w:r>
      <w:r w:rsidRPr="00095B53">
        <w:rPr>
          <w:rFonts w:eastAsia="Arial"/>
          <w:i/>
          <w:iCs/>
          <w:sz w:val="24"/>
          <w:szCs w:val="24"/>
          <w:lang w:val="it-IT"/>
        </w:rPr>
        <w:t xml:space="preserve">la produzione di energia eolica e solare </w:t>
      </w:r>
      <w:r>
        <w:rPr>
          <w:rFonts w:eastAsia="Arial"/>
          <w:i/>
          <w:iCs/>
          <w:sz w:val="24"/>
          <w:szCs w:val="24"/>
          <w:lang w:val="it-IT"/>
        </w:rPr>
        <w:t xml:space="preserve">nel Paese </w:t>
      </w:r>
      <w:r w:rsidRPr="00095B53">
        <w:rPr>
          <w:rFonts w:eastAsia="Arial"/>
          <w:i/>
          <w:iCs/>
          <w:sz w:val="24"/>
          <w:szCs w:val="24"/>
          <w:lang w:val="it-IT"/>
        </w:rPr>
        <w:t>dovrebbe crescere del 188%</w:t>
      </w:r>
      <w:r w:rsidR="004C0A33">
        <w:rPr>
          <w:rFonts w:eastAsia="Arial"/>
          <w:i/>
          <w:iCs/>
          <w:sz w:val="24"/>
          <w:szCs w:val="24"/>
          <w:lang w:val="it-IT"/>
        </w:rPr>
        <w:t xml:space="preserve">. </w:t>
      </w:r>
    </w:p>
    <w:p w14:paraId="7C8578A4" w14:textId="27722EC8" w:rsidR="004C0A33" w:rsidRDefault="004C0A33" w:rsidP="00083440">
      <w:pPr>
        <w:spacing w:after="0" w:line="276" w:lineRule="auto"/>
        <w:jc w:val="center"/>
        <w:rPr>
          <w:rFonts w:eastAsia="Arial"/>
          <w:i/>
          <w:iCs/>
          <w:sz w:val="24"/>
          <w:szCs w:val="24"/>
          <w:lang w:val="it-IT"/>
        </w:rPr>
      </w:pPr>
    </w:p>
    <w:p w14:paraId="60B9DE60" w14:textId="77777777" w:rsidR="004C0A33" w:rsidRDefault="004C0A33" w:rsidP="00083440">
      <w:pPr>
        <w:spacing w:after="0" w:line="276" w:lineRule="auto"/>
        <w:jc w:val="center"/>
        <w:rPr>
          <w:rFonts w:eastAsia="Arial"/>
          <w:i/>
          <w:iCs/>
          <w:sz w:val="24"/>
          <w:szCs w:val="24"/>
          <w:lang w:val="it-IT"/>
        </w:rPr>
      </w:pPr>
      <w:r>
        <w:rPr>
          <w:rFonts w:eastAsia="Arial"/>
          <w:i/>
          <w:iCs/>
          <w:sz w:val="24"/>
          <w:szCs w:val="24"/>
          <w:lang w:val="it-IT"/>
        </w:rPr>
        <w:t xml:space="preserve">Tra le principali barriere agli investimenti: incertezza regolamentare, </w:t>
      </w:r>
    </w:p>
    <w:p w14:paraId="6279643A" w14:textId="30157C0B" w:rsidR="004C0A33" w:rsidRPr="00095B53" w:rsidRDefault="004C0A33" w:rsidP="004C0A33">
      <w:pPr>
        <w:spacing w:after="0" w:line="276" w:lineRule="auto"/>
        <w:jc w:val="center"/>
        <w:rPr>
          <w:rFonts w:eastAsia="Arial"/>
          <w:i/>
          <w:iCs/>
          <w:sz w:val="24"/>
          <w:szCs w:val="24"/>
          <w:lang w:val="it-IT"/>
        </w:rPr>
      </w:pPr>
      <w:r>
        <w:rPr>
          <w:rFonts w:eastAsia="Arial"/>
          <w:i/>
          <w:iCs/>
          <w:sz w:val="24"/>
          <w:szCs w:val="24"/>
          <w:lang w:val="it-IT"/>
        </w:rPr>
        <w:t xml:space="preserve">scarso sviluppo dell’infrastruttura per i veicoli elettrici e costi aggiuntivi </w:t>
      </w:r>
      <w:r>
        <w:rPr>
          <w:rFonts w:eastAsia="Arial"/>
          <w:i/>
          <w:iCs/>
          <w:sz w:val="24"/>
          <w:szCs w:val="24"/>
          <w:lang w:val="it-IT"/>
        </w:rPr>
        <w:br/>
        <w:t xml:space="preserve">per la conformità tecnica </w:t>
      </w:r>
    </w:p>
    <w:p w14:paraId="685ECB61" w14:textId="77777777" w:rsidR="00AA4EB3" w:rsidRPr="00FB7F62" w:rsidRDefault="00AA4EB3" w:rsidP="00AA4EB3">
      <w:pPr>
        <w:spacing w:after="0" w:line="276" w:lineRule="auto"/>
        <w:jc w:val="both"/>
        <w:rPr>
          <w:b/>
          <w:bCs/>
          <w:sz w:val="22"/>
          <w:szCs w:val="22"/>
          <w:lang w:val="it-IT"/>
        </w:rPr>
      </w:pPr>
    </w:p>
    <w:p w14:paraId="17AD2F1E" w14:textId="77777777" w:rsidR="00921E3C" w:rsidRPr="00FB7F62" w:rsidRDefault="00921E3C" w:rsidP="00AA4EB3">
      <w:pPr>
        <w:spacing w:after="0" w:line="276" w:lineRule="auto"/>
        <w:jc w:val="both"/>
        <w:rPr>
          <w:b/>
          <w:bCs/>
          <w:sz w:val="22"/>
          <w:szCs w:val="22"/>
          <w:lang w:val="it-IT"/>
        </w:rPr>
      </w:pPr>
    </w:p>
    <w:p w14:paraId="6B49DD2E" w14:textId="389C4924" w:rsidR="00F81B5B" w:rsidRDefault="00017459" w:rsidP="00F81B5B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rFonts w:eastAsia="Arial"/>
          <w:b/>
          <w:bCs/>
          <w:sz w:val="22"/>
          <w:szCs w:val="22"/>
          <w:lang w:val="it-IT"/>
        </w:rPr>
        <w:t>Segrate</w:t>
      </w:r>
      <w:r w:rsidR="00CF2843">
        <w:rPr>
          <w:rFonts w:eastAsia="Arial"/>
          <w:b/>
          <w:bCs/>
          <w:sz w:val="22"/>
          <w:szCs w:val="22"/>
          <w:lang w:val="it-IT"/>
        </w:rPr>
        <w:t>...</w:t>
      </w:r>
      <w:r w:rsidR="00CF2843">
        <w:rPr>
          <w:rFonts w:eastAsia="Arial"/>
          <w:sz w:val="22"/>
          <w:szCs w:val="22"/>
          <w:lang w:val="it-IT"/>
        </w:rPr>
        <w:t xml:space="preserve"> </w:t>
      </w:r>
      <w:r w:rsidR="00B65BE9" w:rsidRPr="00770D0A">
        <w:rPr>
          <w:rFonts w:eastAsia="Arial"/>
          <w:b/>
          <w:bCs/>
          <w:sz w:val="22"/>
          <w:szCs w:val="22"/>
          <w:lang w:val="it-IT"/>
        </w:rPr>
        <w:t xml:space="preserve">L’Italia ha compiuto passi in avanti in termini </w:t>
      </w:r>
      <w:r w:rsidR="00770D0A" w:rsidRPr="00770D0A">
        <w:rPr>
          <w:rFonts w:eastAsia="Arial"/>
          <w:b/>
          <w:bCs/>
          <w:sz w:val="22"/>
          <w:szCs w:val="22"/>
          <w:lang w:val="it-IT"/>
        </w:rPr>
        <w:t xml:space="preserve">di transizione energetica rispetto al 2021, ma </w:t>
      </w:r>
      <w:r w:rsidR="00B85B20" w:rsidRPr="008535BE">
        <w:rPr>
          <w:rFonts w:eastAsia="Arial"/>
          <w:b/>
          <w:bCs/>
          <w:sz w:val="22"/>
          <w:szCs w:val="22"/>
          <w:lang w:val="it-IT"/>
        </w:rPr>
        <w:t>gli obiettivi sono ancora lontani</w:t>
      </w:r>
      <w:r w:rsidR="00770D0A">
        <w:rPr>
          <w:rFonts w:eastAsia="Arial"/>
          <w:sz w:val="22"/>
          <w:szCs w:val="22"/>
          <w:lang w:val="it-IT"/>
        </w:rPr>
        <w:t>. È quanto emerge dall’edizione 2022 dell’</w:t>
      </w:r>
      <w:r w:rsidR="00770D0A" w:rsidRPr="00DE616C">
        <w:rPr>
          <w:rFonts w:eastAsia="Arial"/>
          <w:b/>
          <w:bCs/>
          <w:sz w:val="22"/>
          <w:szCs w:val="22"/>
          <w:lang w:val="it-IT"/>
        </w:rPr>
        <w:t xml:space="preserve">Energy </w:t>
      </w:r>
      <w:proofErr w:type="spellStart"/>
      <w:r w:rsidR="00770D0A" w:rsidRPr="00DE616C">
        <w:rPr>
          <w:rFonts w:eastAsia="Arial"/>
          <w:b/>
          <w:bCs/>
          <w:sz w:val="22"/>
          <w:szCs w:val="22"/>
          <w:lang w:val="it-IT"/>
        </w:rPr>
        <w:t>Transition</w:t>
      </w:r>
      <w:proofErr w:type="spellEnd"/>
      <w:r w:rsidR="00770D0A" w:rsidRPr="00DE616C">
        <w:rPr>
          <w:rFonts w:eastAsia="Arial"/>
          <w:b/>
          <w:bCs/>
          <w:sz w:val="22"/>
          <w:szCs w:val="22"/>
          <w:lang w:val="it-IT"/>
        </w:rPr>
        <w:t xml:space="preserve"> Readiness Index</w:t>
      </w:r>
      <w:r w:rsidR="00770D0A">
        <w:rPr>
          <w:rFonts w:eastAsia="Arial"/>
          <w:b/>
          <w:bCs/>
          <w:sz w:val="22"/>
          <w:szCs w:val="22"/>
          <w:lang w:val="it-IT"/>
        </w:rPr>
        <w:t xml:space="preserve"> (ETRI 2022)</w:t>
      </w:r>
      <w:r w:rsidR="00770D0A">
        <w:rPr>
          <w:rFonts w:eastAsia="Arial"/>
          <w:sz w:val="22"/>
          <w:szCs w:val="22"/>
          <w:lang w:val="it-IT"/>
        </w:rPr>
        <w:t xml:space="preserve">, lo studio – </w:t>
      </w:r>
      <w:r w:rsidR="00770D0A" w:rsidRPr="00346D4A">
        <w:rPr>
          <w:color w:val="000000" w:themeColor="text1"/>
          <w:spacing w:val="2"/>
          <w:sz w:val="22"/>
          <w:szCs w:val="22"/>
          <w:lang w:val="it-IT"/>
        </w:rPr>
        <w:t xml:space="preserve">realizzato da REA (Association for </w:t>
      </w:r>
      <w:proofErr w:type="spellStart"/>
      <w:r w:rsidR="00770D0A" w:rsidRPr="00346D4A">
        <w:rPr>
          <w:color w:val="000000" w:themeColor="text1"/>
          <w:spacing w:val="2"/>
          <w:sz w:val="22"/>
          <w:szCs w:val="22"/>
          <w:lang w:val="it-IT"/>
        </w:rPr>
        <w:t>Renewable</w:t>
      </w:r>
      <w:proofErr w:type="spellEnd"/>
      <w:r w:rsidR="00770D0A" w:rsidRPr="00346D4A">
        <w:rPr>
          <w:color w:val="000000" w:themeColor="text1"/>
          <w:spacing w:val="2"/>
          <w:sz w:val="22"/>
          <w:szCs w:val="22"/>
          <w:lang w:val="it-IT"/>
        </w:rPr>
        <w:t xml:space="preserve"> Energy and </w:t>
      </w:r>
      <w:proofErr w:type="spellStart"/>
      <w:r w:rsidR="00770D0A" w:rsidRPr="00346D4A">
        <w:rPr>
          <w:color w:val="000000" w:themeColor="text1"/>
          <w:spacing w:val="2"/>
          <w:sz w:val="22"/>
          <w:szCs w:val="22"/>
          <w:lang w:val="it-IT"/>
        </w:rPr>
        <w:t>Clean</w:t>
      </w:r>
      <w:proofErr w:type="spellEnd"/>
      <w:r w:rsidR="00770D0A" w:rsidRPr="00346D4A">
        <w:rPr>
          <w:color w:val="000000" w:themeColor="text1"/>
          <w:spacing w:val="2"/>
          <w:sz w:val="22"/>
          <w:szCs w:val="22"/>
          <w:lang w:val="it-IT"/>
        </w:rPr>
        <w:t xml:space="preserve"> Technology) e </w:t>
      </w:r>
      <w:r w:rsidR="00B85B20" w:rsidRPr="00346D4A">
        <w:rPr>
          <w:color w:val="000000" w:themeColor="text1"/>
          <w:spacing w:val="2"/>
          <w:sz w:val="22"/>
          <w:szCs w:val="22"/>
          <w:lang w:val="it-IT"/>
        </w:rPr>
        <w:t>supportato</w:t>
      </w:r>
      <w:r w:rsidR="00770D0A" w:rsidRPr="00346D4A">
        <w:rPr>
          <w:color w:val="000000" w:themeColor="text1"/>
          <w:spacing w:val="2"/>
          <w:sz w:val="22"/>
          <w:szCs w:val="22"/>
          <w:lang w:val="it-IT"/>
        </w:rPr>
        <w:t xml:space="preserve"> da </w:t>
      </w:r>
      <w:hyperlink r:id="rId11" w:history="1">
        <w:r w:rsidR="00770D0A" w:rsidRPr="00346D4A">
          <w:rPr>
            <w:rStyle w:val="Collegamentoipertestuale"/>
            <w:rFonts w:eastAsia="Arial"/>
            <w:sz w:val="22"/>
            <w:szCs w:val="22"/>
            <w:lang w:val="it-IT"/>
          </w:rPr>
          <w:t>Eaton</w:t>
        </w:r>
      </w:hyperlink>
      <w:r w:rsidR="00770D0A" w:rsidRPr="00346D4A">
        <w:rPr>
          <w:rFonts w:eastAsia="Arial"/>
          <w:sz w:val="22"/>
          <w:szCs w:val="22"/>
          <w:lang w:val="it-IT"/>
        </w:rPr>
        <w:t>, leader a livello globale nella gestione dell’energia – che</w:t>
      </w:r>
      <w:r w:rsidR="00095B53" w:rsidRPr="00346D4A">
        <w:rPr>
          <w:rFonts w:eastAsia="Arial"/>
          <w:sz w:val="22"/>
          <w:szCs w:val="22"/>
          <w:lang w:val="it-IT"/>
        </w:rPr>
        <w:t xml:space="preserve"> ha</w:t>
      </w:r>
      <w:r w:rsidR="00770D0A" w:rsidRPr="00346D4A">
        <w:rPr>
          <w:rFonts w:eastAsia="Arial"/>
          <w:sz w:val="22"/>
          <w:szCs w:val="22"/>
          <w:lang w:val="it-IT"/>
        </w:rPr>
        <w:t xml:space="preserve"> </w:t>
      </w:r>
      <w:r w:rsidR="00DE616C" w:rsidRPr="00346D4A">
        <w:rPr>
          <w:rFonts w:eastAsia="Arial"/>
          <w:sz w:val="22"/>
          <w:szCs w:val="22"/>
          <w:lang w:val="it-IT"/>
        </w:rPr>
        <w:t>analizza</w:t>
      </w:r>
      <w:r w:rsidR="00095B53" w:rsidRPr="00346D4A">
        <w:rPr>
          <w:rFonts w:eastAsia="Arial"/>
          <w:sz w:val="22"/>
          <w:szCs w:val="22"/>
          <w:lang w:val="it-IT"/>
        </w:rPr>
        <w:t>to</w:t>
      </w:r>
      <w:r w:rsidR="00DE616C" w:rsidRPr="00346D4A">
        <w:rPr>
          <w:rFonts w:eastAsia="Arial"/>
          <w:sz w:val="22"/>
          <w:szCs w:val="22"/>
          <w:lang w:val="it-IT"/>
        </w:rPr>
        <w:t xml:space="preserve"> i mercati energetici dei 13 principali Paesi europei, tra cui l’Italia, </w:t>
      </w:r>
      <w:r w:rsidR="00DE616C" w:rsidRPr="00346D4A">
        <w:rPr>
          <w:color w:val="000000" w:themeColor="text1"/>
          <w:spacing w:val="2"/>
          <w:sz w:val="22"/>
          <w:szCs w:val="22"/>
          <w:lang w:val="it-IT"/>
        </w:rPr>
        <w:t>e n</w:t>
      </w:r>
      <w:r w:rsidR="00095B53" w:rsidRPr="00346D4A">
        <w:rPr>
          <w:color w:val="000000" w:themeColor="text1"/>
          <w:spacing w:val="2"/>
          <w:sz w:val="22"/>
          <w:szCs w:val="22"/>
          <w:lang w:val="it-IT"/>
        </w:rPr>
        <w:t xml:space="preserve">e ha </w:t>
      </w:r>
      <w:r w:rsidR="00DE616C" w:rsidRPr="00346D4A">
        <w:rPr>
          <w:color w:val="000000" w:themeColor="text1"/>
          <w:spacing w:val="2"/>
          <w:sz w:val="22"/>
          <w:szCs w:val="22"/>
          <w:lang w:val="it-IT"/>
        </w:rPr>
        <w:t>valuta</w:t>
      </w:r>
      <w:r w:rsidR="00095B53" w:rsidRPr="00346D4A">
        <w:rPr>
          <w:color w:val="000000" w:themeColor="text1"/>
          <w:spacing w:val="2"/>
          <w:sz w:val="22"/>
          <w:szCs w:val="22"/>
          <w:lang w:val="it-IT"/>
        </w:rPr>
        <w:t>to</w:t>
      </w:r>
      <w:r w:rsidR="00DE616C" w:rsidRPr="00346D4A">
        <w:rPr>
          <w:color w:val="000000" w:themeColor="text1"/>
          <w:spacing w:val="2"/>
          <w:sz w:val="22"/>
          <w:szCs w:val="22"/>
          <w:lang w:val="it-IT"/>
        </w:rPr>
        <w:t xml:space="preserve"> il livello di preparazione rispetto</w:t>
      </w:r>
      <w:r w:rsidR="00DE616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all’adozione di energie rinnovabili, ponendoli a confronto con gli obiettivi di </w:t>
      </w:r>
      <w:r w:rsidR="00B65BE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decarbonizzazione</w:t>
      </w:r>
      <w:r w:rsidR="00DE616C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fissati per il 2030. </w:t>
      </w:r>
    </w:p>
    <w:p w14:paraId="3B7DFAD2" w14:textId="77777777" w:rsidR="00F81B5B" w:rsidRDefault="00F81B5B" w:rsidP="00F81B5B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57FC6D16" w14:textId="5F52B6D6" w:rsidR="00F81B5B" w:rsidRDefault="00DE616C" w:rsidP="00F81B5B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Il report</w:t>
      </w:r>
      <w:r w:rsidR="00B65BE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ha preso in esame </w:t>
      </w:r>
      <w:r w:rsidR="002F390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divers</w:t>
      </w:r>
      <w:r w:rsidR="006B4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 componenti</w:t>
      </w:r>
      <w:r w:rsidR="002F390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tra cui </w:t>
      </w:r>
      <w:r w:rsidR="00F81B5B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accessibilità dei mercati, </w:t>
      </w:r>
      <w:r w:rsidR="006B4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aspetti</w:t>
      </w:r>
      <w:r w:rsidR="00F81B5B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socio-politic</w:t>
      </w:r>
      <w:r w:rsidR="006B4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</w:t>
      </w:r>
      <w:r w:rsidR="00F81B5B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 potenziale tecnologico dei diversi </w:t>
      </w:r>
      <w:r w:rsidR="00FE000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Paesi europei</w:t>
      </w:r>
      <w:r w:rsidR="00F81B5B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coinvolti dalla ricerca</w:t>
      </w:r>
      <w:r w:rsidR="00FE000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 evidenziando la</w:t>
      </w:r>
      <w:r w:rsidR="006B4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generale</w:t>
      </w:r>
      <w:r w:rsidR="00FE000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necessità di: </w:t>
      </w:r>
    </w:p>
    <w:p w14:paraId="0190F2C6" w14:textId="03F65223" w:rsidR="00FE0006" w:rsidRDefault="00FE0006" w:rsidP="00FE0006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Quantificare e pianificare accuratamente le future esigenze in termini di flessibilità </w:t>
      </w:r>
      <w:r w:rsidR="006B4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della rete</w:t>
      </w:r>
    </w:p>
    <w:p w14:paraId="6A5DC24E" w14:textId="1BB9C8EE" w:rsidR="00FE0006" w:rsidRDefault="00FE0006" w:rsidP="00FE0006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Accelerare le riforme del mercato </w:t>
      </w:r>
      <w:r w:rsidR="006B4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del</w:t>
      </w:r>
      <w:r w:rsidR="002F390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la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flessibilità</w:t>
      </w:r>
      <w:r w:rsidR="002F390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</w:p>
    <w:p w14:paraId="1871DCDC" w14:textId="3D806994" w:rsidR="00FE0006" w:rsidRPr="00FE0006" w:rsidRDefault="00FE0006" w:rsidP="00FE0006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Dare priorità alla risoluzione delle attuali barriere all’investimento </w:t>
      </w:r>
    </w:p>
    <w:p w14:paraId="4BB9B13F" w14:textId="77777777" w:rsidR="00F81B5B" w:rsidRDefault="00F81B5B" w:rsidP="00F81B5B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66B78A91" w14:textId="65A3A023" w:rsidR="0044115E" w:rsidRDefault="00FE0006" w:rsidP="00FE0006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In particolare, il ranking mostra che </w:t>
      </w:r>
      <w:r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l’Italia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(ultima nel 2021 insieme alla Spagna) </w:t>
      </w:r>
      <w:r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è </w:t>
      </w:r>
      <w:r w:rsidR="001A1537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migliorata</w:t>
      </w:r>
      <w:r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2F3900"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dal punto di vista della </w:t>
      </w:r>
      <w:r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preparazione generale alla transizione</w:t>
      </w:r>
      <w:r w:rsidR="002F3900"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energetica, </w:t>
      </w:r>
      <w:r w:rsidR="006B44F1"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restando tuttavia ancora tra i Paesi meno pronti ad abbracciare il cambiamento</w:t>
      </w:r>
      <w:r w:rsidR="0044115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(tra cui Spagna, Germania e Regno Unito</w:t>
      </w:r>
      <w:r w:rsidR="001A1537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)</w:t>
      </w:r>
      <w:r w:rsidR="006B44F1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.</w:t>
      </w:r>
    </w:p>
    <w:p w14:paraId="651BA174" w14:textId="77777777" w:rsidR="003D7566" w:rsidRDefault="001A1537" w:rsidP="00FE0006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lastRenderedPageBreak/>
        <w:t>La strada da percorrere è ancora lunga: il report stima infatti che</w:t>
      </w:r>
      <w:r w:rsidR="003D756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,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3D7566" w:rsidRPr="004C0A33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per raggiungere gli obiettivi per il 2030, </w:t>
      </w:r>
      <w:r w:rsidRPr="004C0A33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la produzione di energia eolica e solare per l’Italia dovrebbe crescere del 188%</w:t>
      </w:r>
      <w:r w:rsidR="003D7566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. </w:t>
      </w:r>
    </w:p>
    <w:p w14:paraId="5D49DB24" w14:textId="77777777" w:rsidR="003D7566" w:rsidRDefault="003D7566" w:rsidP="00FE0006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3451CE5C" w14:textId="4A0C60A3" w:rsidR="00302AF9" w:rsidRDefault="0044115E" w:rsidP="00FE0006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Negli ultimi 12 mesi </w:t>
      </w:r>
      <w:r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il Belpaese si è distinto dal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Pr="002B390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punto di vista socio-politico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, raggiungendo Francia e Paesi Nordici e dimostrando consapevolezza, nonché importanti ambizioni </w:t>
      </w:r>
      <w:r w:rsidR="004C0A33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in merito alla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transizione energetica</w:t>
      </w:r>
      <w:r w:rsidR="002B3902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. Inoltre, </w:t>
      </w:r>
      <w:r w:rsidR="002B3902" w:rsidRPr="00EA5B69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sono stati compiuti importanti passi avanti in termini di accessibilità del mercato</w:t>
      </w:r>
      <w:r w:rsidR="002B3902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: se nel 2021 l’Italia era fanalino di coda d’Europa</w:t>
      </w:r>
      <w:r w:rsidR="00267D10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sul gradino più basso del ranking, quest’anno si è registrato un netto miglioramento che vede l’Italia allo stesso livello di Francia, Spagna, Regno Unito e Svizzera. </w:t>
      </w:r>
    </w:p>
    <w:p w14:paraId="7D809092" w14:textId="77777777" w:rsidR="001A1537" w:rsidRDefault="001A1537" w:rsidP="00FE0006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08D6C2F6" w14:textId="04A290B0" w:rsidR="00302AF9" w:rsidRDefault="00267D10" w:rsidP="00FE0006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L’obiettivo è ancora lontano, </w:t>
      </w:r>
      <w:r w:rsidR="008A78A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ma</w:t>
      </w:r>
      <w:r w:rsidR="00302AF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il Paese mostra un discreto livello di attrattività dal punto di vista degli investimenti (al pari della Francia</w:t>
      </w:r>
      <w:r w:rsidR="00302AF9" w:rsidRPr="00302AF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) che potrebbe contribuire a colmare il gap.</w:t>
      </w:r>
      <w:r w:rsidR="00302AF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8A78A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Tuttavia, s</w:t>
      </w:r>
      <w:r w:rsidR="00302AF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e l’attuale crisi energetica ha co</w:t>
      </w:r>
      <w:r w:rsidR="008A78A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ntribuito ad accelerare l’interesse e il supporto pubblico alla transizione, emerge ancora una certa incertezza a livello regolamentare che sul lungo periodo potrebbe inibire l’entrata sul mercato di nuovi attori. </w:t>
      </w:r>
    </w:p>
    <w:p w14:paraId="4CDAC5B2" w14:textId="7FDF10C2" w:rsidR="00267D10" w:rsidRDefault="00267D10" w:rsidP="00FE0006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2B92CD2D" w14:textId="4542C4A8" w:rsidR="00267D10" w:rsidRDefault="00267D10" w:rsidP="00FE0006">
      <w:pPr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 w:rsidRPr="00EA5B69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Stabile </w:t>
      </w:r>
      <w:r w:rsidRPr="00EA5B6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invece</w:t>
      </w:r>
      <w:r w:rsidRPr="00EA5B69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la situazione del Paese dal punto di vista dell’innovazione tecnologica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(ovvero accessibilità della rete, infrastruttura</w:t>
      </w:r>
      <w:r w:rsidR="00302AF9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di ricarica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per i veicoli elettrici, adozione del digitale), che vede ancora ampi margini di miglioramento. </w:t>
      </w:r>
      <w:r w:rsidR="008A78A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In particolare, tra le aree di preoccupazione il report evidenzia i potenziali problemi in termini di esigenze future della rete, gli incentivi limitati per i veicoli elettrici e la tecnologia </w:t>
      </w:r>
      <w:proofErr w:type="spellStart"/>
      <w:r w:rsidR="008A78A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Vehicle</w:t>
      </w:r>
      <w:proofErr w:type="spellEnd"/>
      <w:r w:rsidR="008A78A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-to-</w:t>
      </w:r>
      <w:proofErr w:type="spellStart"/>
      <w:r w:rsidR="008A78A4" w:rsidRPr="00306ABF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Grid</w:t>
      </w:r>
      <w:proofErr w:type="spellEnd"/>
      <w:r w:rsidR="008A78A4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(V2G) non ancora disponibile, oltre a possibili costi aggiuntivi per rispettare la conform</w:t>
      </w:r>
      <w:r w:rsidR="004C0A33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ità normativa. </w:t>
      </w:r>
    </w:p>
    <w:p w14:paraId="00047572" w14:textId="77777777" w:rsidR="00B600C2" w:rsidRPr="00B600C2" w:rsidRDefault="00B600C2" w:rsidP="00F81B5B">
      <w:pPr>
        <w:spacing w:after="0" w:line="360" w:lineRule="auto"/>
        <w:jc w:val="both"/>
        <w:rPr>
          <w:rFonts w:eastAsia="Arial"/>
          <w:sz w:val="22"/>
          <w:szCs w:val="22"/>
        </w:rPr>
      </w:pPr>
    </w:p>
    <w:p w14:paraId="440E032A" w14:textId="5F355B29" w:rsidR="00B600C2" w:rsidRDefault="00077A3F" w:rsidP="003F5D08">
      <w:pPr>
        <w:spacing w:after="0" w:line="360" w:lineRule="auto"/>
        <w:jc w:val="both"/>
        <w:rPr>
          <w:rFonts w:eastAsia="Arial"/>
          <w:b/>
          <w:bCs/>
          <w:sz w:val="22"/>
          <w:szCs w:val="22"/>
          <w:lang w:val="it-IT"/>
        </w:rPr>
      </w:pPr>
      <w:r>
        <w:rPr>
          <w:rFonts w:eastAsia="Arial"/>
          <w:i/>
          <w:iCs/>
          <w:sz w:val="22"/>
          <w:szCs w:val="22"/>
          <w:lang w:val="it-IT"/>
        </w:rPr>
        <w:t xml:space="preserve">“Lo studio evidenzia che, nonostante gli importanti progressi compiuti da Paesi come la Finlandia, le accorate intenzioni espresse da molti Governi europei in termini di transizione energetica non sono poi </w:t>
      </w:r>
      <w:r w:rsidR="005D0A02">
        <w:rPr>
          <w:rFonts w:eastAsia="Arial"/>
          <w:i/>
          <w:iCs/>
          <w:sz w:val="22"/>
          <w:szCs w:val="22"/>
          <w:lang w:val="it-IT"/>
        </w:rPr>
        <w:t xml:space="preserve">state </w:t>
      </w:r>
      <w:r>
        <w:rPr>
          <w:rFonts w:eastAsia="Arial"/>
          <w:i/>
          <w:iCs/>
          <w:sz w:val="22"/>
          <w:szCs w:val="22"/>
          <w:lang w:val="it-IT"/>
        </w:rPr>
        <w:t xml:space="preserve">seguite da </w:t>
      </w:r>
      <w:r w:rsidR="005D0A02">
        <w:rPr>
          <w:rFonts w:eastAsia="Arial"/>
          <w:i/>
          <w:iCs/>
          <w:sz w:val="22"/>
          <w:szCs w:val="22"/>
          <w:lang w:val="it-IT"/>
        </w:rPr>
        <w:t>azioni</w:t>
      </w:r>
      <w:r>
        <w:rPr>
          <w:rFonts w:eastAsia="Arial"/>
          <w:i/>
          <w:iCs/>
          <w:sz w:val="22"/>
          <w:szCs w:val="22"/>
          <w:lang w:val="it-IT"/>
        </w:rPr>
        <w:t xml:space="preserve"> concrete. Ora </w:t>
      </w:r>
      <w:r w:rsidR="005D0A02">
        <w:rPr>
          <w:rFonts w:eastAsia="Arial"/>
          <w:i/>
          <w:iCs/>
          <w:sz w:val="22"/>
          <w:szCs w:val="22"/>
          <w:lang w:val="it-IT"/>
        </w:rPr>
        <w:t>è necessario mettere in atto iniziative volte a rimuovere le barriere che ancora ostacolano il settore</w:t>
      </w:r>
      <w:r w:rsidR="003F5D08">
        <w:rPr>
          <w:rFonts w:eastAsia="Arial"/>
          <w:i/>
          <w:iCs/>
          <w:sz w:val="22"/>
          <w:szCs w:val="22"/>
          <w:lang w:val="it-IT"/>
        </w:rPr>
        <w:t xml:space="preserve"> e necessarie per intraprendere la strada giusta</w:t>
      </w:r>
      <w:r w:rsidR="005D0A02">
        <w:rPr>
          <w:rFonts w:eastAsia="Arial"/>
          <w:i/>
          <w:iCs/>
          <w:sz w:val="22"/>
          <w:szCs w:val="22"/>
          <w:lang w:val="it-IT"/>
        </w:rPr>
        <w:t xml:space="preserve">: pianificazione a lungo termine adeguata, per dare priorità e accelerare le riforme di mercato, risolvendo le attuali barriere all’investimento. </w:t>
      </w:r>
      <w:r w:rsidR="003F5D08">
        <w:rPr>
          <w:rFonts w:eastAsia="Arial"/>
          <w:i/>
          <w:iCs/>
          <w:sz w:val="22"/>
          <w:szCs w:val="22"/>
          <w:lang w:val="it-IT"/>
        </w:rPr>
        <w:t xml:space="preserve">Non sottostimiamo le sfide che abbiamo di fronte, ma il costo di avere nazioni che si preparano alla transizione energetica troppo lentamente è semplicemente troppo alto. </w:t>
      </w:r>
      <w:r w:rsidR="003F5D08" w:rsidRPr="003F5D08">
        <w:rPr>
          <w:rFonts w:eastAsia="Arial"/>
          <w:i/>
          <w:iCs/>
          <w:sz w:val="22"/>
          <w:szCs w:val="22"/>
          <w:lang w:val="it-IT"/>
        </w:rPr>
        <w:t xml:space="preserve">Siamo nel mezzo di una profonda crisi energetica, ma i Governi si troveranno a dover affrontare problemi ancora più grandi in futuro se non agiscono adesso”, </w:t>
      </w:r>
      <w:r w:rsidR="003F5D08" w:rsidRPr="003F5D08">
        <w:rPr>
          <w:rFonts w:eastAsia="Arial"/>
          <w:sz w:val="22"/>
          <w:szCs w:val="22"/>
          <w:lang w:val="it-IT"/>
        </w:rPr>
        <w:t xml:space="preserve">spiega </w:t>
      </w:r>
      <w:r w:rsidR="003F5D08" w:rsidRPr="003F5D08">
        <w:rPr>
          <w:rFonts w:eastAsia="Arial"/>
          <w:b/>
          <w:bCs/>
          <w:sz w:val="22"/>
          <w:szCs w:val="22"/>
          <w:lang w:val="it-IT"/>
        </w:rPr>
        <w:t xml:space="preserve">la Dottoressa </w:t>
      </w:r>
      <w:r w:rsidRPr="003F5D08">
        <w:rPr>
          <w:rFonts w:eastAsia="Arial"/>
          <w:b/>
          <w:bCs/>
          <w:sz w:val="22"/>
          <w:szCs w:val="22"/>
          <w:lang w:val="it-IT"/>
        </w:rPr>
        <w:t xml:space="preserve">Nina </w:t>
      </w:r>
      <w:proofErr w:type="spellStart"/>
      <w:r w:rsidRPr="003F5D08">
        <w:rPr>
          <w:rFonts w:eastAsia="Arial"/>
          <w:b/>
          <w:bCs/>
          <w:sz w:val="22"/>
          <w:szCs w:val="22"/>
          <w:lang w:val="it-IT"/>
        </w:rPr>
        <w:t>Skorupska</w:t>
      </w:r>
      <w:proofErr w:type="spellEnd"/>
      <w:r w:rsidRPr="003F5D08">
        <w:rPr>
          <w:rFonts w:eastAsia="Arial"/>
          <w:b/>
          <w:bCs/>
          <w:sz w:val="22"/>
          <w:szCs w:val="22"/>
          <w:lang w:val="it-IT"/>
        </w:rPr>
        <w:t xml:space="preserve"> CBE, CEO </w:t>
      </w:r>
      <w:r w:rsidR="003F5D08">
        <w:rPr>
          <w:rFonts w:eastAsia="Arial"/>
          <w:b/>
          <w:bCs/>
          <w:sz w:val="22"/>
          <w:szCs w:val="22"/>
          <w:lang w:val="it-IT"/>
        </w:rPr>
        <w:t>dell’</w:t>
      </w:r>
      <w:r w:rsidRPr="003F5D08">
        <w:rPr>
          <w:rFonts w:eastAsia="Arial"/>
          <w:b/>
          <w:bCs/>
          <w:sz w:val="22"/>
          <w:szCs w:val="22"/>
          <w:lang w:val="it-IT"/>
        </w:rPr>
        <w:t xml:space="preserve">Association for </w:t>
      </w:r>
      <w:proofErr w:type="spellStart"/>
      <w:r w:rsidRPr="003F5D08">
        <w:rPr>
          <w:rFonts w:eastAsia="Arial"/>
          <w:b/>
          <w:bCs/>
          <w:sz w:val="22"/>
          <w:szCs w:val="22"/>
          <w:lang w:val="it-IT"/>
        </w:rPr>
        <w:t>Renewable</w:t>
      </w:r>
      <w:proofErr w:type="spellEnd"/>
      <w:r w:rsidRPr="003F5D08">
        <w:rPr>
          <w:rFonts w:eastAsia="Arial"/>
          <w:b/>
          <w:bCs/>
          <w:sz w:val="22"/>
          <w:szCs w:val="22"/>
          <w:lang w:val="it-IT"/>
        </w:rPr>
        <w:t xml:space="preserve"> Energy and </w:t>
      </w:r>
      <w:proofErr w:type="spellStart"/>
      <w:r w:rsidRPr="003F5D08">
        <w:rPr>
          <w:rFonts w:eastAsia="Arial"/>
          <w:b/>
          <w:bCs/>
          <w:sz w:val="22"/>
          <w:szCs w:val="22"/>
          <w:lang w:val="it-IT"/>
        </w:rPr>
        <w:t>Clean</w:t>
      </w:r>
      <w:proofErr w:type="spellEnd"/>
      <w:r w:rsidRPr="003F5D08">
        <w:rPr>
          <w:rFonts w:eastAsia="Arial"/>
          <w:b/>
          <w:bCs/>
          <w:sz w:val="22"/>
          <w:szCs w:val="22"/>
          <w:lang w:val="it-IT"/>
        </w:rPr>
        <w:t xml:space="preserve"> Technology (REA</w:t>
      </w:r>
      <w:r w:rsidR="003F5D08" w:rsidRPr="003F5D08">
        <w:rPr>
          <w:rFonts w:eastAsia="Arial"/>
          <w:b/>
          <w:bCs/>
          <w:sz w:val="22"/>
          <w:szCs w:val="22"/>
          <w:lang w:val="it-IT"/>
        </w:rPr>
        <w:t xml:space="preserve">). </w:t>
      </w:r>
    </w:p>
    <w:p w14:paraId="72E3B302" w14:textId="77777777" w:rsidR="00F81B5B" w:rsidRDefault="00F81B5B" w:rsidP="003F5D08">
      <w:pPr>
        <w:spacing w:after="0" w:line="360" w:lineRule="auto"/>
        <w:jc w:val="both"/>
        <w:rPr>
          <w:rFonts w:eastAsia="Arial"/>
          <w:b/>
          <w:bCs/>
          <w:sz w:val="22"/>
          <w:szCs w:val="22"/>
          <w:lang w:val="it-IT"/>
        </w:rPr>
      </w:pPr>
    </w:p>
    <w:p w14:paraId="561C883E" w14:textId="77777777" w:rsidR="008F1292" w:rsidRDefault="00B600C2" w:rsidP="008F1292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eastAsia="Arial"/>
          <w:i/>
          <w:iCs/>
          <w:sz w:val="22"/>
          <w:szCs w:val="22"/>
          <w:lang w:val="it-IT"/>
        </w:rPr>
        <w:lastRenderedPageBreak/>
        <w:t xml:space="preserve">“Come leader nella gestione dell’energia a livello globale, vediamo che le aziende in tutto il mondo stanno accelerando il passo verso il Net Zero: la crisi energetica le sta spingendo a prendere in considerazione tecnologie come la generazione di energia rinnovabile e i sistemi di accumulo, nonché i benefici portati dalla flessibilità offerta dall’infrastruttura di ricarica dei veicoli elettrici. </w:t>
      </w:r>
      <w:r w:rsidR="00C162D7">
        <w:rPr>
          <w:rFonts w:eastAsia="Arial"/>
          <w:i/>
          <w:iCs/>
          <w:sz w:val="22"/>
          <w:szCs w:val="22"/>
          <w:lang w:val="it-IT"/>
        </w:rPr>
        <w:t>In Italia, nel 2021 la produzione di energie rinnovabili ha coperto il 36% del fabbisogno energetico totale del Paese, ma l’obiettivo è di raggiungere il 55% entro il 2030: il percorso è ancora lungo, ma il miglioramento rispetto al 2021 rilevato dallo studio ETRI è indice del fatto che si sta guardando nella giusta direzione</w:t>
      </w:r>
      <w:r w:rsidR="008535BE">
        <w:rPr>
          <w:rFonts w:eastAsia="Arial"/>
          <w:i/>
          <w:iCs/>
          <w:sz w:val="22"/>
          <w:szCs w:val="22"/>
          <w:lang w:val="it-IT"/>
        </w:rPr>
        <w:t xml:space="preserve">”, </w:t>
      </w:r>
      <w:r w:rsidR="00C162D7">
        <w:rPr>
          <w:rFonts w:eastAsia="Arial"/>
          <w:sz w:val="22"/>
          <w:szCs w:val="22"/>
          <w:lang w:val="it-IT"/>
        </w:rPr>
        <w:t xml:space="preserve">dichiara </w:t>
      </w:r>
      <w:r w:rsidR="00C162D7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Alessio Nava, Country Sales Leader</w:t>
      </w:r>
      <w:r w:rsidR="008535BE" w:rsidRPr="00373966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 w:rsidR="008535BE" w:rsidRPr="00346CF2">
        <w:rPr>
          <w:b/>
          <w:bCs/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di Eaton Italia</w:t>
      </w:r>
      <w:r w:rsidR="008535BE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.</w:t>
      </w:r>
      <w:r w:rsidR="00652CB2" w:rsidRPr="00652CB2">
        <w:rPr>
          <w:rFonts w:ascii="Verdana" w:hAnsi="Verdana"/>
          <w:b/>
          <w:bCs/>
        </w:rPr>
        <w:t xml:space="preserve"> </w:t>
      </w:r>
    </w:p>
    <w:p w14:paraId="60805B21" w14:textId="77777777" w:rsidR="008F1292" w:rsidRDefault="008F1292" w:rsidP="00652CB2">
      <w:pPr>
        <w:rPr>
          <w:rFonts w:ascii="Verdana" w:hAnsi="Verdana"/>
          <w:b/>
          <w:bCs/>
        </w:rPr>
      </w:pPr>
    </w:p>
    <w:p w14:paraId="19EE787F" w14:textId="667BF6A5" w:rsidR="008535BE" w:rsidRPr="008F1292" w:rsidRDefault="00652CB2" w:rsidP="008F1292">
      <w:pPr>
        <w:spacing w:line="360" w:lineRule="auto"/>
        <w:jc w:val="both"/>
        <w:rPr>
          <w:rFonts w:eastAsia="Arial"/>
          <w:i/>
          <w:iCs/>
          <w:sz w:val="22"/>
          <w:szCs w:val="22"/>
          <w:lang w:val="it-IT"/>
        </w:rPr>
      </w:pPr>
      <w:r w:rsidRPr="008F1292">
        <w:rPr>
          <w:rFonts w:eastAsia="Arial"/>
          <w:b/>
          <w:bCs/>
          <w:sz w:val="22"/>
          <w:szCs w:val="22"/>
          <w:lang w:val="it-IT"/>
        </w:rPr>
        <w:t xml:space="preserve">Daniela Viaggio, Partner, </w:t>
      </w:r>
      <w:proofErr w:type="spellStart"/>
      <w:r w:rsidRPr="008F1292">
        <w:rPr>
          <w:rFonts w:eastAsia="Arial"/>
          <w:b/>
          <w:bCs/>
          <w:sz w:val="22"/>
          <w:szCs w:val="22"/>
          <w:lang w:val="it-IT"/>
        </w:rPr>
        <w:t>Eversheds</w:t>
      </w:r>
      <w:proofErr w:type="spellEnd"/>
      <w:r w:rsidRPr="008F1292">
        <w:rPr>
          <w:rFonts w:eastAsia="Arial"/>
          <w:b/>
          <w:bCs/>
          <w:sz w:val="22"/>
          <w:szCs w:val="22"/>
          <w:lang w:val="it-IT"/>
        </w:rPr>
        <w:t xml:space="preserve"> Sutherland</w:t>
      </w:r>
      <w:r w:rsidR="008F1292" w:rsidRPr="008F1292">
        <w:rPr>
          <w:rFonts w:eastAsia="Arial"/>
          <w:sz w:val="22"/>
          <w:szCs w:val="22"/>
          <w:lang w:val="it-IT"/>
        </w:rPr>
        <w:t>, conclude</w:t>
      </w:r>
      <w:r w:rsidR="008F1292" w:rsidRPr="008F1292">
        <w:rPr>
          <w:rFonts w:eastAsia="Arial"/>
          <w:i/>
          <w:iCs/>
          <w:sz w:val="22"/>
          <w:szCs w:val="22"/>
          <w:lang w:val="it-IT"/>
        </w:rPr>
        <w:t> </w:t>
      </w:r>
      <w:r w:rsidR="008F1292">
        <w:rPr>
          <w:rFonts w:eastAsia="Arial"/>
          <w:i/>
          <w:iCs/>
          <w:sz w:val="22"/>
          <w:szCs w:val="22"/>
          <w:lang w:val="it-IT"/>
        </w:rPr>
        <w:t>“</w:t>
      </w:r>
      <w:r w:rsidRPr="008F1292">
        <w:rPr>
          <w:rFonts w:eastAsia="Arial"/>
          <w:i/>
          <w:iCs/>
          <w:sz w:val="22"/>
          <w:szCs w:val="22"/>
          <w:lang w:val="it-IT"/>
        </w:rPr>
        <w:t xml:space="preserve">In un contesto di incertezza politica ed economica, è chiaro che gli investimenti strategici nel settore energetico in Italia dovranno essere valutati attentamente da IPP, investitori e sviluppatori. Nonostante queste incertezze, negli ambienti della politica, della pubblica amministrazione (compreso il DSO) e del mercato delle energie rinnovabili esiste un forte interesse e una volontà comune nel portare avanti rapidamente la transizione energetica ed ecologica. </w:t>
      </w:r>
      <w:r w:rsidR="00123F2E">
        <w:rPr>
          <w:rFonts w:eastAsia="Arial"/>
          <w:i/>
          <w:iCs/>
          <w:sz w:val="22"/>
          <w:szCs w:val="22"/>
          <w:lang w:val="it-IT"/>
        </w:rPr>
        <w:t xml:space="preserve">È </w:t>
      </w:r>
      <w:r w:rsidRPr="008F1292">
        <w:rPr>
          <w:rFonts w:eastAsia="Arial"/>
          <w:i/>
          <w:iCs/>
          <w:sz w:val="22"/>
          <w:szCs w:val="22"/>
          <w:lang w:val="it-IT"/>
        </w:rPr>
        <w:t>fuori ogni dubbio che gli iter autorizzativi debbano aumentare le efficienze interne e esterne; tuttavia, se le tendenze attuali vengono mantenute, l'Italia ha il potenziale di diventare un leader nella transizione europea delle energie rinnovabili (ivi compreso l'idrogeno verde) e svolgere il proprio ruolo nel progetto della super rete in Europa</w:t>
      </w:r>
      <w:r w:rsidR="008F1292">
        <w:rPr>
          <w:rFonts w:eastAsia="Arial"/>
          <w:i/>
          <w:iCs/>
          <w:sz w:val="22"/>
          <w:szCs w:val="22"/>
          <w:lang w:val="it-IT"/>
        </w:rPr>
        <w:t>”.</w:t>
      </w:r>
      <w:r w:rsidRPr="008F1292">
        <w:rPr>
          <w:rFonts w:eastAsia="Arial"/>
          <w:i/>
          <w:iCs/>
          <w:sz w:val="22"/>
          <w:szCs w:val="22"/>
          <w:lang w:val="it-IT"/>
        </w:rPr>
        <w:t> </w:t>
      </w:r>
    </w:p>
    <w:p w14:paraId="26D842B5" w14:textId="77777777" w:rsidR="00123F2E" w:rsidRDefault="00123F2E" w:rsidP="008535BE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</w:p>
    <w:p w14:paraId="429CA6B5" w14:textId="7BEF4FE0" w:rsidR="00DE616C" w:rsidRDefault="00DE616C" w:rsidP="008535BE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</w:pP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>Tutte le informazioni sui risultati già raggiunti dai Paesi europei e sugli obiettivi da perseguire</w:t>
      </w:r>
      <w:r w:rsidR="008E084A"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 </w:t>
      </w:r>
      <w:r>
        <w:rPr>
          <w:color w:val="000000" w:themeColor="text1"/>
          <w:spacing w:val="2"/>
          <w:sz w:val="22"/>
          <w:szCs w:val="22"/>
          <w:shd w:val="clear" w:color="auto" w:fill="FFFFFF"/>
          <w:lang w:val="it-IT"/>
        </w:rPr>
        <w:t xml:space="preserve">sono disponibili nel </w:t>
      </w:r>
      <w:hyperlink r:id="rId12">
        <w:r w:rsidRPr="3C7DD5FA">
          <w:rPr>
            <w:rStyle w:val="Collegamentoipertestuale"/>
            <w:sz w:val="22"/>
            <w:szCs w:val="22"/>
            <w:lang w:val="it-IT"/>
          </w:rPr>
          <w:t>report completo</w:t>
        </w:r>
        <w:r w:rsidRPr="008E084A">
          <w:rPr>
            <w:rStyle w:val="Collegamentoipertestuale"/>
            <w:color w:val="auto"/>
            <w:sz w:val="22"/>
            <w:szCs w:val="22"/>
            <w:u w:val="none"/>
            <w:lang w:val="it-IT"/>
          </w:rPr>
          <w:t>.</w:t>
        </w:r>
      </w:hyperlink>
    </w:p>
    <w:p w14:paraId="5D4D0098" w14:textId="77777777" w:rsidR="00B600C2" w:rsidRPr="00DE616C" w:rsidRDefault="00B600C2" w:rsidP="003F5D08">
      <w:pPr>
        <w:spacing w:after="0" w:line="360" w:lineRule="auto"/>
        <w:jc w:val="both"/>
        <w:rPr>
          <w:rFonts w:eastAsia="Arial"/>
          <w:b/>
          <w:bCs/>
          <w:sz w:val="22"/>
          <w:szCs w:val="22"/>
          <w:lang w:val="it-IT"/>
        </w:rPr>
      </w:pPr>
    </w:p>
    <w:p w14:paraId="0EC0D94E" w14:textId="0E25AB46" w:rsidR="00306ABF" w:rsidRDefault="00306ABF" w:rsidP="00AF5CC2">
      <w:pPr>
        <w:spacing w:after="0" w:line="360" w:lineRule="auto"/>
        <w:jc w:val="both"/>
        <w:rPr>
          <w:rStyle w:val="eop"/>
          <w:rFonts w:eastAsia="Arial"/>
          <w:b/>
          <w:bCs/>
          <w:lang w:val="en-US"/>
        </w:rPr>
      </w:pPr>
      <w:r w:rsidRPr="002E6267">
        <w:rPr>
          <w:rStyle w:val="eop"/>
          <w:rFonts w:eastAsia="Arial"/>
          <w:b/>
          <w:bCs/>
          <w:lang w:val="en-US"/>
        </w:rPr>
        <w:t>Association for Renewable Energy a</w:t>
      </w:r>
      <w:r>
        <w:rPr>
          <w:rStyle w:val="eop"/>
          <w:rFonts w:eastAsia="Arial"/>
          <w:b/>
          <w:bCs/>
          <w:lang w:val="en-US"/>
        </w:rPr>
        <w:t>nd Clean Technology (REA)</w:t>
      </w:r>
    </w:p>
    <w:p w14:paraId="1839351B" w14:textId="6770E2DF" w:rsidR="00306ABF" w:rsidRPr="002E6267" w:rsidRDefault="00306ABF" w:rsidP="00AF5CC2">
      <w:pPr>
        <w:spacing w:after="0" w:line="360" w:lineRule="auto"/>
        <w:jc w:val="both"/>
        <w:rPr>
          <w:rStyle w:val="eop"/>
          <w:rFonts w:eastAsia="Arial"/>
          <w:lang w:val="it-IT"/>
        </w:rPr>
      </w:pPr>
      <w:r>
        <w:rPr>
          <w:rStyle w:val="eop"/>
          <w:rFonts w:eastAsia="Arial"/>
          <w:lang w:val="it-IT"/>
        </w:rPr>
        <w:t>L’</w:t>
      </w:r>
      <w:r w:rsidRPr="00306ABF">
        <w:rPr>
          <w:rStyle w:val="eop"/>
          <w:rFonts w:eastAsia="Arial"/>
          <w:lang w:val="it-IT"/>
        </w:rPr>
        <w:t xml:space="preserve">Association for </w:t>
      </w:r>
      <w:proofErr w:type="spellStart"/>
      <w:r w:rsidRPr="00306ABF">
        <w:rPr>
          <w:rStyle w:val="eop"/>
          <w:rFonts w:eastAsia="Arial"/>
          <w:lang w:val="it-IT"/>
        </w:rPr>
        <w:t>Renewable</w:t>
      </w:r>
      <w:proofErr w:type="spellEnd"/>
      <w:r w:rsidRPr="00306ABF">
        <w:rPr>
          <w:rStyle w:val="eop"/>
          <w:rFonts w:eastAsia="Arial"/>
          <w:lang w:val="it-IT"/>
        </w:rPr>
        <w:t xml:space="preserve"> Energy and </w:t>
      </w:r>
      <w:proofErr w:type="spellStart"/>
      <w:r w:rsidRPr="00306ABF">
        <w:rPr>
          <w:rStyle w:val="eop"/>
          <w:rFonts w:eastAsia="Arial"/>
          <w:lang w:val="it-IT"/>
        </w:rPr>
        <w:t>Clean</w:t>
      </w:r>
      <w:proofErr w:type="spellEnd"/>
      <w:r w:rsidRPr="00306ABF">
        <w:rPr>
          <w:rStyle w:val="eop"/>
          <w:rFonts w:eastAsia="Arial"/>
          <w:lang w:val="it-IT"/>
        </w:rPr>
        <w:t xml:space="preserve"> Technology</w:t>
      </w:r>
      <w:r>
        <w:rPr>
          <w:rStyle w:val="eop"/>
          <w:rFonts w:eastAsia="Arial"/>
          <w:lang w:val="it-IT"/>
        </w:rPr>
        <w:t xml:space="preserve"> (REA</w:t>
      </w:r>
      <w:r w:rsidRPr="00306ABF">
        <w:rPr>
          <w:rStyle w:val="eop"/>
          <w:rFonts w:eastAsia="Arial"/>
          <w:lang w:val="it-IT"/>
        </w:rPr>
        <w:t>) è l’associazione di categoria per il settore dell’energia rinnovabile e delle tecnologie pulite più grande del Regno Unito, con circa 550 membri che operano nei settori del riscaldamento, dei trasporti, dell’energia e dell’economia circolare. REA è un’organizzazione non profit che rappresenta 14 settori, dal biogas ai combustibili rinnovabili, fino alla ricarica elettrica e solare dei veicoli. Tra i membri figurano sia grandi multinazionali sia imprese individuali.</w:t>
      </w:r>
      <w:r>
        <w:rPr>
          <w:rStyle w:val="eop"/>
          <w:rFonts w:eastAsia="Arial"/>
          <w:lang w:val="it-IT"/>
        </w:rPr>
        <w:t xml:space="preserve"> </w:t>
      </w:r>
      <w:r w:rsidRPr="002E6267">
        <w:rPr>
          <w:rStyle w:val="eop"/>
          <w:rFonts w:eastAsia="Arial"/>
          <w:lang w:val="it-IT"/>
        </w:rPr>
        <w:t xml:space="preserve">Per maggiori informazioni: </w:t>
      </w:r>
      <w:hyperlink r:id="rId13" w:history="1">
        <w:r w:rsidRPr="002E6267">
          <w:rPr>
            <w:rStyle w:val="Collegamentoipertestuale"/>
            <w:rFonts w:eastAsia="Arial"/>
            <w:lang w:val="it-IT"/>
          </w:rPr>
          <w:t>www.r-e-a.net</w:t>
        </w:r>
      </w:hyperlink>
      <w:r w:rsidRPr="002E6267">
        <w:rPr>
          <w:rStyle w:val="eop"/>
          <w:rFonts w:eastAsia="Arial"/>
          <w:lang w:val="it-IT"/>
        </w:rPr>
        <w:t xml:space="preserve"> </w:t>
      </w:r>
    </w:p>
    <w:p w14:paraId="476E1219" w14:textId="2A7DD18B" w:rsidR="00306ABF" w:rsidRDefault="00306ABF" w:rsidP="00AF5CC2">
      <w:pPr>
        <w:spacing w:after="0" w:line="360" w:lineRule="auto"/>
        <w:jc w:val="both"/>
        <w:rPr>
          <w:rStyle w:val="eop"/>
          <w:rFonts w:eastAsia="Arial"/>
          <w:b/>
          <w:bCs/>
          <w:lang w:val="it-IT"/>
        </w:rPr>
      </w:pPr>
    </w:p>
    <w:p w14:paraId="0AA4C6EF" w14:textId="77777777" w:rsidR="00652CB2" w:rsidRPr="00652CB2" w:rsidRDefault="00652CB2" w:rsidP="00652CB2">
      <w:pPr>
        <w:rPr>
          <w:rStyle w:val="eop"/>
          <w:rFonts w:eastAsia="Arial"/>
          <w:b/>
          <w:bCs/>
          <w:lang w:val="it-IT"/>
        </w:rPr>
      </w:pPr>
      <w:bookmarkStart w:id="0" w:name="_Hlk121248637"/>
      <w:proofErr w:type="spellStart"/>
      <w:r w:rsidRPr="00652CB2">
        <w:rPr>
          <w:rStyle w:val="eop"/>
          <w:rFonts w:eastAsia="Arial"/>
          <w:b/>
          <w:bCs/>
          <w:lang w:val="it-IT"/>
        </w:rPr>
        <w:t>Eversheds</w:t>
      </w:r>
      <w:proofErr w:type="spellEnd"/>
      <w:r w:rsidRPr="00652CB2">
        <w:rPr>
          <w:rStyle w:val="eop"/>
          <w:rFonts w:eastAsia="Arial"/>
          <w:b/>
          <w:bCs/>
          <w:lang w:val="it-IT"/>
        </w:rPr>
        <w:t xml:space="preserve"> Sutherland </w:t>
      </w:r>
    </w:p>
    <w:p w14:paraId="50C201F0" w14:textId="013FE0EE" w:rsidR="00652CB2" w:rsidRPr="00652CB2" w:rsidRDefault="00652CB2" w:rsidP="001506E7">
      <w:pPr>
        <w:spacing w:line="360" w:lineRule="auto"/>
        <w:rPr>
          <w:rStyle w:val="eop"/>
          <w:rFonts w:eastAsia="Arial"/>
          <w:lang w:val="it-IT"/>
        </w:rPr>
      </w:pPr>
      <w:proofErr w:type="spellStart"/>
      <w:r w:rsidRPr="00652CB2">
        <w:rPr>
          <w:rStyle w:val="eop"/>
          <w:rFonts w:eastAsia="Arial"/>
          <w:lang w:val="it-IT"/>
        </w:rPr>
        <w:t>Eversheds</w:t>
      </w:r>
      <w:proofErr w:type="spellEnd"/>
      <w:r w:rsidRPr="00652CB2">
        <w:rPr>
          <w:rStyle w:val="eop"/>
          <w:rFonts w:eastAsia="Arial"/>
          <w:lang w:val="it-IT"/>
        </w:rPr>
        <w:t xml:space="preserve"> Sutherland</w:t>
      </w:r>
      <w:bookmarkEnd w:id="0"/>
      <w:r w:rsidRPr="00652CB2">
        <w:rPr>
          <w:rStyle w:val="eop"/>
          <w:rFonts w:eastAsia="Arial"/>
          <w:lang w:val="it-IT"/>
        </w:rPr>
        <w:t xml:space="preserve">, tra i primi 10 studi legali a livello mondiale, fornisce consulenza e assistenza legale a clienti internazionali, dalle piccole e medie imprese a grandi multinazionali, agendo per 65 delle FTSE 100, 79 delle </w:t>
      </w:r>
      <w:r w:rsidRPr="00652CB2">
        <w:rPr>
          <w:rStyle w:val="eop"/>
          <w:rFonts w:eastAsia="Arial"/>
          <w:i/>
          <w:iCs/>
          <w:lang w:val="it-IT"/>
        </w:rPr>
        <w:t>Fortune</w:t>
      </w:r>
      <w:r w:rsidRPr="00652CB2">
        <w:rPr>
          <w:rStyle w:val="eop"/>
          <w:rFonts w:eastAsia="Arial"/>
          <w:lang w:val="it-IT"/>
        </w:rPr>
        <w:t xml:space="preserve"> 100 e 134 delle </w:t>
      </w:r>
      <w:r w:rsidRPr="00652CB2">
        <w:rPr>
          <w:rStyle w:val="eop"/>
          <w:rFonts w:eastAsia="Arial"/>
          <w:i/>
          <w:iCs/>
          <w:lang w:val="it-IT"/>
        </w:rPr>
        <w:t>Fortune</w:t>
      </w:r>
      <w:r w:rsidRPr="00652CB2">
        <w:rPr>
          <w:rStyle w:val="eop"/>
          <w:rFonts w:eastAsia="Arial"/>
          <w:lang w:val="it-IT"/>
        </w:rPr>
        <w:t xml:space="preserve"> 200 e 40 di </w:t>
      </w:r>
      <w:r w:rsidRPr="00652CB2">
        <w:rPr>
          <w:rStyle w:val="eop"/>
          <w:rFonts w:eastAsia="Arial"/>
          <w:i/>
          <w:iCs/>
          <w:lang w:val="it-IT"/>
        </w:rPr>
        <w:t>Fortune</w:t>
      </w:r>
      <w:r w:rsidRPr="00652CB2">
        <w:rPr>
          <w:rStyle w:val="eop"/>
          <w:rFonts w:eastAsia="Arial"/>
          <w:lang w:val="it-IT"/>
        </w:rPr>
        <w:t>.</w:t>
      </w:r>
    </w:p>
    <w:p w14:paraId="1D681E1D" w14:textId="4EC9B050" w:rsidR="00652CB2" w:rsidRPr="00652CB2" w:rsidRDefault="00652CB2" w:rsidP="001506E7">
      <w:pPr>
        <w:spacing w:line="360" w:lineRule="auto"/>
        <w:rPr>
          <w:rStyle w:val="eop"/>
          <w:rFonts w:eastAsia="Arial"/>
          <w:lang w:val="it-IT"/>
        </w:rPr>
      </w:pPr>
      <w:r w:rsidRPr="00652CB2">
        <w:rPr>
          <w:rStyle w:val="eop"/>
          <w:rFonts w:eastAsia="Arial"/>
          <w:lang w:val="it-IT"/>
        </w:rPr>
        <w:lastRenderedPageBreak/>
        <w:t xml:space="preserve"> Con oltre 3.000 avvocati, </w:t>
      </w:r>
      <w:proofErr w:type="spellStart"/>
      <w:r w:rsidRPr="00652CB2">
        <w:rPr>
          <w:rStyle w:val="eop"/>
          <w:rFonts w:eastAsia="Arial"/>
          <w:lang w:val="it-IT"/>
        </w:rPr>
        <w:t>Eversheds</w:t>
      </w:r>
      <w:proofErr w:type="spellEnd"/>
      <w:r w:rsidRPr="00652CB2">
        <w:rPr>
          <w:rStyle w:val="eop"/>
          <w:rFonts w:eastAsia="Arial"/>
          <w:lang w:val="it-IT"/>
        </w:rPr>
        <w:t xml:space="preserve"> Sutherland opera in oltre 70 uffici in più di 30 paesi dislocati in Africa, Asia, Europa, Medio Oriente e Stati Uniti. Inoltre, lo studio dispone di un network di oltre 200 studi legali, comprensivo di alleanze in America Latina, Asia Pacific e Africa, fornendo assistenza in tutto il mondo.</w:t>
      </w:r>
    </w:p>
    <w:p w14:paraId="0C73C7BB" w14:textId="77777777" w:rsidR="00652CB2" w:rsidRPr="002E6267" w:rsidRDefault="00652CB2" w:rsidP="00AF5CC2">
      <w:pPr>
        <w:spacing w:after="0" w:line="360" w:lineRule="auto"/>
        <w:jc w:val="both"/>
        <w:rPr>
          <w:rStyle w:val="eop"/>
          <w:rFonts w:eastAsia="Arial"/>
          <w:b/>
          <w:bCs/>
          <w:lang w:val="it-IT"/>
        </w:rPr>
      </w:pPr>
    </w:p>
    <w:p w14:paraId="14908B37" w14:textId="3CFCC067" w:rsidR="00306ABF" w:rsidRPr="002E6267" w:rsidRDefault="00306ABF" w:rsidP="00AF5CC2">
      <w:pPr>
        <w:spacing w:after="0" w:line="360" w:lineRule="auto"/>
        <w:jc w:val="both"/>
        <w:rPr>
          <w:rStyle w:val="eop"/>
          <w:rFonts w:eastAsia="Arial"/>
          <w:b/>
          <w:bCs/>
          <w:lang w:val="it-IT"/>
        </w:rPr>
      </w:pPr>
      <w:r w:rsidRPr="002E6267">
        <w:rPr>
          <w:rStyle w:val="eop"/>
          <w:rFonts w:eastAsia="Arial"/>
          <w:b/>
          <w:bCs/>
          <w:lang w:val="it-IT"/>
        </w:rPr>
        <w:t>Eaton</w:t>
      </w:r>
    </w:p>
    <w:p w14:paraId="20DABB4B" w14:textId="6D1B1B38" w:rsidR="00FE1748" w:rsidRPr="00B431E7" w:rsidRDefault="00083440" w:rsidP="00083440">
      <w:pPr>
        <w:spacing w:line="360" w:lineRule="auto"/>
        <w:jc w:val="both"/>
        <w:rPr>
          <w:rFonts w:eastAsia="Arial"/>
          <w:lang w:val="it-IT"/>
        </w:rPr>
      </w:pPr>
      <w:r w:rsidRPr="00B431E7">
        <w:rPr>
          <w:rFonts w:eastAsia="Arial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639DFDC7" w14:textId="6C532917" w:rsidR="00083440" w:rsidRPr="00B431E7" w:rsidRDefault="00083440" w:rsidP="00083440">
      <w:pPr>
        <w:spacing w:line="360" w:lineRule="auto"/>
        <w:jc w:val="both"/>
        <w:rPr>
          <w:rFonts w:eastAsia="Arial"/>
          <w:lang w:val="it-IT"/>
        </w:rPr>
      </w:pPr>
      <w:r w:rsidRPr="00B431E7">
        <w:rPr>
          <w:rFonts w:eastAsia="Arial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3F1DA7CA" w14:textId="77777777" w:rsidR="00083440" w:rsidRPr="00B431E7" w:rsidRDefault="00083440" w:rsidP="00083440">
      <w:pPr>
        <w:spacing w:line="360" w:lineRule="auto"/>
        <w:jc w:val="both"/>
        <w:rPr>
          <w:rFonts w:eastAsia="Arial"/>
          <w:lang w:val="it-IT"/>
        </w:rPr>
      </w:pPr>
      <w:r w:rsidRPr="00B431E7">
        <w:rPr>
          <w:rFonts w:eastAsia="Arial"/>
          <w:lang w:val="it-IT"/>
        </w:rPr>
        <w:t xml:space="preserve">Fondata nel 1911, Eaton è quotata alla borsa di New York da circa un secolo. Abbiamo registrato un fatturato di 19,6 miliardi di dollari nel 2021 e serviamo clienti in più di 170 Paesi. Per ulteriori informazioni visitare il sito </w:t>
      </w:r>
      <w:hyperlink r:id="rId14" w:tgtFrame="_blank" w:history="1">
        <w:r w:rsidRPr="00B431E7">
          <w:rPr>
            <w:rStyle w:val="Collegamentoipertestuale"/>
            <w:rFonts w:eastAsia="Arial"/>
            <w:lang w:val="it-IT"/>
          </w:rPr>
          <w:t>www.eaton.com</w:t>
        </w:r>
      </w:hyperlink>
      <w:r w:rsidRPr="00B431E7">
        <w:rPr>
          <w:rFonts w:eastAsia="Arial"/>
          <w:lang w:val="it-IT"/>
        </w:rPr>
        <w:t xml:space="preserve">. Seguici su </w:t>
      </w:r>
      <w:hyperlink r:id="rId15" w:tgtFrame="_blank" w:history="1">
        <w:r w:rsidRPr="00B431E7">
          <w:rPr>
            <w:rStyle w:val="Collegamentoipertestuale"/>
            <w:rFonts w:eastAsia="Arial"/>
            <w:lang w:val="it-IT"/>
          </w:rPr>
          <w:t>Twitter</w:t>
        </w:r>
      </w:hyperlink>
      <w:r w:rsidRPr="00B431E7">
        <w:rPr>
          <w:rFonts w:eastAsia="Arial"/>
          <w:lang w:val="it-IT"/>
        </w:rPr>
        <w:t xml:space="preserve"> e </w:t>
      </w:r>
      <w:hyperlink r:id="rId16" w:tgtFrame="_blank" w:history="1">
        <w:r w:rsidRPr="00B431E7">
          <w:rPr>
            <w:rStyle w:val="Collegamentoipertestuale"/>
            <w:rFonts w:eastAsia="Arial"/>
            <w:lang w:val="it-IT"/>
          </w:rPr>
          <w:t>LinkedIn</w:t>
        </w:r>
      </w:hyperlink>
      <w:r w:rsidRPr="00B431E7">
        <w:rPr>
          <w:rFonts w:eastAsia="Arial"/>
          <w:lang w:val="it-IT"/>
        </w:rPr>
        <w:t>. </w:t>
      </w:r>
    </w:p>
    <w:p w14:paraId="6FBACAD2" w14:textId="77777777" w:rsidR="00083440" w:rsidRPr="00D03BD7" w:rsidRDefault="00083440" w:rsidP="00083440">
      <w:pPr>
        <w:spacing w:line="360" w:lineRule="auto"/>
        <w:rPr>
          <w:rFonts w:eastAsia="Arial"/>
          <w:sz w:val="22"/>
          <w:szCs w:val="22"/>
          <w:lang w:val="it-IT"/>
        </w:rPr>
      </w:pPr>
    </w:p>
    <w:p w14:paraId="6C03BD58" w14:textId="77777777" w:rsidR="00083440" w:rsidRPr="00D03BD7" w:rsidRDefault="00083440" w:rsidP="004E24E0">
      <w:pPr>
        <w:spacing w:line="276" w:lineRule="auto"/>
        <w:rPr>
          <w:rFonts w:eastAsia="Arial"/>
          <w:sz w:val="22"/>
          <w:szCs w:val="22"/>
          <w:lang w:val="it-IT"/>
        </w:rPr>
      </w:pPr>
      <w:r w:rsidRPr="00D03BD7">
        <w:rPr>
          <w:rFonts w:eastAsia="Arial"/>
          <w:sz w:val="22"/>
          <w:szCs w:val="22"/>
          <w:lang w:val="it-IT"/>
        </w:rPr>
        <w:t>Contatti stampa:</w:t>
      </w:r>
    </w:p>
    <w:p w14:paraId="6683B7E7" w14:textId="77777777" w:rsidR="00083440" w:rsidRPr="00D03BD7" w:rsidRDefault="00083440" w:rsidP="004E24E0">
      <w:pPr>
        <w:spacing w:line="276" w:lineRule="auto"/>
        <w:rPr>
          <w:rFonts w:eastAsia="Arial"/>
          <w:sz w:val="22"/>
          <w:szCs w:val="22"/>
          <w:lang w:val="it-IT"/>
        </w:rPr>
      </w:pPr>
      <w:r w:rsidRPr="00D03BD7">
        <w:rPr>
          <w:rFonts w:eastAsia="Arial"/>
          <w:sz w:val="22"/>
          <w:szCs w:val="22"/>
          <w:lang w:val="it-IT"/>
        </w:rPr>
        <w:t>Hotwire</w:t>
      </w:r>
    </w:p>
    <w:p w14:paraId="6632F826" w14:textId="77777777" w:rsidR="00083440" w:rsidRPr="00D03BD7" w:rsidRDefault="00083440" w:rsidP="004E24E0">
      <w:pPr>
        <w:spacing w:line="276" w:lineRule="auto"/>
        <w:rPr>
          <w:rFonts w:eastAsia="Arial"/>
          <w:sz w:val="22"/>
          <w:szCs w:val="22"/>
          <w:lang w:val="it-IT"/>
        </w:rPr>
      </w:pPr>
      <w:r w:rsidRPr="00D03BD7">
        <w:rPr>
          <w:rFonts w:eastAsia="Arial"/>
          <w:sz w:val="22"/>
          <w:szCs w:val="22"/>
          <w:lang w:val="it-IT"/>
        </w:rPr>
        <w:t>Elisa Bortolozzo</w:t>
      </w:r>
    </w:p>
    <w:p w14:paraId="539DD723" w14:textId="3A7ADF1C" w:rsidR="00F24271" w:rsidRPr="00910E21" w:rsidRDefault="00083440" w:rsidP="00910E21">
      <w:pPr>
        <w:spacing w:line="276" w:lineRule="auto"/>
        <w:rPr>
          <w:rFonts w:eastAsia="Arial"/>
          <w:sz w:val="22"/>
          <w:szCs w:val="22"/>
          <w:lang w:val="it-IT"/>
        </w:rPr>
      </w:pPr>
      <w:r w:rsidRPr="00A25AD3">
        <w:rPr>
          <w:rFonts w:eastAsia="Arial"/>
          <w:sz w:val="22"/>
          <w:szCs w:val="22"/>
          <w:lang w:val="it-IT"/>
        </w:rPr>
        <w:t>E: EatonIT@hotwireglobal.com | T: 0039 348 6343956</w:t>
      </w:r>
    </w:p>
    <w:sectPr w:rsidR="00F24271" w:rsidRPr="00910E21" w:rsidSect="00077A3F">
      <w:headerReference w:type="default" r:id="rId17"/>
      <w:headerReference w:type="first" r:id="rId18"/>
      <w:footerReference w:type="first" r:id="rId19"/>
      <w:pgSz w:w="11906" w:h="16838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ACA3" w14:textId="77777777" w:rsidR="00020272" w:rsidRDefault="00CF2843">
      <w:pPr>
        <w:spacing w:after="0" w:line="240" w:lineRule="auto"/>
      </w:pPr>
      <w:r>
        <w:separator/>
      </w:r>
    </w:p>
  </w:endnote>
  <w:endnote w:type="continuationSeparator" w:id="0">
    <w:p w14:paraId="3AB5F898" w14:textId="77777777" w:rsidR="00020272" w:rsidRDefault="00CF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C2C9" w14:textId="77777777" w:rsidR="000450BE" w:rsidRDefault="00CF2843" w:rsidP="000450BE">
    <w:pPr>
      <w:pStyle w:val="Pidipagina"/>
      <w:jc w:val="center"/>
    </w:pPr>
    <w:r>
      <w:rPr>
        <w:rFonts w:eastAsia="Arial"/>
        <w:sz w:val="22"/>
        <w:szCs w:val="22"/>
        <w:lang w:val="it-IT" w:eastAsia="ja-JP"/>
      </w:rPr>
      <w:t>- segue -</w:t>
    </w:r>
  </w:p>
  <w:p w14:paraId="0E017B67" w14:textId="77777777" w:rsidR="000450BE" w:rsidRDefault="000450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DE8A" w14:textId="77777777" w:rsidR="00020272" w:rsidRDefault="00CF2843">
      <w:pPr>
        <w:spacing w:after="0" w:line="240" w:lineRule="auto"/>
      </w:pPr>
      <w:r>
        <w:separator/>
      </w:r>
    </w:p>
  </w:footnote>
  <w:footnote w:type="continuationSeparator" w:id="0">
    <w:p w14:paraId="5F8721ED" w14:textId="77777777" w:rsidR="00020272" w:rsidRDefault="00CF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24E7" w14:textId="77777777" w:rsidR="000450BE" w:rsidRDefault="00CF2843" w:rsidP="000450BE">
    <w:pPr>
      <w:pStyle w:val="Intestazione"/>
      <w:ind w:left="90"/>
    </w:pPr>
    <w:r>
      <w:rPr>
        <w:rFonts w:eastAsia="Arial"/>
        <w:sz w:val="22"/>
        <w:szCs w:val="22"/>
        <w:lang w:val="it-IT" w:eastAsia="ja-JP"/>
      </w:rPr>
      <w:t>Eaton/Pagina 2</w:t>
    </w:r>
  </w:p>
  <w:p w14:paraId="19BE7AAD" w14:textId="77777777" w:rsidR="000450BE" w:rsidRDefault="000450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2062"/>
      <w:gridCol w:w="2062"/>
      <w:gridCol w:w="1620"/>
    </w:tblGrid>
    <w:tr w:rsidR="00CA6996" w14:paraId="264107B8" w14:textId="77777777" w:rsidTr="00CA6996">
      <w:trPr>
        <w:trHeight w:val="1992"/>
      </w:trPr>
      <w:tc>
        <w:tcPr>
          <w:tcW w:w="5408" w:type="dxa"/>
        </w:tcPr>
        <w:p w14:paraId="12A63320" w14:textId="0075D1D6" w:rsidR="00CA6996" w:rsidRDefault="00077A3F" w:rsidP="00CA6996">
          <w:pPr>
            <w:pStyle w:val="Titolo1"/>
            <w:tabs>
              <w:tab w:val="left" w:pos="1647"/>
            </w:tabs>
            <w:ind w:left="522" w:hanging="630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1401103" wp14:editId="482E138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810385" cy="705485"/>
                <wp:effectExtent l="0" t="0" r="0" b="0"/>
                <wp:wrapSquare wrapText="bothSides"/>
                <wp:docPr id="61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6960945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041829" w14:textId="4D2430ED" w:rsidR="00CA6996" w:rsidRDefault="00CA6996" w:rsidP="00CA6996">
          <w:pPr>
            <w:jc w:val="right"/>
          </w:pPr>
        </w:p>
        <w:p w14:paraId="711FA5F2" w14:textId="027EE18D" w:rsidR="00CA6996" w:rsidRDefault="00CA6996" w:rsidP="00CA6996">
          <w:pPr>
            <w:jc w:val="right"/>
            <w:rPr>
              <w:b/>
              <w:sz w:val="24"/>
            </w:rPr>
          </w:pPr>
          <w:bookmarkStart w:id="1" w:name="BusinessUnit"/>
          <w:bookmarkEnd w:id="1"/>
        </w:p>
        <w:p w14:paraId="662E38F0" w14:textId="50455068" w:rsidR="00CA6996" w:rsidRPr="003E0684" w:rsidRDefault="00CA6996" w:rsidP="00CA6996">
          <w:pPr>
            <w:pStyle w:val="Titolo1"/>
            <w:ind w:left="-90"/>
            <w:rPr>
              <w:rFonts w:cs="Arial"/>
            </w:rPr>
          </w:pPr>
        </w:p>
      </w:tc>
      <w:tc>
        <w:tcPr>
          <w:tcW w:w="2062" w:type="dxa"/>
        </w:tcPr>
        <w:p w14:paraId="05FC07B3" w14:textId="77777777" w:rsidR="00CA6996" w:rsidRPr="00A25AD3" w:rsidRDefault="00CA6996" w:rsidP="00CA6996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A25AD3">
            <w:rPr>
              <w:rFonts w:ascii="Arial Narrow" w:hAnsi="Arial Narrow"/>
              <w:sz w:val="17"/>
              <w:lang w:val="it-IT"/>
            </w:rPr>
            <w:t xml:space="preserve">Eaton </w:t>
          </w:r>
          <w:bookmarkStart w:id="2" w:name="Division"/>
          <w:bookmarkStart w:id="3" w:name="Address1"/>
          <w:bookmarkEnd w:id="2"/>
          <w:bookmarkEnd w:id="3"/>
          <w:r w:rsidRPr="00A25AD3">
            <w:rPr>
              <w:rFonts w:ascii="Arial Narrow" w:hAnsi="Arial Narrow"/>
              <w:sz w:val="17"/>
              <w:lang w:val="it-IT"/>
            </w:rPr>
            <w:t>Industries (Italia) S.r.l.</w:t>
          </w:r>
        </w:p>
        <w:p w14:paraId="30C02416" w14:textId="77777777" w:rsidR="00CA6996" w:rsidRPr="00A25AD3" w:rsidRDefault="00CA6996" w:rsidP="00CA6996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A25AD3">
            <w:rPr>
              <w:rFonts w:ascii="Arial Narrow" w:hAnsi="Arial Narrow"/>
              <w:sz w:val="17"/>
              <w:lang w:val="it-IT"/>
            </w:rPr>
            <w:t>Via san Bovio 3</w:t>
          </w:r>
        </w:p>
        <w:p w14:paraId="2BDEF2BF" w14:textId="4A883EB5" w:rsidR="00CA6996" w:rsidRPr="00736F6D" w:rsidRDefault="00CA6996" w:rsidP="00736F6D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D03BD7">
            <w:rPr>
              <w:rFonts w:ascii="Arial Narrow" w:hAnsi="Arial Narrow"/>
              <w:sz w:val="17"/>
              <w:lang w:val="it-IT"/>
            </w:rPr>
            <w:t>20090 Segrate (MI)</w:t>
          </w:r>
          <w:bookmarkStart w:id="4" w:name="Address2"/>
          <w:bookmarkEnd w:id="4"/>
        </w:p>
      </w:tc>
      <w:tc>
        <w:tcPr>
          <w:tcW w:w="2062" w:type="dxa"/>
        </w:tcPr>
        <w:p w14:paraId="2313499A" w14:textId="289E2387" w:rsidR="00CA6996" w:rsidRPr="003E0684" w:rsidRDefault="00CA6996" w:rsidP="00CA6996">
          <w:pPr>
            <w:spacing w:line="240" w:lineRule="auto"/>
            <w:rPr>
              <w:sz w:val="16"/>
            </w:rPr>
          </w:pPr>
          <w:r>
            <w:rPr>
              <w:noProof/>
            </w:rPr>
            <w:drawing>
              <wp:anchor distT="0" distB="0" distL="0" distR="0" simplePos="0" relativeHeight="251664384" behindDoc="0" locked="0" layoutInCell="1" allowOverlap="1" wp14:anchorId="55C5B63B" wp14:editId="1CECCB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0"/>
                <wp:wrapSquare wrapText="bothSides"/>
                <wp:docPr id="62" name="Picture 5" descr="release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480365F1" w14:textId="7023E396" w:rsidR="00CA6996" w:rsidRPr="003E0684" w:rsidRDefault="00CA6996" w:rsidP="00CA6996">
          <w:pPr>
            <w:spacing w:line="240" w:lineRule="auto"/>
            <w:rPr>
              <w:sz w:val="16"/>
            </w:rPr>
          </w:pPr>
          <w:bookmarkStart w:id="5" w:name="Enterprise"/>
          <w:bookmarkStart w:id="6" w:name="Fax"/>
          <w:bookmarkEnd w:id="5"/>
          <w:bookmarkEnd w:id="6"/>
        </w:p>
      </w:tc>
      <w:tc>
        <w:tcPr>
          <w:tcW w:w="1620" w:type="dxa"/>
        </w:tcPr>
        <w:p w14:paraId="456A9E20" w14:textId="769808E3" w:rsidR="00CA6996" w:rsidRDefault="00CA6996" w:rsidP="00CA6996">
          <w:pPr>
            <w:pStyle w:val="Titolo1"/>
            <w:rPr>
              <w:rFonts w:cs="Arial"/>
              <w:sz w:val="36"/>
            </w:rPr>
          </w:pPr>
        </w:p>
      </w:tc>
    </w:tr>
  </w:tbl>
  <w:p w14:paraId="27D1EC5F" w14:textId="5EAD64FF" w:rsidR="000450BE" w:rsidRDefault="000450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07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5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D6C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366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C0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62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C7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D8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2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5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75D3F"/>
    <w:multiLevelType w:val="hybridMultilevel"/>
    <w:tmpl w:val="E772C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54541">
    <w:abstractNumId w:val="9"/>
  </w:num>
  <w:num w:numId="2" w16cid:durableId="1569534185">
    <w:abstractNumId w:val="7"/>
  </w:num>
  <w:num w:numId="3" w16cid:durableId="1424061648">
    <w:abstractNumId w:val="6"/>
  </w:num>
  <w:num w:numId="4" w16cid:durableId="884487906">
    <w:abstractNumId w:val="5"/>
  </w:num>
  <w:num w:numId="5" w16cid:durableId="1469931812">
    <w:abstractNumId w:val="4"/>
  </w:num>
  <w:num w:numId="6" w16cid:durableId="1824853442">
    <w:abstractNumId w:val="8"/>
  </w:num>
  <w:num w:numId="7" w16cid:durableId="754863586">
    <w:abstractNumId w:val="3"/>
  </w:num>
  <w:num w:numId="8" w16cid:durableId="1276863575">
    <w:abstractNumId w:val="2"/>
  </w:num>
  <w:num w:numId="9" w16cid:durableId="1520700047">
    <w:abstractNumId w:val="1"/>
  </w:num>
  <w:num w:numId="10" w16cid:durableId="1449351917">
    <w:abstractNumId w:val="0"/>
  </w:num>
  <w:num w:numId="11" w16cid:durableId="116876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66"/>
    <w:rsid w:val="00000100"/>
    <w:rsid w:val="00001F49"/>
    <w:rsid w:val="00017459"/>
    <w:rsid w:val="00020272"/>
    <w:rsid w:val="000450BE"/>
    <w:rsid w:val="00051D9F"/>
    <w:rsid w:val="0006708D"/>
    <w:rsid w:val="00075405"/>
    <w:rsid w:val="00077A3F"/>
    <w:rsid w:val="0008107A"/>
    <w:rsid w:val="00083440"/>
    <w:rsid w:val="00094024"/>
    <w:rsid w:val="00095B53"/>
    <w:rsid w:val="000A7747"/>
    <w:rsid w:val="000C6461"/>
    <w:rsid w:val="000D5FD1"/>
    <w:rsid w:val="000D7B27"/>
    <w:rsid w:val="000E41EE"/>
    <w:rsid w:val="000E6EFD"/>
    <w:rsid w:val="001004C6"/>
    <w:rsid w:val="00102258"/>
    <w:rsid w:val="001025EF"/>
    <w:rsid w:val="00117847"/>
    <w:rsid w:val="00121020"/>
    <w:rsid w:val="00123F2E"/>
    <w:rsid w:val="00130F01"/>
    <w:rsid w:val="001506E7"/>
    <w:rsid w:val="00156213"/>
    <w:rsid w:val="00156775"/>
    <w:rsid w:val="00156D93"/>
    <w:rsid w:val="00162D98"/>
    <w:rsid w:val="0016442A"/>
    <w:rsid w:val="001739DB"/>
    <w:rsid w:val="0018348D"/>
    <w:rsid w:val="00186A02"/>
    <w:rsid w:val="00187F0F"/>
    <w:rsid w:val="001A1537"/>
    <w:rsid w:val="001C6BEA"/>
    <w:rsid w:val="001D26F3"/>
    <w:rsid w:val="001F6F29"/>
    <w:rsid w:val="00205E96"/>
    <w:rsid w:val="00207409"/>
    <w:rsid w:val="00221FEE"/>
    <w:rsid w:val="00245630"/>
    <w:rsid w:val="00250DC5"/>
    <w:rsid w:val="00257C6B"/>
    <w:rsid w:val="00267D10"/>
    <w:rsid w:val="00280E00"/>
    <w:rsid w:val="00280FCE"/>
    <w:rsid w:val="00281022"/>
    <w:rsid w:val="00281B21"/>
    <w:rsid w:val="002909E9"/>
    <w:rsid w:val="002A1BC6"/>
    <w:rsid w:val="002B0C92"/>
    <w:rsid w:val="002B3902"/>
    <w:rsid w:val="002C6FA3"/>
    <w:rsid w:val="002E6267"/>
    <w:rsid w:val="002F3900"/>
    <w:rsid w:val="00302AF9"/>
    <w:rsid w:val="00302C74"/>
    <w:rsid w:val="00306ABF"/>
    <w:rsid w:val="0031002F"/>
    <w:rsid w:val="0032093F"/>
    <w:rsid w:val="003261C3"/>
    <w:rsid w:val="00346D4A"/>
    <w:rsid w:val="00357483"/>
    <w:rsid w:val="00370C9F"/>
    <w:rsid w:val="00371766"/>
    <w:rsid w:val="003B0E7F"/>
    <w:rsid w:val="003B20F5"/>
    <w:rsid w:val="003C5F44"/>
    <w:rsid w:val="003D23FA"/>
    <w:rsid w:val="003D7566"/>
    <w:rsid w:val="003E0684"/>
    <w:rsid w:val="003F5D08"/>
    <w:rsid w:val="0040154E"/>
    <w:rsid w:val="004165D6"/>
    <w:rsid w:val="00416E81"/>
    <w:rsid w:val="00424BF0"/>
    <w:rsid w:val="0044115E"/>
    <w:rsid w:val="0046089D"/>
    <w:rsid w:val="004618D3"/>
    <w:rsid w:val="00470D04"/>
    <w:rsid w:val="00490067"/>
    <w:rsid w:val="004A5A94"/>
    <w:rsid w:val="004B07F4"/>
    <w:rsid w:val="004C0A33"/>
    <w:rsid w:val="004E05A2"/>
    <w:rsid w:val="004E24E0"/>
    <w:rsid w:val="005004A5"/>
    <w:rsid w:val="0051366E"/>
    <w:rsid w:val="00527011"/>
    <w:rsid w:val="00532F1B"/>
    <w:rsid w:val="00534CFB"/>
    <w:rsid w:val="00542AC9"/>
    <w:rsid w:val="005433EA"/>
    <w:rsid w:val="00547F42"/>
    <w:rsid w:val="005551D0"/>
    <w:rsid w:val="00594D0D"/>
    <w:rsid w:val="005D0A02"/>
    <w:rsid w:val="005E1714"/>
    <w:rsid w:val="005E7A94"/>
    <w:rsid w:val="00614A7A"/>
    <w:rsid w:val="0061625F"/>
    <w:rsid w:val="006207BE"/>
    <w:rsid w:val="0062493B"/>
    <w:rsid w:val="006427A6"/>
    <w:rsid w:val="00652CB2"/>
    <w:rsid w:val="0069179F"/>
    <w:rsid w:val="006A5EAD"/>
    <w:rsid w:val="006B44F1"/>
    <w:rsid w:val="006B4587"/>
    <w:rsid w:val="006C73D8"/>
    <w:rsid w:val="006D43D2"/>
    <w:rsid w:val="006F23A2"/>
    <w:rsid w:val="006F3C47"/>
    <w:rsid w:val="007166EE"/>
    <w:rsid w:val="00734E3F"/>
    <w:rsid w:val="00736F6D"/>
    <w:rsid w:val="00756FCF"/>
    <w:rsid w:val="00762B7E"/>
    <w:rsid w:val="00770D0A"/>
    <w:rsid w:val="00771F54"/>
    <w:rsid w:val="007879E5"/>
    <w:rsid w:val="00790CFA"/>
    <w:rsid w:val="00792AD4"/>
    <w:rsid w:val="00796C92"/>
    <w:rsid w:val="007A3C32"/>
    <w:rsid w:val="007E301C"/>
    <w:rsid w:val="007F70C0"/>
    <w:rsid w:val="00807003"/>
    <w:rsid w:val="00810B24"/>
    <w:rsid w:val="0082069A"/>
    <w:rsid w:val="00843388"/>
    <w:rsid w:val="0085291B"/>
    <w:rsid w:val="008535BE"/>
    <w:rsid w:val="008565D9"/>
    <w:rsid w:val="008566D4"/>
    <w:rsid w:val="00891716"/>
    <w:rsid w:val="008937A8"/>
    <w:rsid w:val="008A78A4"/>
    <w:rsid w:val="008E084A"/>
    <w:rsid w:val="008F1292"/>
    <w:rsid w:val="008F7A0F"/>
    <w:rsid w:val="00906BC7"/>
    <w:rsid w:val="00910E21"/>
    <w:rsid w:val="00921E3C"/>
    <w:rsid w:val="00924539"/>
    <w:rsid w:val="009762F3"/>
    <w:rsid w:val="00977110"/>
    <w:rsid w:val="00977DAF"/>
    <w:rsid w:val="009B1037"/>
    <w:rsid w:val="009C6EC5"/>
    <w:rsid w:val="009D5EE3"/>
    <w:rsid w:val="009F663C"/>
    <w:rsid w:val="00A06847"/>
    <w:rsid w:val="00A1180E"/>
    <w:rsid w:val="00A14625"/>
    <w:rsid w:val="00A16E6C"/>
    <w:rsid w:val="00A24F94"/>
    <w:rsid w:val="00A52727"/>
    <w:rsid w:val="00A64BD4"/>
    <w:rsid w:val="00A75015"/>
    <w:rsid w:val="00AA4EB3"/>
    <w:rsid w:val="00AC5B60"/>
    <w:rsid w:val="00AD218A"/>
    <w:rsid w:val="00AD5C33"/>
    <w:rsid w:val="00AE7C9A"/>
    <w:rsid w:val="00AF1007"/>
    <w:rsid w:val="00AF2047"/>
    <w:rsid w:val="00AF5CC2"/>
    <w:rsid w:val="00B009D8"/>
    <w:rsid w:val="00B12761"/>
    <w:rsid w:val="00B311B8"/>
    <w:rsid w:val="00B35C77"/>
    <w:rsid w:val="00B4032D"/>
    <w:rsid w:val="00B47974"/>
    <w:rsid w:val="00B600C2"/>
    <w:rsid w:val="00B65BE9"/>
    <w:rsid w:val="00B67B5C"/>
    <w:rsid w:val="00B67E5D"/>
    <w:rsid w:val="00B73BDA"/>
    <w:rsid w:val="00B85B20"/>
    <w:rsid w:val="00B9256D"/>
    <w:rsid w:val="00B97A8D"/>
    <w:rsid w:val="00BA2FA6"/>
    <w:rsid w:val="00BA3B4E"/>
    <w:rsid w:val="00BB4F58"/>
    <w:rsid w:val="00BD777F"/>
    <w:rsid w:val="00BF7577"/>
    <w:rsid w:val="00C10EBC"/>
    <w:rsid w:val="00C162D7"/>
    <w:rsid w:val="00C55AEE"/>
    <w:rsid w:val="00C663DC"/>
    <w:rsid w:val="00C7230B"/>
    <w:rsid w:val="00C828EB"/>
    <w:rsid w:val="00CA6996"/>
    <w:rsid w:val="00CA7527"/>
    <w:rsid w:val="00CD04CE"/>
    <w:rsid w:val="00CF1037"/>
    <w:rsid w:val="00CF2843"/>
    <w:rsid w:val="00D22C68"/>
    <w:rsid w:val="00D421E8"/>
    <w:rsid w:val="00D479C5"/>
    <w:rsid w:val="00D52781"/>
    <w:rsid w:val="00D84D13"/>
    <w:rsid w:val="00DC05A6"/>
    <w:rsid w:val="00DD55F9"/>
    <w:rsid w:val="00DE616C"/>
    <w:rsid w:val="00E01302"/>
    <w:rsid w:val="00E06E1E"/>
    <w:rsid w:val="00E14CF8"/>
    <w:rsid w:val="00E3668B"/>
    <w:rsid w:val="00E373C9"/>
    <w:rsid w:val="00EA4F1B"/>
    <w:rsid w:val="00EA5B69"/>
    <w:rsid w:val="00EA6D11"/>
    <w:rsid w:val="00EB20D1"/>
    <w:rsid w:val="00F01EFB"/>
    <w:rsid w:val="00F24271"/>
    <w:rsid w:val="00F411B3"/>
    <w:rsid w:val="00F647A7"/>
    <w:rsid w:val="00F81B5B"/>
    <w:rsid w:val="00F93140"/>
    <w:rsid w:val="00F94621"/>
    <w:rsid w:val="00FB31B2"/>
    <w:rsid w:val="00FB7F62"/>
    <w:rsid w:val="00FC7577"/>
    <w:rsid w:val="00FD2E31"/>
    <w:rsid w:val="00FD3565"/>
    <w:rsid w:val="00FE0006"/>
    <w:rsid w:val="00FE1748"/>
    <w:rsid w:val="7A6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1B41"/>
  <w15:chartTrackingRefBased/>
  <w15:docId w15:val="{A7ADF66A-4DE3-48DD-8620-468EEC84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D11"/>
    <w:pPr>
      <w:spacing w:line="252" w:lineRule="auto"/>
    </w:pPr>
    <w:rPr>
      <w:rFonts w:ascii="Arial" w:hAnsi="Arial" w:cs="Arial"/>
      <w:sz w:val="20"/>
      <w:szCs w:val="20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6461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6461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6461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6461"/>
    <w:pPr>
      <w:spacing w:after="0" w:line="240" w:lineRule="auto"/>
    </w:pPr>
    <w:rPr>
      <w:rFonts w:ascii="Arial" w:hAnsi="Arial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646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646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646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6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6461"/>
    <w:pPr>
      <w:numPr>
        <w:ilvl w:val="1"/>
      </w:numPr>
      <w:spacing w:line="259" w:lineRule="auto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6461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24271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42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4271"/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paragraph">
    <w:name w:val="paragraph"/>
    <w:basedOn w:val="Normale"/>
    <w:rsid w:val="00F242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Carpredefinitoparagrafo"/>
    <w:rsid w:val="00F24271"/>
  </w:style>
  <w:style w:type="character" w:customStyle="1" w:styleId="normaltextrun">
    <w:name w:val="normaltextrun"/>
    <w:basedOn w:val="Carpredefinitoparagrafo"/>
    <w:rsid w:val="00F24271"/>
  </w:style>
  <w:style w:type="character" w:styleId="Enfasigrassetto">
    <w:name w:val="Strong"/>
    <w:basedOn w:val="Carpredefinitoparagrafo"/>
    <w:uiPriority w:val="22"/>
    <w:qFormat/>
    <w:rsid w:val="00F24271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16E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6E6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AF100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44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6D11"/>
    <w:pPr>
      <w:spacing w:line="240" w:lineRule="auto"/>
    </w:pPr>
    <w:rPr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6D11"/>
    <w:rPr>
      <w:rFonts w:ascii="Arial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4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442A"/>
    <w:rPr>
      <w:rFonts w:ascii="Arial" w:hAnsi="Arial" w:cs="Arial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0BE"/>
    <w:rPr>
      <w:rFonts w:ascii="Arial" w:hAnsi="Arial" w:cs="Arial"/>
      <w:sz w:val="20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0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0BE"/>
    <w:rPr>
      <w:rFonts w:ascii="Arial" w:hAnsi="Arial" w:cs="Arial"/>
      <w:sz w:val="20"/>
      <w:szCs w:val="20"/>
      <w:lang w:val="fr-FR"/>
    </w:rPr>
  </w:style>
  <w:style w:type="paragraph" w:customStyle="1" w:styleId="ReleaseDate">
    <w:name w:val="ReleaseDate"/>
    <w:basedOn w:val="ContactPara"/>
    <w:rsid w:val="000450BE"/>
  </w:style>
  <w:style w:type="paragraph" w:customStyle="1" w:styleId="ContactPara">
    <w:name w:val="ContactPara"/>
    <w:basedOn w:val="Normale"/>
    <w:link w:val="ContactParaChar"/>
    <w:rsid w:val="000450BE"/>
    <w:pPr>
      <w:spacing w:after="0" w:line="240" w:lineRule="auto"/>
    </w:pPr>
    <w:rPr>
      <w:rFonts w:eastAsia="Times New Roman"/>
      <w:lang w:val="en-US"/>
    </w:rPr>
  </w:style>
  <w:style w:type="paragraph" w:customStyle="1" w:styleId="ReleaseStatus">
    <w:name w:val="ReleaseStatus"/>
    <w:basedOn w:val="Normale"/>
    <w:rsid w:val="000450BE"/>
    <w:pPr>
      <w:spacing w:after="0" w:line="240" w:lineRule="auto"/>
    </w:pPr>
    <w:rPr>
      <w:rFonts w:eastAsia="Times New Roman"/>
      <w:lang w:val="en-US"/>
    </w:rPr>
  </w:style>
  <w:style w:type="paragraph" w:customStyle="1" w:styleId="ContactName1">
    <w:name w:val="ContactName1"/>
    <w:basedOn w:val="ContactPara"/>
    <w:link w:val="ContactName1Char"/>
    <w:rsid w:val="000450BE"/>
  </w:style>
  <w:style w:type="character" w:customStyle="1" w:styleId="ContactParaChar">
    <w:name w:val="ContactPara Char"/>
    <w:link w:val="ContactPara"/>
    <w:rsid w:val="000450BE"/>
    <w:rPr>
      <w:rFonts w:ascii="Arial" w:eastAsia="Times New Roman" w:hAnsi="Arial" w:cs="Arial"/>
      <w:sz w:val="20"/>
      <w:szCs w:val="20"/>
      <w:lang w:val="en-US"/>
    </w:rPr>
  </w:style>
  <w:style w:type="character" w:customStyle="1" w:styleId="ContactName1Char">
    <w:name w:val="ContactName1 Char"/>
    <w:link w:val="ContactName1"/>
    <w:rsid w:val="000450BE"/>
    <w:rPr>
      <w:rFonts w:ascii="Arial" w:eastAsia="Times New Roman" w:hAnsi="Arial" w:cs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18348D"/>
    <w:pPr>
      <w:spacing w:after="0" w:line="240" w:lineRule="auto"/>
    </w:pPr>
    <w:rPr>
      <w:rFonts w:ascii="Arial" w:hAnsi="Arial" w:cs="Arial"/>
      <w:sz w:val="20"/>
      <w:szCs w:val="20"/>
      <w:lang w:val="fr-FR"/>
    </w:rPr>
  </w:style>
  <w:style w:type="character" w:styleId="Menzionenonrisolta">
    <w:name w:val="Unresolved Mention"/>
    <w:basedOn w:val="Carpredefinitoparagrafo"/>
    <w:uiPriority w:val="99"/>
    <w:rsid w:val="0018348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-e-a.ne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-e-a.net/resources/etri-2022-energy-transition-readiness-index-repor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eat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ton.com/it/it-it/products/energy-storage.html?percolateContentId=post%3A45405898?source=post:158160240063568494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atoncor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ton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3746A4149704FBF2CE20C7BB24A27" ma:contentTypeVersion="6" ma:contentTypeDescription="Create a new document." ma:contentTypeScope="" ma:versionID="01442e8b29f56d385b63fc6296aa4bf9">
  <xsd:schema xmlns:xsd="http://www.w3.org/2001/XMLSchema" xmlns:xs="http://www.w3.org/2001/XMLSchema" xmlns:p="http://schemas.microsoft.com/office/2006/metadata/properties" xmlns:ns2="d9e706fb-7d34-4ba9-afeb-f4273f79e79c" xmlns:ns3="02fd0e76-892b-45a0-820d-c9a209016185" targetNamespace="http://schemas.microsoft.com/office/2006/metadata/properties" ma:root="true" ma:fieldsID="7176c19fb93be71d0f0cf249392b1b63" ns2:_="" ns3:_="">
    <xsd:import namespace="d9e706fb-7d34-4ba9-afeb-f4273f79e79c"/>
    <xsd:import namespace="02fd0e76-892b-45a0-820d-c9a209016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06fb-7d34-4ba9-afeb-f4273f79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0e76-892b-45a0-820d-c9a209016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A7224-3332-4668-A5D0-D71264FDD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B7998-67E2-4AA3-87E1-412862B8A8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FA187-1A42-4A69-B12A-FCCA6F067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2F1187-94EF-461D-A88A-A8121A95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706fb-7d34-4ba9-afeb-f4273f79e79c"/>
    <ds:schemaRef ds:uri="02fd0e76-892b-45a0-820d-c9a209016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Fajgenbaum</dc:creator>
  <cp:lastModifiedBy>Chiara Parma</cp:lastModifiedBy>
  <cp:revision>55</cp:revision>
  <dcterms:created xsi:type="dcterms:W3CDTF">2022-07-12T08:14:00Z</dcterms:created>
  <dcterms:modified xsi:type="dcterms:W3CDTF">2022-12-13T09:27:00Z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0x01010070E3746A4149704FBF2CE20C7BB24A27</vt:lpwstr>
  </property>
</Properties>
</file>