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27FB" w14:textId="4FA45FAE" w:rsidR="00AD6F53" w:rsidRPr="001012F0" w:rsidRDefault="00D04BE0" w:rsidP="001B3453">
      <w:pPr>
        <w:contextualSpacing/>
        <w:jc w:val="both"/>
        <w:rPr>
          <w:lang w:val="it-IT"/>
        </w:rPr>
      </w:pPr>
      <w:r w:rsidRPr="0006543E">
        <w:rPr>
          <w:rFonts w:ascii="Calibri" w:eastAsia="Times New Roman" w:hAnsi="Calibri" w:cs="Arial"/>
          <w:b/>
          <w:kern w:val="36"/>
          <w:sz w:val="22"/>
          <w:szCs w:val="22"/>
          <w:lang w:val="it-IT"/>
        </w:rPr>
        <w:t xml:space="preserve">Outlook 2023, </w:t>
      </w:r>
      <w:r w:rsidR="00AD6F53" w:rsidRPr="0006543E">
        <w:rPr>
          <w:rFonts w:ascii="Calibri" w:eastAsia="Times New Roman" w:hAnsi="Calibri" w:cs="Arial"/>
          <w:b/>
          <w:kern w:val="36"/>
          <w:sz w:val="22"/>
          <w:szCs w:val="22"/>
          <w:lang w:val="it-IT"/>
        </w:rPr>
        <w:t>private asset</w:t>
      </w:r>
      <w:r w:rsidRPr="0006543E">
        <w:rPr>
          <w:rFonts w:ascii="Calibri" w:eastAsia="Times New Roman" w:hAnsi="Calibri" w:cs="Arial"/>
          <w:b/>
          <w:kern w:val="36"/>
          <w:sz w:val="22"/>
          <w:szCs w:val="22"/>
          <w:lang w:val="it-IT"/>
        </w:rPr>
        <w:t>:</w:t>
      </w:r>
      <w:r w:rsidR="009F3631">
        <w:rPr>
          <w:rFonts w:ascii="Calibri" w:eastAsia="Times New Roman" w:hAnsi="Calibri" w:cs="Arial"/>
          <w:b/>
          <w:kern w:val="36"/>
          <w:sz w:val="22"/>
          <w:szCs w:val="22"/>
          <w:lang w:val="it-IT"/>
        </w:rPr>
        <w:t xml:space="preserve"> </w:t>
      </w:r>
      <w:r w:rsidR="005073E1">
        <w:rPr>
          <w:rFonts w:ascii="Calibri" w:eastAsia="Times New Roman" w:hAnsi="Calibri" w:cs="Arial"/>
          <w:b/>
          <w:kern w:val="36"/>
          <w:sz w:val="22"/>
          <w:szCs w:val="22"/>
          <w:lang w:val="it-IT"/>
        </w:rPr>
        <w:t xml:space="preserve">tre </w:t>
      </w:r>
      <w:r w:rsidR="009F3631">
        <w:rPr>
          <w:rFonts w:ascii="Calibri" w:eastAsia="Times New Roman" w:hAnsi="Calibri" w:cs="Arial"/>
          <w:b/>
          <w:kern w:val="36"/>
          <w:sz w:val="22"/>
          <w:szCs w:val="22"/>
          <w:lang w:val="it-IT"/>
        </w:rPr>
        <w:t xml:space="preserve">elementi </w:t>
      </w:r>
      <w:r w:rsidR="005073E1">
        <w:rPr>
          <w:rFonts w:ascii="Calibri" w:eastAsia="Times New Roman" w:hAnsi="Calibri" w:cs="Arial"/>
          <w:b/>
          <w:kern w:val="36"/>
          <w:sz w:val="22"/>
          <w:szCs w:val="22"/>
          <w:lang w:val="it-IT"/>
        </w:rPr>
        <w:t>per</w:t>
      </w:r>
      <w:r w:rsidR="009F3631">
        <w:rPr>
          <w:rFonts w:ascii="Calibri" w:eastAsia="Times New Roman" w:hAnsi="Calibri" w:cs="Arial"/>
          <w:b/>
          <w:kern w:val="36"/>
          <w:sz w:val="22"/>
          <w:szCs w:val="22"/>
          <w:lang w:val="it-IT"/>
        </w:rPr>
        <w:t xml:space="preserve"> portafogli resilienti</w:t>
      </w:r>
    </w:p>
    <w:p w14:paraId="4DF8FF02" w14:textId="094BB445" w:rsidR="00D04BE0" w:rsidRPr="0006543E" w:rsidRDefault="00D04BE0" w:rsidP="001B3453">
      <w:pPr>
        <w:pStyle w:val="name"/>
        <w:shd w:val="clear" w:color="auto" w:fill="FFFFFF"/>
        <w:spacing w:before="0" w:beforeAutospacing="0" w:after="0" w:afterAutospacing="0"/>
        <w:contextualSpacing/>
        <w:jc w:val="both"/>
        <w:outlineLvl w:val="0"/>
        <w:rPr>
          <w:rFonts w:ascii="Calibri" w:eastAsia="Times New Roman" w:hAnsi="Calibri" w:cs="Arial"/>
          <w:b/>
          <w:kern w:val="36"/>
          <w:sz w:val="22"/>
          <w:szCs w:val="22"/>
          <w:lang w:val="it-IT"/>
        </w:rPr>
      </w:pPr>
    </w:p>
    <w:p w14:paraId="1109DF0A" w14:textId="0F58B452" w:rsidR="00A3231E" w:rsidRPr="0006543E" w:rsidRDefault="00A3231E" w:rsidP="001B3453">
      <w:pPr>
        <w:pStyle w:val="name"/>
        <w:shd w:val="clear" w:color="auto" w:fill="FFFFFF"/>
        <w:spacing w:before="0" w:beforeAutospacing="0" w:after="0" w:afterAutospacing="0"/>
        <w:contextualSpacing/>
        <w:jc w:val="both"/>
        <w:outlineLvl w:val="0"/>
        <w:rPr>
          <w:rFonts w:ascii="Calibri" w:hAnsi="Calibri" w:cs="Arial"/>
          <w:b/>
          <w:sz w:val="22"/>
          <w:szCs w:val="22"/>
          <w:lang w:val="en-US"/>
        </w:rPr>
      </w:pPr>
      <w:r w:rsidRPr="0006543E">
        <w:rPr>
          <w:rFonts w:ascii="Calibri" w:hAnsi="Calibri"/>
          <w:sz w:val="22"/>
          <w:szCs w:val="22"/>
          <w:lang w:val="en-US"/>
        </w:rPr>
        <w:t xml:space="preserve">A </w:t>
      </w:r>
      <w:proofErr w:type="spellStart"/>
      <w:r w:rsidRPr="0006543E">
        <w:rPr>
          <w:rFonts w:ascii="Calibri" w:hAnsi="Calibri"/>
          <w:sz w:val="22"/>
          <w:szCs w:val="22"/>
          <w:lang w:val="en-US"/>
        </w:rPr>
        <w:t>cura</w:t>
      </w:r>
      <w:proofErr w:type="spellEnd"/>
      <w:r w:rsidRPr="0006543E">
        <w:rPr>
          <w:rFonts w:ascii="Calibri" w:hAnsi="Calibri"/>
          <w:sz w:val="22"/>
          <w:szCs w:val="22"/>
          <w:lang w:val="en-US"/>
        </w:rPr>
        <w:t xml:space="preserve"> di</w:t>
      </w:r>
      <w:r w:rsidRPr="0006543E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06543E">
        <w:rPr>
          <w:rFonts w:ascii="Calibri" w:hAnsi="Calibri" w:cs="Arial"/>
          <w:b/>
          <w:sz w:val="22"/>
          <w:szCs w:val="22"/>
          <w:lang w:val="en-US"/>
        </w:rPr>
        <w:t xml:space="preserve">Nils Rode, Chief Investment Officer, Schroders Capital </w:t>
      </w:r>
    </w:p>
    <w:p w14:paraId="590A6B27" w14:textId="77777777" w:rsidR="00D04BE0" w:rsidRPr="0006543E" w:rsidRDefault="00D04BE0" w:rsidP="001B3453">
      <w:pPr>
        <w:pStyle w:val="name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02ED3F17" w14:textId="2885DC66" w:rsidR="00015B1D" w:rsidRPr="0006543E" w:rsidRDefault="00015B1D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r w:rsidRPr="001012F0">
        <w:rPr>
          <w:rFonts w:ascii="Calibri" w:hAnsi="Calibri" w:cs="Arial"/>
          <w:b/>
          <w:bCs/>
          <w:sz w:val="22"/>
          <w:szCs w:val="22"/>
          <w:lang w:val="it-IT"/>
        </w:rPr>
        <w:t xml:space="preserve">Nel 2023 gli investitori </w:t>
      </w:r>
      <w:r w:rsidR="00AD6F53" w:rsidRPr="001012F0">
        <w:rPr>
          <w:rFonts w:ascii="Calibri" w:hAnsi="Calibri" w:cs="Arial"/>
          <w:b/>
          <w:bCs/>
          <w:sz w:val="22"/>
          <w:szCs w:val="22"/>
          <w:lang w:val="it-IT"/>
        </w:rPr>
        <w:t xml:space="preserve">in private asset </w:t>
      </w:r>
      <w:r w:rsidRPr="001012F0">
        <w:rPr>
          <w:rFonts w:ascii="Calibri" w:hAnsi="Calibri" w:cs="Arial"/>
          <w:b/>
          <w:bCs/>
          <w:sz w:val="22"/>
          <w:szCs w:val="22"/>
          <w:lang w:val="it-IT"/>
        </w:rPr>
        <w:t>dovranno affrontare un complesso mix di sfide e rischi.</w:t>
      </w:r>
      <w:r w:rsidR="00AD6F53" w:rsidRPr="001012F0">
        <w:rPr>
          <w:rFonts w:ascii="Calibri" w:hAnsi="Calibri" w:cs="Arial"/>
          <w:b/>
          <w:bCs/>
          <w:sz w:val="22"/>
          <w:szCs w:val="22"/>
          <w:lang w:val="it-IT"/>
        </w:rPr>
        <w:t xml:space="preserve"> </w:t>
      </w:r>
      <w:r w:rsidR="00AD6F53" w:rsidRPr="0006543E">
        <w:rPr>
          <w:rFonts w:ascii="Calibri" w:hAnsi="Calibri" w:cs="Arial"/>
          <w:sz w:val="22"/>
          <w:szCs w:val="22"/>
          <w:lang w:val="it-IT"/>
        </w:rPr>
        <w:t>L</w:t>
      </w:r>
      <w:r w:rsidRPr="0006543E">
        <w:rPr>
          <w:rFonts w:ascii="Calibri" w:hAnsi="Calibri" w:cs="Arial"/>
          <w:sz w:val="22"/>
          <w:szCs w:val="22"/>
          <w:lang w:val="it-IT"/>
        </w:rPr>
        <w:t xml:space="preserve">a probabilità di una recessione prolungata è </w:t>
      </w:r>
      <w:r w:rsidR="00AD6F53" w:rsidRPr="0006543E">
        <w:rPr>
          <w:rFonts w:ascii="Calibri" w:hAnsi="Calibri" w:cs="Arial"/>
          <w:sz w:val="22"/>
          <w:szCs w:val="22"/>
          <w:lang w:val="it-IT"/>
        </w:rPr>
        <w:t>concreta, l</w:t>
      </w:r>
      <w:r w:rsidRPr="0006543E">
        <w:rPr>
          <w:rFonts w:ascii="Calibri" w:hAnsi="Calibri" w:cs="Arial"/>
          <w:sz w:val="22"/>
          <w:szCs w:val="22"/>
          <w:lang w:val="it-IT"/>
        </w:rPr>
        <w:t>’inflazione è elevata</w:t>
      </w:r>
      <w:r w:rsidR="00AD6F53" w:rsidRPr="0006543E">
        <w:rPr>
          <w:rFonts w:ascii="Calibri" w:hAnsi="Calibri" w:cs="Arial"/>
          <w:sz w:val="22"/>
          <w:szCs w:val="22"/>
          <w:lang w:val="it-IT"/>
        </w:rPr>
        <w:t>, i</w:t>
      </w:r>
      <w:r w:rsidRPr="0006543E">
        <w:rPr>
          <w:rFonts w:ascii="Calibri" w:hAnsi="Calibri" w:cs="Arial"/>
          <w:sz w:val="22"/>
          <w:szCs w:val="22"/>
          <w:lang w:val="it-IT"/>
        </w:rPr>
        <w:t xml:space="preserve"> tassi di interesse sono in aumento, mentre il debito complessivo è elevato. La guerra in Ucraina continua, così come la conseguente crisi energetica. Anche se questi fattori scomparissero da un giorno all’altro, </w:t>
      </w:r>
      <w:r w:rsidR="00AD6F53" w:rsidRPr="0006543E">
        <w:rPr>
          <w:rFonts w:ascii="Calibri" w:hAnsi="Calibri" w:cs="Arial"/>
          <w:sz w:val="22"/>
          <w:szCs w:val="22"/>
          <w:lang w:val="it-IT"/>
        </w:rPr>
        <w:t xml:space="preserve">rimarrebbero </w:t>
      </w:r>
      <w:r w:rsidRPr="0006543E">
        <w:rPr>
          <w:rFonts w:ascii="Calibri" w:hAnsi="Calibri" w:cs="Arial"/>
          <w:sz w:val="22"/>
          <w:szCs w:val="22"/>
          <w:lang w:val="it-IT"/>
        </w:rPr>
        <w:t>problemi attuali come la disuguaglianza sociale e il populismo.</w:t>
      </w:r>
    </w:p>
    <w:p w14:paraId="74DCE382" w14:textId="77777777" w:rsidR="00161B8D" w:rsidRPr="0006543E" w:rsidRDefault="00161B8D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</w:p>
    <w:p w14:paraId="428B958D" w14:textId="7518AFF6" w:rsidR="00015B1D" w:rsidRPr="0006543E" w:rsidRDefault="002F3084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Ad ogni modo, i</w:t>
      </w:r>
      <w:r w:rsidR="00161B8D" w:rsidRPr="0006543E">
        <w:rPr>
          <w:rFonts w:ascii="Calibri" w:hAnsi="Calibri" w:cs="Arial"/>
          <w:sz w:val="22"/>
          <w:szCs w:val="22"/>
          <w:lang w:val="it-IT"/>
        </w:rPr>
        <w:t xml:space="preserve"> private asset</w:t>
      </w:r>
      <w:r w:rsidR="00015B1D" w:rsidRPr="0006543E">
        <w:rPr>
          <w:rFonts w:ascii="Calibri" w:hAnsi="Calibri" w:cs="Arial"/>
          <w:sz w:val="22"/>
          <w:szCs w:val="22"/>
          <w:lang w:val="it-IT"/>
        </w:rPr>
        <w:t xml:space="preserve"> sono </w:t>
      </w:r>
      <w:r w:rsidR="00161B8D" w:rsidRPr="0006543E">
        <w:rPr>
          <w:rFonts w:ascii="Calibri" w:hAnsi="Calibri" w:cs="Arial"/>
          <w:sz w:val="22"/>
          <w:szCs w:val="22"/>
          <w:lang w:val="it-IT"/>
        </w:rPr>
        <w:t xml:space="preserve">per loro </w:t>
      </w:r>
      <w:r w:rsidR="00015B1D" w:rsidRPr="0006543E">
        <w:rPr>
          <w:rFonts w:ascii="Calibri" w:hAnsi="Calibri" w:cs="Arial"/>
          <w:sz w:val="22"/>
          <w:szCs w:val="22"/>
          <w:lang w:val="it-IT"/>
        </w:rPr>
        <w:t>natura</w:t>
      </w:r>
      <w:r w:rsidR="00161B8D" w:rsidRPr="0006543E">
        <w:rPr>
          <w:rFonts w:ascii="Calibri" w:hAnsi="Calibri" w:cs="Arial"/>
          <w:sz w:val="22"/>
          <w:szCs w:val="22"/>
          <w:lang w:val="it-IT"/>
        </w:rPr>
        <w:t xml:space="preserve"> investimenti</w:t>
      </w:r>
      <w:r w:rsidR="00015B1D" w:rsidRPr="0006543E">
        <w:rPr>
          <w:rFonts w:ascii="Calibri" w:hAnsi="Calibri" w:cs="Arial"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sz w:val="22"/>
          <w:szCs w:val="22"/>
          <w:lang w:val="it-IT"/>
        </w:rPr>
        <w:t>da valutare nel</w:t>
      </w:r>
      <w:r w:rsidR="00015B1D" w:rsidRPr="0006543E">
        <w:rPr>
          <w:rFonts w:ascii="Calibri" w:hAnsi="Calibri" w:cs="Arial"/>
          <w:sz w:val="22"/>
          <w:szCs w:val="22"/>
          <w:lang w:val="it-IT"/>
        </w:rPr>
        <w:t xml:space="preserve"> lungo termine. In particolare, </w:t>
      </w:r>
      <w:r w:rsidR="00161B8D" w:rsidRPr="0006543E">
        <w:rPr>
          <w:rFonts w:ascii="Calibri" w:hAnsi="Calibri" w:cs="Arial"/>
          <w:sz w:val="22"/>
          <w:szCs w:val="22"/>
          <w:lang w:val="it-IT"/>
        </w:rPr>
        <w:t xml:space="preserve">ci sono </w:t>
      </w:r>
      <w:r w:rsidR="00015B1D" w:rsidRPr="001012F0">
        <w:rPr>
          <w:rFonts w:ascii="Calibri" w:hAnsi="Calibri" w:cs="Arial"/>
          <w:b/>
          <w:bCs/>
          <w:sz w:val="22"/>
          <w:szCs w:val="22"/>
          <w:lang w:val="it-IT"/>
        </w:rPr>
        <w:t xml:space="preserve">trend di lungo periodo </w:t>
      </w:r>
      <w:r w:rsidR="00161B8D" w:rsidRPr="001012F0">
        <w:rPr>
          <w:rFonts w:ascii="Calibri" w:hAnsi="Calibri" w:cs="Arial"/>
          <w:b/>
          <w:bCs/>
          <w:sz w:val="22"/>
          <w:szCs w:val="22"/>
          <w:lang w:val="it-IT"/>
        </w:rPr>
        <w:t xml:space="preserve">che </w:t>
      </w:r>
      <w:r w:rsidR="00015B1D" w:rsidRPr="001012F0">
        <w:rPr>
          <w:rFonts w:ascii="Calibri" w:hAnsi="Calibri" w:cs="Arial"/>
          <w:b/>
          <w:bCs/>
          <w:sz w:val="22"/>
          <w:szCs w:val="22"/>
          <w:lang w:val="it-IT"/>
        </w:rPr>
        <w:t>dovrebbero fornire una spinta propulsiva</w:t>
      </w:r>
      <w:r w:rsidR="00015B1D" w:rsidRPr="0006543E">
        <w:rPr>
          <w:rFonts w:ascii="Calibri" w:hAnsi="Calibri" w:cs="Arial"/>
          <w:sz w:val="22"/>
          <w:szCs w:val="22"/>
          <w:lang w:val="it-IT"/>
        </w:rPr>
        <w:t>:</w:t>
      </w:r>
      <w:r w:rsidR="00161B8D" w:rsidRPr="0006543E">
        <w:rPr>
          <w:rFonts w:ascii="Calibri" w:hAnsi="Calibri" w:cs="Arial"/>
          <w:sz w:val="22"/>
          <w:szCs w:val="22"/>
          <w:lang w:val="it-IT"/>
        </w:rPr>
        <w:t xml:space="preserve"> </w:t>
      </w:r>
      <w:r w:rsidR="00161B8D" w:rsidRPr="001012F0">
        <w:rPr>
          <w:rFonts w:ascii="Calibri" w:hAnsi="Calibri" w:cs="Arial"/>
          <w:b/>
          <w:bCs/>
          <w:sz w:val="22"/>
          <w:szCs w:val="22"/>
          <w:lang w:val="it-IT"/>
        </w:rPr>
        <w:t>c</w:t>
      </w:r>
      <w:r w:rsidR="00015B1D" w:rsidRPr="001012F0">
        <w:rPr>
          <w:rFonts w:ascii="Calibri" w:hAnsi="Calibri" w:cs="Arial"/>
          <w:b/>
          <w:bCs/>
          <w:sz w:val="22"/>
          <w:szCs w:val="22"/>
          <w:lang w:val="it-IT"/>
        </w:rPr>
        <w:t>ambiamento climatico e decarbonizzazione</w:t>
      </w:r>
      <w:r w:rsidR="00161B8D" w:rsidRPr="001012F0">
        <w:rPr>
          <w:rFonts w:ascii="Calibri" w:hAnsi="Calibri" w:cs="Arial"/>
          <w:b/>
          <w:bCs/>
          <w:sz w:val="22"/>
          <w:szCs w:val="22"/>
          <w:lang w:val="it-IT"/>
        </w:rPr>
        <w:t>, r</w:t>
      </w:r>
      <w:r w:rsidR="00015B1D" w:rsidRPr="001012F0">
        <w:rPr>
          <w:rFonts w:ascii="Calibri" w:hAnsi="Calibri" w:cs="Arial"/>
          <w:b/>
          <w:bCs/>
          <w:sz w:val="22"/>
          <w:szCs w:val="22"/>
          <w:lang w:val="it-IT"/>
        </w:rPr>
        <w:t>ivoluzione tecnologica</w:t>
      </w:r>
      <w:r w:rsidR="00161B8D" w:rsidRPr="001012F0">
        <w:rPr>
          <w:rFonts w:ascii="Calibri" w:hAnsi="Calibri" w:cs="Arial"/>
          <w:b/>
          <w:bCs/>
          <w:sz w:val="22"/>
          <w:szCs w:val="22"/>
          <w:lang w:val="it-IT"/>
        </w:rPr>
        <w:t>, s</w:t>
      </w:r>
      <w:r w:rsidR="00015B1D" w:rsidRPr="001012F0">
        <w:rPr>
          <w:rFonts w:ascii="Calibri" w:hAnsi="Calibri" w:cs="Arial"/>
          <w:b/>
          <w:bCs/>
          <w:sz w:val="22"/>
          <w:szCs w:val="22"/>
          <w:lang w:val="it-IT"/>
        </w:rPr>
        <w:t>tili di vita sostenibili</w:t>
      </w:r>
      <w:r w:rsidR="00161B8D" w:rsidRPr="001012F0">
        <w:rPr>
          <w:rFonts w:ascii="Calibri" w:hAnsi="Calibri" w:cs="Arial"/>
          <w:b/>
          <w:bCs/>
          <w:sz w:val="22"/>
          <w:szCs w:val="22"/>
          <w:lang w:val="it-IT"/>
        </w:rPr>
        <w:t>, i</w:t>
      </w:r>
      <w:r w:rsidR="00015B1D" w:rsidRPr="001012F0">
        <w:rPr>
          <w:rFonts w:ascii="Calibri" w:hAnsi="Calibri" w:cs="Arial"/>
          <w:b/>
          <w:bCs/>
          <w:sz w:val="22"/>
          <w:szCs w:val="22"/>
          <w:lang w:val="it-IT"/>
        </w:rPr>
        <w:t>nvecchiamento della popolazione</w:t>
      </w:r>
      <w:r w:rsidR="00161B8D" w:rsidRPr="001012F0">
        <w:rPr>
          <w:rFonts w:ascii="Calibri" w:hAnsi="Calibri" w:cs="Arial"/>
          <w:b/>
          <w:bCs/>
          <w:sz w:val="22"/>
          <w:szCs w:val="22"/>
          <w:lang w:val="it-IT"/>
        </w:rPr>
        <w:t xml:space="preserve"> e c</w:t>
      </w:r>
      <w:r w:rsidR="00015B1D" w:rsidRPr="001012F0">
        <w:rPr>
          <w:rFonts w:ascii="Calibri" w:hAnsi="Calibri" w:cs="Arial"/>
          <w:b/>
          <w:bCs/>
          <w:sz w:val="22"/>
          <w:szCs w:val="22"/>
          <w:lang w:val="it-IT"/>
        </w:rPr>
        <w:t>rescita dei mercati emergenti e di frontiera</w:t>
      </w:r>
      <w:r w:rsidR="00161B8D" w:rsidRPr="0006543E">
        <w:rPr>
          <w:rFonts w:ascii="Calibri" w:hAnsi="Calibri" w:cs="Arial"/>
          <w:sz w:val="22"/>
          <w:szCs w:val="22"/>
          <w:lang w:val="it-IT"/>
        </w:rPr>
        <w:t>.</w:t>
      </w:r>
    </w:p>
    <w:p w14:paraId="7C1A3960" w14:textId="77777777" w:rsidR="00161B8D" w:rsidRPr="0006543E" w:rsidRDefault="00161B8D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</w:p>
    <w:p w14:paraId="0D40E1BC" w14:textId="4F2368DA" w:rsidR="00801C8E" w:rsidRPr="0006543E" w:rsidRDefault="00E56324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r w:rsidRPr="0006543E">
        <w:rPr>
          <w:rFonts w:ascii="Calibri" w:hAnsi="Calibri" w:cs="Arial"/>
          <w:sz w:val="22"/>
          <w:szCs w:val="22"/>
          <w:lang w:val="it-IT"/>
        </w:rPr>
        <w:t>Le sfide a breve termine che gli investitori si trovano ad affrontare oggi non incidono sull’urgente necessità di affrontare il cambiamento climatico e la decarbonizzazione. Nessun contesto economico, per quanto turbolento, potrà fermare la rivoluzione tecnologica e il passaggio a stili di vita più sostenibili.</w:t>
      </w:r>
      <w:r w:rsidR="00161B8D" w:rsidRPr="0006543E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06543E">
        <w:rPr>
          <w:rFonts w:ascii="Calibri" w:hAnsi="Calibri" w:cs="Arial"/>
          <w:sz w:val="22"/>
          <w:szCs w:val="22"/>
          <w:lang w:val="it-IT"/>
        </w:rPr>
        <w:t xml:space="preserve">La popolazione mondiale, inoltre, continua a invecchiare e a crescere, modificando di conseguenza i modelli di domanda e offerta. Prevediamo che </w:t>
      </w:r>
      <w:r w:rsidRPr="001012F0">
        <w:rPr>
          <w:rFonts w:ascii="Calibri" w:hAnsi="Calibri" w:cs="Arial"/>
          <w:b/>
          <w:bCs/>
          <w:sz w:val="22"/>
          <w:szCs w:val="22"/>
          <w:lang w:val="it-IT"/>
        </w:rPr>
        <w:t>la combinazione di invecchiamento della popolazione e bassi tassi di natalità eserciterà una pressione sui tassi di interesse reali nel lungo periodo, in quanto ridurrà la forza lavoro disponibile in molti Paesi</w:t>
      </w:r>
      <w:r w:rsidRPr="0006543E">
        <w:rPr>
          <w:rFonts w:ascii="Calibri" w:hAnsi="Calibri" w:cs="Arial"/>
          <w:sz w:val="22"/>
          <w:szCs w:val="22"/>
          <w:lang w:val="it-IT"/>
        </w:rPr>
        <w:t>. Anche i mercati emergenti e di frontiera continueranno a crescere, e i Paesi leader di questa crescita probabilmente si evolveranno nel tempo.</w:t>
      </w:r>
      <w:r w:rsidR="00801C8E" w:rsidRPr="0006543E">
        <w:rPr>
          <w:rFonts w:ascii="Calibri" w:hAnsi="Calibri" w:cs="Arial"/>
          <w:sz w:val="22"/>
          <w:szCs w:val="22"/>
          <w:lang w:val="it-IT"/>
        </w:rPr>
        <w:t xml:space="preserve"> </w:t>
      </w:r>
    </w:p>
    <w:p w14:paraId="326D5E04" w14:textId="77777777" w:rsidR="00161B8D" w:rsidRPr="0006543E" w:rsidRDefault="00161B8D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</w:p>
    <w:p w14:paraId="3F63326A" w14:textId="7430B44A" w:rsidR="00801C8E" w:rsidRPr="0006543E" w:rsidRDefault="00801C8E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r w:rsidRPr="0006543E">
        <w:rPr>
          <w:rFonts w:ascii="Calibri" w:hAnsi="Calibri" w:cs="Arial"/>
          <w:sz w:val="22"/>
          <w:szCs w:val="22"/>
          <w:lang w:val="it-IT"/>
        </w:rPr>
        <w:t xml:space="preserve">Tuttavia, il prossimo futuro sarà indubbiamente difficile. Ecco </w:t>
      </w:r>
      <w:r w:rsidRPr="001012F0">
        <w:rPr>
          <w:rFonts w:ascii="Calibri" w:hAnsi="Calibri" w:cs="Arial"/>
          <w:b/>
          <w:bCs/>
          <w:sz w:val="22"/>
          <w:szCs w:val="22"/>
          <w:lang w:val="it-IT"/>
        </w:rPr>
        <w:t>tre elementi chiave</w:t>
      </w:r>
      <w:r w:rsidRPr="0006543E">
        <w:rPr>
          <w:rFonts w:ascii="Calibri" w:hAnsi="Calibri" w:cs="Arial"/>
          <w:sz w:val="22"/>
          <w:szCs w:val="22"/>
          <w:lang w:val="it-IT"/>
        </w:rPr>
        <w:t xml:space="preserve"> su cui gli investitori possono concentrarsi </w:t>
      </w:r>
      <w:r w:rsidRPr="001012F0">
        <w:rPr>
          <w:rFonts w:ascii="Calibri" w:hAnsi="Calibri" w:cs="Arial"/>
          <w:b/>
          <w:bCs/>
          <w:sz w:val="22"/>
          <w:szCs w:val="22"/>
          <w:lang w:val="it-IT"/>
        </w:rPr>
        <w:t xml:space="preserve">per garantire che le allocazioni di </w:t>
      </w:r>
      <w:r w:rsidR="000C73D4" w:rsidRPr="001012F0">
        <w:rPr>
          <w:rFonts w:ascii="Calibri" w:hAnsi="Calibri" w:cs="Arial"/>
          <w:b/>
          <w:bCs/>
          <w:sz w:val="22"/>
          <w:szCs w:val="22"/>
          <w:lang w:val="it-IT"/>
        </w:rPr>
        <w:t xml:space="preserve">private </w:t>
      </w:r>
      <w:r w:rsidRPr="001012F0">
        <w:rPr>
          <w:rFonts w:ascii="Calibri" w:hAnsi="Calibri" w:cs="Arial"/>
          <w:b/>
          <w:bCs/>
          <w:sz w:val="22"/>
          <w:szCs w:val="22"/>
          <w:lang w:val="it-IT"/>
        </w:rPr>
        <w:t>asset siano il più possibile resistenti alle sfide del mercato a breve termine</w:t>
      </w:r>
      <w:r w:rsidRPr="0006543E">
        <w:rPr>
          <w:rFonts w:ascii="Calibri" w:hAnsi="Calibri" w:cs="Arial"/>
          <w:sz w:val="22"/>
          <w:szCs w:val="22"/>
          <w:lang w:val="it-IT"/>
        </w:rPr>
        <w:t xml:space="preserve">. </w:t>
      </w:r>
    </w:p>
    <w:p w14:paraId="1B56A26D" w14:textId="77777777" w:rsidR="00161B8D" w:rsidRPr="0006543E" w:rsidRDefault="00161B8D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</w:p>
    <w:p w14:paraId="5D7187EC" w14:textId="0ACE55A9" w:rsidR="00685AD4" w:rsidRPr="0006543E" w:rsidRDefault="0006543E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eastAsia="Times New Roman" w:hAnsi="Calibri" w:cs="Arial"/>
          <w:bCs/>
          <w:sz w:val="22"/>
          <w:szCs w:val="22"/>
          <w:u w:val="single"/>
          <w:lang w:val="it-IT"/>
        </w:rPr>
      </w:pPr>
      <w:r w:rsidRPr="0006543E">
        <w:rPr>
          <w:rFonts w:ascii="Calibri" w:eastAsia="Times New Roman" w:hAnsi="Calibri" w:cs="Arial"/>
          <w:bCs/>
          <w:sz w:val="22"/>
          <w:szCs w:val="22"/>
          <w:u w:val="single"/>
          <w:lang w:val="it-IT"/>
        </w:rPr>
        <w:t>1)</w:t>
      </w:r>
      <w:r>
        <w:rPr>
          <w:rFonts w:ascii="Calibri" w:eastAsia="Times New Roman" w:hAnsi="Calibri" w:cs="Arial"/>
          <w:bCs/>
          <w:sz w:val="22"/>
          <w:szCs w:val="22"/>
          <w:u w:val="single"/>
          <w:lang w:val="it-IT"/>
        </w:rPr>
        <w:t xml:space="preserve"> </w:t>
      </w:r>
      <w:r w:rsidR="00801C8E" w:rsidRPr="0006543E">
        <w:rPr>
          <w:rFonts w:ascii="Calibri" w:eastAsia="Times New Roman" w:hAnsi="Calibri" w:cs="Arial"/>
          <w:bCs/>
          <w:sz w:val="22"/>
          <w:szCs w:val="22"/>
          <w:u w:val="single"/>
          <w:lang w:val="it-IT"/>
        </w:rPr>
        <w:t xml:space="preserve">Ritmo costante degli investimenti  </w:t>
      </w:r>
      <w:r w:rsidR="00685AD4" w:rsidRPr="0006543E">
        <w:rPr>
          <w:rFonts w:ascii="Calibri" w:eastAsia="Times New Roman" w:hAnsi="Calibri" w:cs="Arial"/>
          <w:bCs/>
          <w:sz w:val="22"/>
          <w:szCs w:val="22"/>
          <w:u w:val="single"/>
          <w:lang w:val="it-IT"/>
        </w:rPr>
        <w:t xml:space="preserve"> </w:t>
      </w:r>
    </w:p>
    <w:p w14:paraId="4444D405" w14:textId="1B5D1EC5" w:rsidR="00685AD4" w:rsidRPr="0006543E" w:rsidRDefault="00685AD4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r w:rsidRPr="0006543E">
        <w:rPr>
          <w:rFonts w:ascii="Calibri" w:hAnsi="Calibri" w:cs="Arial"/>
          <w:sz w:val="22"/>
          <w:szCs w:val="22"/>
          <w:lang w:val="it-IT"/>
        </w:rPr>
        <w:t xml:space="preserve">Mantenere un ritmo di investimento costante potrebbe essere difficile. Tuttavia, gli investitori che possono effettuare nuovi investimenti in fondi nel 2023 </w:t>
      </w:r>
      <w:r w:rsidR="000C73D4" w:rsidRPr="0006543E">
        <w:rPr>
          <w:rFonts w:ascii="Calibri" w:hAnsi="Calibri" w:cs="Arial"/>
          <w:sz w:val="22"/>
          <w:szCs w:val="22"/>
          <w:lang w:val="it-IT"/>
        </w:rPr>
        <w:t>dovrebbero essere incentivati a farlo</w:t>
      </w:r>
      <w:r w:rsidRPr="0006543E">
        <w:rPr>
          <w:rFonts w:ascii="Calibri" w:hAnsi="Calibri" w:cs="Arial"/>
          <w:sz w:val="22"/>
          <w:szCs w:val="22"/>
          <w:lang w:val="it-IT"/>
        </w:rPr>
        <w:t xml:space="preserve">. </w:t>
      </w:r>
      <w:r w:rsidRPr="001012F0">
        <w:rPr>
          <w:rFonts w:ascii="Calibri" w:hAnsi="Calibri" w:cs="Arial"/>
          <w:b/>
          <w:bCs/>
          <w:sz w:val="22"/>
          <w:szCs w:val="22"/>
          <w:lang w:val="it-IT"/>
        </w:rPr>
        <w:t>Secondo la nostra analisi, gli anni di recessione tendono a essere anni particolarmente interessanti</w:t>
      </w:r>
      <w:r w:rsidRPr="0006543E">
        <w:rPr>
          <w:rFonts w:ascii="Calibri" w:hAnsi="Calibri" w:cs="Arial"/>
          <w:sz w:val="22"/>
          <w:szCs w:val="22"/>
          <w:lang w:val="it-IT"/>
        </w:rPr>
        <w:t xml:space="preserve">. Strutturalmente, i fondi possono beneficiare della “diversificazione temporale”, che prevede l’impiego del capitale su più anni. Ciò consente ai </w:t>
      </w:r>
      <w:r w:rsidRPr="001012F0">
        <w:rPr>
          <w:rFonts w:ascii="Calibri" w:hAnsi="Calibri" w:cs="Arial"/>
          <w:b/>
          <w:bCs/>
          <w:sz w:val="22"/>
          <w:szCs w:val="22"/>
          <w:lang w:val="it-IT"/>
        </w:rPr>
        <w:t xml:space="preserve">fondi raccolti in anni di recessione di raccogliere asset a valori depressi durante </w:t>
      </w:r>
      <w:r w:rsidR="002F3084">
        <w:rPr>
          <w:rFonts w:ascii="Calibri" w:hAnsi="Calibri" w:cs="Arial"/>
          <w:b/>
          <w:bCs/>
          <w:sz w:val="22"/>
          <w:szCs w:val="22"/>
          <w:lang w:val="it-IT"/>
        </w:rPr>
        <w:t>tale</w:t>
      </w:r>
      <w:r w:rsidR="002F3084" w:rsidRPr="001012F0">
        <w:rPr>
          <w:rFonts w:ascii="Calibri" w:hAnsi="Calibri" w:cs="Arial"/>
          <w:b/>
          <w:bCs/>
          <w:sz w:val="22"/>
          <w:szCs w:val="22"/>
          <w:lang w:val="it-IT"/>
        </w:rPr>
        <w:t xml:space="preserve"> </w:t>
      </w:r>
      <w:r w:rsidRPr="001012F0">
        <w:rPr>
          <w:rFonts w:ascii="Calibri" w:hAnsi="Calibri" w:cs="Arial"/>
          <w:b/>
          <w:bCs/>
          <w:sz w:val="22"/>
          <w:szCs w:val="22"/>
          <w:lang w:val="it-IT"/>
        </w:rPr>
        <w:t>periodo</w:t>
      </w:r>
      <w:r w:rsidRPr="0006543E">
        <w:rPr>
          <w:rFonts w:ascii="Calibri" w:hAnsi="Calibri" w:cs="Arial"/>
          <w:sz w:val="22"/>
          <w:szCs w:val="22"/>
          <w:lang w:val="it-IT"/>
        </w:rPr>
        <w:t xml:space="preserve">. Gli asset possono poi essere ceduti in un secondo momento, nella fase di ripresa, quando le valutazioni sono in aumento. </w:t>
      </w:r>
    </w:p>
    <w:p w14:paraId="5111B8CB" w14:textId="77777777" w:rsidR="00161B8D" w:rsidRPr="0006543E" w:rsidRDefault="00161B8D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</w:p>
    <w:p w14:paraId="706AE4FC" w14:textId="5341B2A3" w:rsidR="00685AD4" w:rsidRPr="0006543E" w:rsidRDefault="0006543E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eastAsia="Times New Roman" w:hAnsi="Calibri" w:cs="Arial"/>
          <w:bCs/>
          <w:sz w:val="22"/>
          <w:szCs w:val="22"/>
          <w:u w:val="single"/>
          <w:lang w:val="it-IT"/>
        </w:rPr>
      </w:pPr>
      <w:r>
        <w:rPr>
          <w:rFonts w:ascii="Calibri" w:eastAsia="Times New Roman" w:hAnsi="Calibri" w:cs="Arial"/>
          <w:bCs/>
          <w:sz w:val="22"/>
          <w:szCs w:val="22"/>
          <w:u w:val="single"/>
          <w:lang w:val="it-IT"/>
        </w:rPr>
        <w:t xml:space="preserve">2) </w:t>
      </w:r>
      <w:r w:rsidR="00685AD4" w:rsidRPr="0006543E">
        <w:rPr>
          <w:rFonts w:ascii="Calibri" w:eastAsia="Times New Roman" w:hAnsi="Calibri" w:cs="Arial"/>
          <w:bCs/>
          <w:sz w:val="22"/>
          <w:szCs w:val="22"/>
          <w:u w:val="single"/>
          <w:lang w:val="it-IT"/>
        </w:rPr>
        <w:t xml:space="preserve">Strategie meno correlate </w:t>
      </w:r>
    </w:p>
    <w:p w14:paraId="2E7FC788" w14:textId="4FD55CD9" w:rsidR="00685AD4" w:rsidRPr="0006543E" w:rsidRDefault="00685AD4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r w:rsidRPr="0006543E">
        <w:rPr>
          <w:rFonts w:ascii="Calibri" w:hAnsi="Calibri" w:cs="Arial"/>
          <w:sz w:val="22"/>
          <w:szCs w:val="22"/>
          <w:lang w:val="it-IT"/>
        </w:rPr>
        <w:t xml:space="preserve">Anche se le valutazioni </w:t>
      </w:r>
      <w:r w:rsidR="000C73D4" w:rsidRPr="0006543E">
        <w:rPr>
          <w:rFonts w:ascii="Calibri" w:hAnsi="Calibri" w:cs="Arial"/>
          <w:sz w:val="22"/>
          <w:szCs w:val="22"/>
          <w:lang w:val="it-IT"/>
        </w:rPr>
        <w:t xml:space="preserve">dei private </w:t>
      </w:r>
      <w:r w:rsidRPr="0006543E">
        <w:rPr>
          <w:rFonts w:ascii="Calibri" w:hAnsi="Calibri" w:cs="Arial"/>
          <w:sz w:val="22"/>
          <w:szCs w:val="22"/>
          <w:lang w:val="it-IT"/>
        </w:rPr>
        <w:t xml:space="preserve">asset tendono a correggere in misura minore rispetto ai mercati quotati, non sono immuni da un aumento dei tassi d’interesse nominali e reali. Tuttavia, </w:t>
      </w:r>
      <w:r w:rsidRPr="001012F0">
        <w:rPr>
          <w:rFonts w:ascii="Calibri" w:hAnsi="Calibri" w:cs="Arial"/>
          <w:b/>
          <w:bCs/>
          <w:sz w:val="22"/>
          <w:szCs w:val="22"/>
          <w:lang w:val="it-IT"/>
        </w:rPr>
        <w:t>il mercato degli asset privati è cresciuto enormemente ed è diventato molto diversificato</w:t>
      </w:r>
      <w:r w:rsidRPr="0006543E">
        <w:rPr>
          <w:rFonts w:ascii="Calibri" w:hAnsi="Calibri" w:cs="Arial"/>
          <w:sz w:val="22"/>
          <w:szCs w:val="22"/>
          <w:lang w:val="it-IT"/>
        </w:rPr>
        <w:t>. In ogni asset class esistono strategie specializzate che dovrebbero resistere anche a una recessione prolungata e profonda.</w:t>
      </w:r>
      <w:r w:rsidR="000C73D4" w:rsidRPr="0006543E">
        <w:rPr>
          <w:rFonts w:ascii="Calibri" w:hAnsi="Calibri" w:cs="Arial"/>
          <w:sz w:val="22"/>
          <w:szCs w:val="22"/>
          <w:lang w:val="it-IT"/>
        </w:rPr>
        <w:t xml:space="preserve"> </w:t>
      </w:r>
    </w:p>
    <w:p w14:paraId="3FB97069" w14:textId="77777777" w:rsidR="00161B8D" w:rsidRPr="0006543E" w:rsidRDefault="00161B8D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</w:p>
    <w:p w14:paraId="68ECD86E" w14:textId="295C9DBB" w:rsidR="007D49EF" w:rsidRDefault="004B669E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r w:rsidRPr="001012F0">
        <w:rPr>
          <w:rFonts w:ascii="Calibri" w:hAnsi="Calibri" w:cs="Arial"/>
          <w:b/>
          <w:bCs/>
          <w:sz w:val="22"/>
          <w:szCs w:val="22"/>
          <w:lang w:val="it-IT"/>
        </w:rPr>
        <w:t>Riteniamo che nel 2023 ci saranno probabilmente interessanti opportunità sul fronte dei secondari, sia per le transazioni guidate da GP</w:t>
      </w:r>
      <w:r w:rsidR="000C73D4" w:rsidRPr="001012F0">
        <w:rPr>
          <w:rFonts w:ascii="Calibri" w:hAnsi="Calibri" w:cs="Arial"/>
          <w:b/>
          <w:bCs/>
          <w:sz w:val="22"/>
          <w:szCs w:val="22"/>
          <w:lang w:val="it-IT"/>
        </w:rPr>
        <w:t xml:space="preserve"> (General Partner)</w:t>
      </w:r>
      <w:r w:rsidRPr="001012F0">
        <w:rPr>
          <w:rFonts w:ascii="Calibri" w:hAnsi="Calibri" w:cs="Arial"/>
          <w:b/>
          <w:bCs/>
          <w:sz w:val="22"/>
          <w:szCs w:val="22"/>
          <w:lang w:val="it-IT"/>
        </w:rPr>
        <w:t xml:space="preserve"> che per i tradizionali secondari LP</w:t>
      </w:r>
      <w:r w:rsidR="000C73D4" w:rsidRPr="001012F0">
        <w:rPr>
          <w:rFonts w:ascii="Calibri" w:hAnsi="Calibri" w:cs="Arial"/>
          <w:b/>
          <w:bCs/>
          <w:sz w:val="22"/>
          <w:szCs w:val="22"/>
          <w:lang w:val="it-IT"/>
        </w:rPr>
        <w:t xml:space="preserve"> (Limited Partner)</w:t>
      </w:r>
      <w:r w:rsidRPr="0006543E">
        <w:rPr>
          <w:rFonts w:ascii="Calibri" w:hAnsi="Calibri" w:cs="Arial"/>
          <w:sz w:val="22"/>
          <w:szCs w:val="22"/>
          <w:lang w:val="it-IT"/>
        </w:rPr>
        <w:t>. Le transazioni guidate da GP possono trarre vantaggio dal fatto che altre vie di uscita, come le IPO e le fusioni e acquisizioni, stanno diventando sempre più difficili. Prevediamo che nel 2023 si presenteranno interessanti opportunità di acquisizione di quote di LP da venditori in difficoltà.</w:t>
      </w:r>
      <w:r w:rsidR="007D49EF" w:rsidRPr="0006543E">
        <w:rPr>
          <w:rFonts w:ascii="Calibri" w:hAnsi="Calibri" w:cs="Arial"/>
          <w:sz w:val="22"/>
          <w:szCs w:val="22"/>
          <w:lang w:val="it-IT"/>
        </w:rPr>
        <w:t xml:space="preserve"> </w:t>
      </w:r>
    </w:p>
    <w:p w14:paraId="611BC687" w14:textId="77777777" w:rsidR="005073E1" w:rsidRPr="0006543E" w:rsidRDefault="005073E1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</w:p>
    <w:p w14:paraId="203FF7A3" w14:textId="2581C627" w:rsidR="007D49EF" w:rsidRPr="0006543E" w:rsidRDefault="0006543E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i/>
          <w:iCs/>
          <w:sz w:val="22"/>
          <w:szCs w:val="22"/>
          <w:lang w:val="it-IT"/>
        </w:rPr>
      </w:pPr>
      <w:r>
        <w:rPr>
          <w:rFonts w:ascii="Calibri" w:eastAsia="Times New Roman" w:hAnsi="Calibri" w:cs="Arial"/>
          <w:bCs/>
          <w:sz w:val="22"/>
          <w:szCs w:val="22"/>
          <w:u w:val="single"/>
          <w:lang w:val="it-IT"/>
        </w:rPr>
        <w:t xml:space="preserve">3) </w:t>
      </w:r>
      <w:r w:rsidR="007D49EF" w:rsidRPr="0006543E">
        <w:rPr>
          <w:rFonts w:ascii="Calibri" w:eastAsia="Times New Roman" w:hAnsi="Calibri" w:cs="Arial"/>
          <w:bCs/>
          <w:sz w:val="22"/>
          <w:szCs w:val="22"/>
          <w:u w:val="single"/>
          <w:lang w:val="it-IT"/>
        </w:rPr>
        <w:t xml:space="preserve">Evitare l’eccesso di </w:t>
      </w:r>
      <w:r w:rsidR="009E3468" w:rsidRPr="0006543E">
        <w:rPr>
          <w:rFonts w:ascii="Calibri" w:eastAsia="Times New Roman" w:hAnsi="Calibri" w:cs="Arial"/>
          <w:bCs/>
          <w:sz w:val="22"/>
          <w:szCs w:val="22"/>
          <w:u w:val="single"/>
          <w:lang w:val="it-IT"/>
        </w:rPr>
        <w:t>liquidità</w:t>
      </w:r>
    </w:p>
    <w:p w14:paraId="49C557FB" w14:textId="136FEA6B" w:rsidR="007D49EF" w:rsidRPr="0006543E" w:rsidRDefault="007D49EF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i/>
          <w:iCs/>
          <w:sz w:val="22"/>
          <w:szCs w:val="22"/>
          <w:lang w:val="it-IT"/>
        </w:rPr>
      </w:pPr>
      <w:r w:rsidRPr="001012F0">
        <w:rPr>
          <w:rFonts w:ascii="Calibri" w:hAnsi="Calibri" w:cs="Arial"/>
          <w:b/>
          <w:bCs/>
          <w:sz w:val="22"/>
          <w:szCs w:val="22"/>
          <w:lang w:val="it-IT"/>
        </w:rPr>
        <w:lastRenderedPageBreak/>
        <w:t>Durante il ciclo boom-</w:t>
      </w:r>
      <w:proofErr w:type="spellStart"/>
      <w:r w:rsidRPr="001012F0">
        <w:rPr>
          <w:rFonts w:ascii="Calibri" w:hAnsi="Calibri" w:cs="Arial"/>
          <w:b/>
          <w:bCs/>
          <w:sz w:val="22"/>
          <w:szCs w:val="22"/>
          <w:lang w:val="it-IT"/>
        </w:rPr>
        <w:t>bust</w:t>
      </w:r>
      <w:proofErr w:type="spellEnd"/>
      <w:r w:rsidRPr="001012F0">
        <w:rPr>
          <w:rFonts w:ascii="Calibri" w:hAnsi="Calibri" w:cs="Arial"/>
          <w:b/>
          <w:bCs/>
          <w:sz w:val="22"/>
          <w:szCs w:val="22"/>
          <w:lang w:val="it-IT"/>
        </w:rPr>
        <w:t xml:space="preserve"> indotto dalla pandemia</w:t>
      </w:r>
      <w:r w:rsidRPr="0006543E">
        <w:rPr>
          <w:rFonts w:ascii="Calibri" w:hAnsi="Calibri" w:cs="Arial"/>
          <w:sz w:val="22"/>
          <w:szCs w:val="22"/>
          <w:lang w:val="it-IT"/>
        </w:rPr>
        <w:t xml:space="preserve">, la raccolta di fondi per gli asset privati ha registrato un </w:t>
      </w:r>
      <w:r w:rsidR="0006543E">
        <w:rPr>
          <w:rFonts w:ascii="Calibri" w:hAnsi="Calibri" w:cs="Arial"/>
          <w:sz w:val="22"/>
          <w:szCs w:val="22"/>
          <w:lang w:val="it-IT"/>
        </w:rPr>
        <w:t>picco</w:t>
      </w:r>
      <w:r w:rsidRPr="0006543E">
        <w:rPr>
          <w:rFonts w:ascii="Calibri" w:hAnsi="Calibri" w:cs="Arial"/>
          <w:sz w:val="22"/>
          <w:szCs w:val="22"/>
          <w:lang w:val="it-IT"/>
        </w:rPr>
        <w:t xml:space="preserve">. Tuttavia, l’accumulo di </w:t>
      </w:r>
      <w:r w:rsidR="009E3468" w:rsidRPr="0006543E">
        <w:rPr>
          <w:rFonts w:ascii="Calibri" w:hAnsi="Calibri" w:cs="Arial"/>
          <w:sz w:val="22"/>
          <w:szCs w:val="22"/>
          <w:lang w:val="it-IT"/>
        </w:rPr>
        <w:t>liquidità</w:t>
      </w:r>
      <w:r w:rsidRPr="0006543E">
        <w:rPr>
          <w:rFonts w:ascii="Calibri" w:hAnsi="Calibri" w:cs="Arial"/>
          <w:sz w:val="22"/>
          <w:szCs w:val="22"/>
          <w:lang w:val="it-IT"/>
        </w:rPr>
        <w:t xml:space="preserve"> non è stato uniforme. </w:t>
      </w:r>
      <w:r w:rsidRPr="001012F0">
        <w:rPr>
          <w:rFonts w:ascii="Calibri" w:hAnsi="Calibri" w:cs="Arial"/>
          <w:b/>
          <w:bCs/>
          <w:sz w:val="22"/>
          <w:szCs w:val="22"/>
          <w:lang w:val="it-IT"/>
        </w:rPr>
        <w:t>Alcune strategie hanno visto la raccolta di fondi salire alle stelle, mentre per altre è rimasta più stabile.</w:t>
      </w:r>
      <w:r w:rsidRPr="0006543E">
        <w:rPr>
          <w:rFonts w:ascii="Calibri" w:hAnsi="Calibri" w:cs="Arial"/>
          <w:sz w:val="22"/>
          <w:szCs w:val="22"/>
          <w:lang w:val="it-IT"/>
        </w:rPr>
        <w:t xml:space="preserve"> </w:t>
      </w:r>
      <w:r w:rsidR="009D79F2" w:rsidRPr="0006543E">
        <w:rPr>
          <w:rFonts w:ascii="Calibri" w:hAnsi="Calibri" w:cs="Arial"/>
          <w:sz w:val="22"/>
          <w:szCs w:val="22"/>
          <w:lang w:val="it-IT"/>
        </w:rPr>
        <w:t>P</w:t>
      </w:r>
      <w:r w:rsidRPr="0006543E">
        <w:rPr>
          <w:rFonts w:ascii="Calibri" w:hAnsi="Calibri" w:cs="Arial"/>
          <w:sz w:val="22"/>
          <w:szCs w:val="22"/>
          <w:lang w:val="it-IT"/>
        </w:rPr>
        <w:t xml:space="preserve">er riportare l’accumulo di </w:t>
      </w:r>
      <w:r w:rsidR="009E3468" w:rsidRPr="0006543E">
        <w:rPr>
          <w:rFonts w:ascii="Calibri" w:hAnsi="Calibri" w:cs="Arial"/>
          <w:sz w:val="22"/>
          <w:szCs w:val="22"/>
          <w:lang w:val="it-IT"/>
        </w:rPr>
        <w:t>liquidità</w:t>
      </w:r>
      <w:r w:rsidRPr="0006543E">
        <w:rPr>
          <w:rFonts w:ascii="Calibri" w:hAnsi="Calibri" w:cs="Arial"/>
          <w:sz w:val="22"/>
          <w:szCs w:val="22"/>
          <w:lang w:val="it-IT"/>
        </w:rPr>
        <w:t xml:space="preserve"> a livelli più normali possono essere necessari alcuni trimestri, se non addirittura alcuni anni.</w:t>
      </w:r>
      <w:r w:rsidRPr="0006543E">
        <w:rPr>
          <w:rFonts w:ascii="Calibri" w:hAnsi="Calibri" w:cs="Arial"/>
          <w:i/>
          <w:iCs/>
          <w:sz w:val="22"/>
          <w:szCs w:val="22"/>
          <w:lang w:val="it-IT"/>
        </w:rPr>
        <w:t xml:space="preserve"> </w:t>
      </w:r>
    </w:p>
    <w:p w14:paraId="32118820" w14:textId="77777777" w:rsidR="00161B8D" w:rsidRPr="0006543E" w:rsidRDefault="00161B8D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i/>
          <w:iCs/>
          <w:sz w:val="22"/>
          <w:szCs w:val="22"/>
          <w:lang w:val="it-IT"/>
        </w:rPr>
      </w:pPr>
    </w:p>
    <w:p w14:paraId="35B22519" w14:textId="77777777" w:rsidR="007D49EF" w:rsidRPr="0006543E" w:rsidRDefault="007D49EF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outlineLvl w:val="0"/>
        <w:rPr>
          <w:rStyle w:val="Enfasigrassetto"/>
          <w:rFonts w:ascii="Calibri" w:hAnsi="Calibri" w:cs="Arial"/>
          <w:b w:val="0"/>
          <w:bCs w:val="0"/>
          <w:i/>
          <w:iCs/>
          <w:sz w:val="22"/>
          <w:szCs w:val="22"/>
          <w:lang w:val="it-IT"/>
        </w:rPr>
      </w:pPr>
      <w:r w:rsidRPr="0006543E">
        <w:rPr>
          <w:rStyle w:val="Enfasigrassetto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 w:eastAsia="en-US"/>
        </w:rPr>
        <w:t>Tracciare una rotta e rispettarla, soprattutto in caso di tempesta</w:t>
      </w:r>
      <w:r w:rsidRPr="0006543E">
        <w:rPr>
          <w:rStyle w:val="Enfasigrassetto"/>
          <w:rFonts w:ascii="Calibri" w:hAnsi="Calibri" w:cs="Arial"/>
          <w:b w:val="0"/>
          <w:bCs w:val="0"/>
          <w:i/>
          <w:iCs/>
          <w:sz w:val="22"/>
          <w:szCs w:val="22"/>
          <w:lang w:val="it-IT"/>
        </w:rPr>
        <w:t xml:space="preserve"> </w:t>
      </w:r>
    </w:p>
    <w:p w14:paraId="329CB437" w14:textId="3315B6DB" w:rsidR="00BB7FF6" w:rsidRPr="0006543E" w:rsidRDefault="002F0299" w:rsidP="001B3453">
      <w:pPr>
        <w:pStyle w:val="typographyparagraph-sc-numijp-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r w:rsidRPr="0006543E">
        <w:rPr>
          <w:rFonts w:ascii="Calibri" w:hAnsi="Calibri" w:cs="Arial"/>
          <w:sz w:val="22"/>
          <w:szCs w:val="22"/>
          <w:lang w:val="it-IT"/>
        </w:rPr>
        <w:t xml:space="preserve">Gli investimenti in </w:t>
      </w:r>
      <w:r w:rsidR="00F364B0" w:rsidRPr="0006543E">
        <w:rPr>
          <w:rFonts w:ascii="Calibri" w:hAnsi="Calibri" w:cs="Arial"/>
          <w:sz w:val="22"/>
          <w:szCs w:val="22"/>
          <w:lang w:val="it-IT"/>
        </w:rPr>
        <w:t xml:space="preserve">private </w:t>
      </w:r>
      <w:r w:rsidRPr="0006543E">
        <w:rPr>
          <w:rFonts w:ascii="Calibri" w:hAnsi="Calibri" w:cs="Arial"/>
          <w:sz w:val="22"/>
          <w:szCs w:val="22"/>
          <w:lang w:val="it-IT"/>
        </w:rPr>
        <w:t xml:space="preserve">asset non sono immuni da situazioni di recessione e riteniamo che gli </w:t>
      </w:r>
      <w:r w:rsidRPr="001012F0">
        <w:rPr>
          <w:rFonts w:ascii="Calibri" w:hAnsi="Calibri" w:cs="Arial"/>
          <w:b/>
          <w:bCs/>
          <w:sz w:val="22"/>
          <w:szCs w:val="22"/>
          <w:lang w:val="it-IT"/>
        </w:rPr>
        <w:t>Stati Uniti, l’Europa continentale e il Regno Unito debbano affrontare un rallentamento economico prolungato in vista del 2023</w:t>
      </w:r>
      <w:r w:rsidRPr="0006543E">
        <w:rPr>
          <w:rFonts w:ascii="Calibri" w:hAnsi="Calibri" w:cs="Arial"/>
          <w:sz w:val="22"/>
          <w:szCs w:val="22"/>
          <w:lang w:val="it-IT"/>
        </w:rPr>
        <w:t>. Se a questo si aggiungono problemi come l’eccesso di liquidità, c’è motivo di essere cauti.</w:t>
      </w:r>
      <w:r w:rsidR="00F364B0" w:rsidRPr="0006543E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06543E">
        <w:rPr>
          <w:rFonts w:ascii="Calibri" w:hAnsi="Calibri" w:cs="Arial"/>
          <w:sz w:val="22"/>
          <w:szCs w:val="22"/>
          <w:lang w:val="it-IT"/>
        </w:rPr>
        <w:t xml:space="preserve">Nel complesso, tuttavia, molti dati suggeriscono che gli investitori possono aspettarsi una resistenza comparativa dalle valutazioni degli asset privati. Riteniamo che, puntando su un ritmo di investimento costante e concentrandosi sulle tendenze di lungo periodo, gli investitori abbiano numerosi modi per posizionare bene i loro portafogli di </w:t>
      </w:r>
      <w:r w:rsidR="005E0F2D" w:rsidRPr="0006543E">
        <w:rPr>
          <w:rFonts w:ascii="Calibri" w:hAnsi="Calibri" w:cs="Arial"/>
          <w:sz w:val="22"/>
          <w:szCs w:val="22"/>
          <w:lang w:val="it-IT"/>
        </w:rPr>
        <w:t xml:space="preserve">private </w:t>
      </w:r>
      <w:r w:rsidRPr="0006543E">
        <w:rPr>
          <w:rFonts w:ascii="Calibri" w:hAnsi="Calibri" w:cs="Arial"/>
          <w:sz w:val="22"/>
          <w:szCs w:val="22"/>
          <w:lang w:val="it-IT"/>
        </w:rPr>
        <w:t>asset.</w:t>
      </w:r>
    </w:p>
    <w:sectPr w:rsidR="00BB7FF6" w:rsidRPr="0006543E" w:rsidSect="00314038">
      <w:pgSz w:w="11900" w:h="16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7421"/>
    <w:multiLevelType w:val="hybridMultilevel"/>
    <w:tmpl w:val="CBD68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5246"/>
    <w:multiLevelType w:val="hybridMultilevel"/>
    <w:tmpl w:val="89C0F1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94B0B"/>
    <w:multiLevelType w:val="hybridMultilevel"/>
    <w:tmpl w:val="529200C2"/>
    <w:lvl w:ilvl="0" w:tplc="4E6008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296E"/>
    <w:multiLevelType w:val="hybridMultilevel"/>
    <w:tmpl w:val="3436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6703B"/>
    <w:multiLevelType w:val="hybridMultilevel"/>
    <w:tmpl w:val="9530FD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B7B1F"/>
    <w:multiLevelType w:val="hybridMultilevel"/>
    <w:tmpl w:val="543C0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162231">
    <w:abstractNumId w:val="4"/>
  </w:num>
  <w:num w:numId="2" w16cid:durableId="500706131">
    <w:abstractNumId w:val="2"/>
  </w:num>
  <w:num w:numId="3" w16cid:durableId="163713226">
    <w:abstractNumId w:val="3"/>
  </w:num>
  <w:num w:numId="4" w16cid:durableId="1061439139">
    <w:abstractNumId w:val="0"/>
  </w:num>
  <w:num w:numId="5" w16cid:durableId="2053337223">
    <w:abstractNumId w:val="5"/>
  </w:num>
  <w:num w:numId="6" w16cid:durableId="182332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99"/>
    <w:rsid w:val="00015B1D"/>
    <w:rsid w:val="0006543E"/>
    <w:rsid w:val="000C73D4"/>
    <w:rsid w:val="001012F0"/>
    <w:rsid w:val="00161B8D"/>
    <w:rsid w:val="001B3453"/>
    <w:rsid w:val="002F0299"/>
    <w:rsid w:val="002F3084"/>
    <w:rsid w:val="00305865"/>
    <w:rsid w:val="00314038"/>
    <w:rsid w:val="004B669E"/>
    <w:rsid w:val="005073E1"/>
    <w:rsid w:val="0054548F"/>
    <w:rsid w:val="005E0F2D"/>
    <w:rsid w:val="00636368"/>
    <w:rsid w:val="00685AD4"/>
    <w:rsid w:val="007D49EF"/>
    <w:rsid w:val="007D7696"/>
    <w:rsid w:val="00801C8E"/>
    <w:rsid w:val="00835D42"/>
    <w:rsid w:val="009D79F2"/>
    <w:rsid w:val="009E3468"/>
    <w:rsid w:val="009F3631"/>
    <w:rsid w:val="00A3231E"/>
    <w:rsid w:val="00AD6F53"/>
    <w:rsid w:val="00BB0DB5"/>
    <w:rsid w:val="00D04BE0"/>
    <w:rsid w:val="00D82648"/>
    <w:rsid w:val="00E56324"/>
    <w:rsid w:val="00ED2499"/>
    <w:rsid w:val="00F017CA"/>
    <w:rsid w:val="00F3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28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3231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23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73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231E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hidden-xs">
    <w:name w:val="hidden-xs"/>
    <w:basedOn w:val="Normale"/>
    <w:rsid w:val="00A3231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name">
    <w:name w:val="name"/>
    <w:basedOn w:val="Normale"/>
    <w:rsid w:val="00A3231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Titolo">
    <w:name w:val="Title"/>
    <w:aliases w:val="title"/>
    <w:basedOn w:val="Normale"/>
    <w:link w:val="TitoloCarattere"/>
    <w:uiPriority w:val="10"/>
    <w:qFormat/>
    <w:rsid w:val="00A3231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TitoloCarattere">
    <w:name w:val="Titolo Carattere"/>
    <w:aliases w:val="title Carattere"/>
    <w:basedOn w:val="Carpredefinitoparagrafo"/>
    <w:link w:val="Titolo"/>
    <w:uiPriority w:val="10"/>
    <w:rsid w:val="00A3231E"/>
    <w:rPr>
      <w:rFonts w:ascii="Times New Roman" w:hAnsi="Times New Roman" w:cs="Times New Roman"/>
      <w:lang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23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ypographyparagraph-sc-numijp-1">
    <w:name w:val="typography__paragraph-sc-numijp-1"/>
    <w:basedOn w:val="Normale"/>
    <w:rsid w:val="00A3231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nfasigrassetto">
    <w:name w:val="Strong"/>
    <w:basedOn w:val="Carpredefinitoparagrafo"/>
    <w:uiPriority w:val="22"/>
    <w:qFormat/>
    <w:rsid w:val="00A3231E"/>
    <w:rPr>
      <w:b/>
      <w:bCs/>
    </w:rPr>
  </w:style>
  <w:style w:type="character" w:customStyle="1" w:styleId="typographybodycopy-sc-numijp-0">
    <w:name w:val="typography__bodycopy-sc-numijp-0"/>
    <w:basedOn w:val="Carpredefinitoparagrafo"/>
    <w:rsid w:val="00A3231E"/>
  </w:style>
  <w:style w:type="character" w:styleId="Enfasicorsivo">
    <w:name w:val="Emphasis"/>
    <w:basedOn w:val="Carpredefinitoparagrafo"/>
    <w:uiPriority w:val="20"/>
    <w:qFormat/>
    <w:rsid w:val="00A3231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454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54548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D6F5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73D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Ferla</cp:lastModifiedBy>
  <cp:revision>4</cp:revision>
  <dcterms:created xsi:type="dcterms:W3CDTF">2022-12-06T08:13:00Z</dcterms:created>
  <dcterms:modified xsi:type="dcterms:W3CDTF">2022-12-06T08:36:00Z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ab7a17068108239073515daaa026f5594d8a3e92a847ca4c6b2b6e7e8850f7e5</vt:lpwstr>
  </property>
</Properties>
</file>