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ACEA" w14:textId="77777777" w:rsidR="00A95BF2" w:rsidRDefault="009F535A">
      <w:pPr>
        <w:jc w:val="center"/>
        <w:rPr>
          <w:rFonts w:ascii="Arial" w:eastAsia="Arial" w:hAnsi="Arial" w:cs="Arial"/>
          <w:b/>
          <w:sz w:val="28"/>
          <w:szCs w:val="28"/>
        </w:rPr>
      </w:pPr>
      <w:r>
        <w:rPr>
          <w:rFonts w:ascii="Arial" w:eastAsia="Arial" w:hAnsi="Arial" w:cs="Arial"/>
          <w:b/>
          <w:sz w:val="28"/>
          <w:szCs w:val="28"/>
        </w:rPr>
        <w:t>Greentech: i trend del 2023 secondo Termo</w:t>
      </w:r>
    </w:p>
    <w:p w14:paraId="2FD776BC" w14:textId="77777777" w:rsidR="00A95BF2" w:rsidRDefault="00A95BF2">
      <w:pPr>
        <w:jc w:val="center"/>
        <w:rPr>
          <w:rFonts w:ascii="Arial" w:eastAsia="Arial" w:hAnsi="Arial" w:cs="Arial"/>
          <w:b/>
          <w:sz w:val="28"/>
          <w:szCs w:val="28"/>
        </w:rPr>
      </w:pPr>
    </w:p>
    <w:p w14:paraId="77F2C915" w14:textId="77777777" w:rsidR="00A95BF2" w:rsidRDefault="009F535A">
      <w:pPr>
        <w:jc w:val="center"/>
        <w:rPr>
          <w:rFonts w:ascii="Arial" w:eastAsia="Arial" w:hAnsi="Arial" w:cs="Arial"/>
          <w:i/>
        </w:rPr>
      </w:pPr>
      <w:r>
        <w:rPr>
          <w:rFonts w:ascii="Arial" w:eastAsia="Arial" w:hAnsi="Arial" w:cs="Arial"/>
          <w:i/>
        </w:rPr>
        <w:t xml:space="preserve">Dalla digitalizzazione all’autoproduzione di energia, dalle rinnovabili domestiche </w:t>
      </w:r>
      <w:r>
        <w:rPr>
          <w:rFonts w:ascii="Arial" w:eastAsia="Arial" w:hAnsi="Arial" w:cs="Arial"/>
          <w:i/>
        </w:rPr>
        <w:br/>
      </w:r>
      <w:r>
        <w:rPr>
          <w:rFonts w:ascii="Arial" w:eastAsia="Arial" w:hAnsi="Arial" w:cs="Arial"/>
          <w:i/>
        </w:rPr>
        <w:t>agli incentivi governativi per affrontare il rischio della povertà energetica</w:t>
      </w:r>
    </w:p>
    <w:p w14:paraId="38193313" w14:textId="77777777" w:rsidR="00A95BF2" w:rsidRDefault="00A95BF2">
      <w:pPr>
        <w:rPr>
          <w:rFonts w:ascii="Arial" w:eastAsia="Arial" w:hAnsi="Arial" w:cs="Arial"/>
          <w:i/>
        </w:rPr>
      </w:pPr>
    </w:p>
    <w:p w14:paraId="39C930E7" w14:textId="760B2F09" w:rsidR="00A95BF2" w:rsidRDefault="009F535A">
      <w:pPr>
        <w:jc w:val="both"/>
        <w:rPr>
          <w:rFonts w:ascii="Arial" w:eastAsia="Arial" w:hAnsi="Arial" w:cs="Arial"/>
          <w:sz w:val="22"/>
          <w:szCs w:val="22"/>
        </w:rPr>
      </w:pPr>
      <w:r>
        <w:rPr>
          <w:rFonts w:ascii="Arial" w:eastAsia="Arial" w:hAnsi="Arial" w:cs="Arial"/>
          <w:b/>
          <w:sz w:val="22"/>
          <w:szCs w:val="22"/>
        </w:rPr>
        <w:t>Milano, 26</w:t>
      </w:r>
      <w:r>
        <w:rPr>
          <w:rFonts w:ascii="Arial" w:eastAsia="Arial" w:hAnsi="Arial" w:cs="Arial"/>
          <w:b/>
          <w:sz w:val="22"/>
          <w:szCs w:val="22"/>
        </w:rPr>
        <w:t xml:space="preserve"> gennaio 2023 –</w:t>
      </w:r>
      <w:r>
        <w:rPr>
          <w:rFonts w:ascii="Arial" w:eastAsia="Arial" w:hAnsi="Arial" w:cs="Arial"/>
          <w:sz w:val="22"/>
          <w:szCs w:val="22"/>
        </w:rPr>
        <w:t xml:space="preserve"> Riduzione delle emissioni, produzione sostenibile, efficientamento dei consumi e sfruttamento delle risorse rinnovabili stanno diventando sempre più pr</w:t>
      </w:r>
      <w:r>
        <w:rPr>
          <w:rFonts w:ascii="Arial" w:eastAsia="Arial" w:hAnsi="Arial" w:cs="Arial"/>
          <w:sz w:val="22"/>
          <w:szCs w:val="22"/>
        </w:rPr>
        <w:t xml:space="preserve">otagonisti nello scenario energetico globale. </w:t>
      </w:r>
    </w:p>
    <w:p w14:paraId="7665CEF4" w14:textId="77777777" w:rsidR="00A95BF2" w:rsidRDefault="009F535A">
      <w:pPr>
        <w:jc w:val="both"/>
        <w:rPr>
          <w:rFonts w:ascii="Arial" w:eastAsia="Arial" w:hAnsi="Arial" w:cs="Arial"/>
          <w:sz w:val="22"/>
          <w:szCs w:val="22"/>
        </w:rPr>
      </w:pPr>
      <w:r>
        <w:rPr>
          <w:rFonts w:ascii="Arial" w:eastAsia="Arial" w:hAnsi="Arial" w:cs="Arial"/>
          <w:sz w:val="22"/>
          <w:szCs w:val="22"/>
        </w:rPr>
        <w:t>Insieme all’emergenza climatica, lo scoppio del conflitto Russia-Ucraina e la crisi che ne è derivata hanno posto Governi e istituzioni di fronte all’urgenza di adottare un approccio alla gestione dell’energia</w:t>
      </w:r>
      <w:r>
        <w:rPr>
          <w:rFonts w:ascii="Arial" w:eastAsia="Arial" w:hAnsi="Arial" w:cs="Arial"/>
          <w:sz w:val="22"/>
          <w:szCs w:val="22"/>
        </w:rPr>
        <w:t xml:space="preserve"> improntato all’ottimizzazione e alla consapevolezza. </w:t>
      </w:r>
    </w:p>
    <w:p w14:paraId="3AC159F5" w14:textId="77777777" w:rsidR="00A95BF2" w:rsidRDefault="00A95BF2">
      <w:pPr>
        <w:jc w:val="both"/>
        <w:rPr>
          <w:rFonts w:ascii="Arial" w:eastAsia="Arial" w:hAnsi="Arial" w:cs="Arial"/>
          <w:sz w:val="22"/>
          <w:szCs w:val="22"/>
        </w:rPr>
      </w:pPr>
    </w:p>
    <w:p w14:paraId="26A4D476" w14:textId="77777777" w:rsidR="00A95BF2" w:rsidRDefault="009F535A">
      <w:pPr>
        <w:jc w:val="both"/>
        <w:rPr>
          <w:rFonts w:ascii="Arial" w:eastAsia="Arial" w:hAnsi="Arial" w:cs="Arial"/>
          <w:b/>
          <w:sz w:val="22"/>
          <w:szCs w:val="22"/>
        </w:rPr>
      </w:pPr>
      <w:r>
        <w:rPr>
          <w:rFonts w:ascii="Arial" w:eastAsia="Arial" w:hAnsi="Arial" w:cs="Arial"/>
          <w:sz w:val="22"/>
          <w:szCs w:val="22"/>
        </w:rPr>
        <w:t xml:space="preserve">Per orientarsi con consapevolezza in un contesto in continua evoluzione, è importante però comprenderne appieno le dinamiche: per questo </w:t>
      </w:r>
      <w:hyperlink r:id="rId8">
        <w:r>
          <w:rPr>
            <w:rFonts w:ascii="Arial" w:eastAsia="Arial" w:hAnsi="Arial" w:cs="Arial"/>
            <w:b/>
            <w:color w:val="0563C1"/>
            <w:sz w:val="22"/>
            <w:szCs w:val="22"/>
            <w:u w:val="single"/>
          </w:rPr>
          <w:t>Termo</w:t>
        </w:r>
      </w:hyperlink>
      <w:r>
        <w:rPr>
          <w:rFonts w:ascii="Arial" w:eastAsia="Arial" w:hAnsi="Arial" w:cs="Arial"/>
          <w:sz w:val="22"/>
          <w:szCs w:val="22"/>
        </w:rPr>
        <w:t xml:space="preserve">, azienda italiana all’avanguardia nel settore del Greentech, </w:t>
      </w:r>
      <w:r>
        <w:rPr>
          <w:rFonts w:ascii="Arial" w:eastAsia="Arial" w:hAnsi="Arial" w:cs="Arial"/>
          <w:b/>
          <w:sz w:val="22"/>
          <w:szCs w:val="22"/>
        </w:rPr>
        <w:t xml:space="preserve">ha identificato i 5 trend che caratterizzeranno il 2023 e oltre. </w:t>
      </w:r>
    </w:p>
    <w:p w14:paraId="1C777F26" w14:textId="77777777" w:rsidR="00A95BF2" w:rsidRDefault="00A95BF2">
      <w:pPr>
        <w:jc w:val="both"/>
        <w:rPr>
          <w:rFonts w:ascii="Arial" w:eastAsia="Arial" w:hAnsi="Arial" w:cs="Arial"/>
          <w:sz w:val="22"/>
          <w:szCs w:val="22"/>
        </w:rPr>
      </w:pPr>
    </w:p>
    <w:p w14:paraId="2F5584D6" w14:textId="77777777" w:rsidR="00A95BF2" w:rsidRDefault="009F535A">
      <w:pPr>
        <w:jc w:val="both"/>
        <w:rPr>
          <w:rFonts w:ascii="Arial" w:eastAsia="Arial" w:hAnsi="Arial" w:cs="Arial"/>
          <w:i/>
          <w:sz w:val="22"/>
          <w:szCs w:val="22"/>
        </w:rPr>
      </w:pPr>
      <w:r>
        <w:rPr>
          <w:rFonts w:ascii="Arial" w:eastAsia="Arial" w:hAnsi="Arial" w:cs="Arial"/>
          <w:i/>
          <w:sz w:val="22"/>
          <w:szCs w:val="22"/>
        </w:rPr>
        <w:t>“Oggi il mercato si sta orientando velocemente verso due driver principali: la riqualificazione energetica e la ri</w:t>
      </w:r>
      <w:r>
        <w:rPr>
          <w:rFonts w:ascii="Arial" w:eastAsia="Arial" w:hAnsi="Arial" w:cs="Arial"/>
          <w:i/>
          <w:sz w:val="22"/>
          <w:szCs w:val="22"/>
        </w:rPr>
        <w:t>duzione dei consumi. L’aumento del costo dell’energia ha accelerato un processo già in atto, evidenziando l’importanza di mettere in campo strategie concrete per raggiungere gli obiettivi ambientali ed economici comuni ai diversi Paesi”</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afferma</w:t>
      </w:r>
      <w:r>
        <w:rPr>
          <w:rFonts w:ascii="Arial" w:eastAsia="Arial" w:hAnsi="Arial" w:cs="Arial"/>
          <w:b/>
          <w:sz w:val="22"/>
          <w:szCs w:val="22"/>
        </w:rPr>
        <w:t xml:space="preserve"> Gabriele Basile, CEO di Termo</w:t>
      </w:r>
      <w:r>
        <w:rPr>
          <w:rFonts w:ascii="Arial" w:eastAsia="Arial" w:hAnsi="Arial" w:cs="Arial"/>
          <w:sz w:val="22"/>
          <w:szCs w:val="22"/>
        </w:rPr>
        <w:t xml:space="preserve">. </w:t>
      </w:r>
      <w:r>
        <w:rPr>
          <w:rFonts w:ascii="Arial" w:eastAsia="Arial" w:hAnsi="Arial" w:cs="Arial"/>
          <w:i/>
          <w:sz w:val="22"/>
          <w:szCs w:val="22"/>
        </w:rPr>
        <w:t>“In Italia, la sfida per il Governo sarà quella di definire i mezzi per supportare la transizione energetica (dal PNRR a strumenti come lo sconto in fattura, le detrazioni fiscali, eccetera). Per le aziende, sarà indispensab</w:t>
      </w:r>
      <w:r>
        <w:rPr>
          <w:rFonts w:ascii="Arial" w:eastAsia="Arial" w:hAnsi="Arial" w:cs="Arial"/>
          <w:i/>
          <w:sz w:val="22"/>
          <w:szCs w:val="22"/>
        </w:rPr>
        <w:t xml:space="preserve">ile abbracciare una cultura orientata alla responsabilità: proprio per questo, ad esempio, noi di Termo abbiamo recentemente scelto di trasformarci in Società Benefit, basando le nostre azioni su un assetto che ci consenta di operare in modo sostenibile e </w:t>
      </w:r>
      <w:r>
        <w:rPr>
          <w:rFonts w:ascii="Arial" w:eastAsia="Arial" w:hAnsi="Arial" w:cs="Arial"/>
          <w:i/>
          <w:sz w:val="22"/>
          <w:szCs w:val="22"/>
        </w:rPr>
        <w:t xml:space="preserve">trasparente”. </w:t>
      </w:r>
    </w:p>
    <w:p w14:paraId="7ED5C9C6" w14:textId="77777777" w:rsidR="00A95BF2" w:rsidRDefault="00A95BF2">
      <w:pPr>
        <w:jc w:val="both"/>
        <w:rPr>
          <w:rFonts w:ascii="Arial" w:eastAsia="Arial" w:hAnsi="Arial" w:cs="Arial"/>
          <w:i/>
          <w:sz w:val="22"/>
          <w:szCs w:val="22"/>
        </w:rPr>
      </w:pPr>
    </w:p>
    <w:p w14:paraId="6AAAAE6F" w14:textId="77777777" w:rsidR="00A95BF2" w:rsidRDefault="00A95BF2">
      <w:pPr>
        <w:jc w:val="both"/>
        <w:rPr>
          <w:rFonts w:ascii="Arial" w:eastAsia="Arial" w:hAnsi="Arial" w:cs="Arial"/>
          <w:sz w:val="22"/>
          <w:szCs w:val="22"/>
        </w:rPr>
      </w:pPr>
    </w:p>
    <w:p w14:paraId="30F2BBC1" w14:textId="77777777" w:rsidR="00A95BF2" w:rsidRDefault="009F535A">
      <w:pPr>
        <w:spacing w:after="240"/>
        <w:jc w:val="both"/>
        <w:rPr>
          <w:rFonts w:ascii="Arial" w:eastAsia="Arial" w:hAnsi="Arial" w:cs="Arial"/>
          <w:b/>
          <w:sz w:val="22"/>
          <w:szCs w:val="22"/>
        </w:rPr>
      </w:pPr>
      <w:r>
        <w:rPr>
          <w:rFonts w:ascii="Arial" w:eastAsia="Arial" w:hAnsi="Arial" w:cs="Arial"/>
          <w:b/>
          <w:sz w:val="22"/>
          <w:szCs w:val="22"/>
        </w:rPr>
        <w:t>I trend del Greentech per il 2023</w:t>
      </w:r>
    </w:p>
    <w:p w14:paraId="6B19B660" w14:textId="77777777" w:rsidR="00A95BF2" w:rsidRDefault="009F535A">
      <w:pPr>
        <w:numPr>
          <w:ilvl w:val="0"/>
          <w:numId w:val="1"/>
        </w:numPr>
        <w:pBdr>
          <w:top w:val="nil"/>
          <w:left w:val="nil"/>
          <w:bottom w:val="nil"/>
          <w:right w:val="nil"/>
          <w:between w:val="nil"/>
        </w:pBdr>
        <w:spacing w:before="240" w:after="240"/>
        <w:jc w:val="both"/>
        <w:rPr>
          <w:rFonts w:ascii="Arial" w:eastAsia="Arial" w:hAnsi="Arial" w:cs="Arial"/>
          <w:b/>
          <w:color w:val="000000"/>
          <w:sz w:val="22"/>
          <w:szCs w:val="22"/>
        </w:rPr>
      </w:pPr>
      <w:r>
        <w:rPr>
          <w:rFonts w:ascii="Arial" w:eastAsia="Arial" w:hAnsi="Arial" w:cs="Arial"/>
          <w:b/>
          <w:color w:val="000000"/>
          <w:sz w:val="22"/>
          <w:szCs w:val="22"/>
        </w:rPr>
        <w:t xml:space="preserve">Renovation Wave e case green: il rischio della povertà energetica in un contesto normativo complesso </w:t>
      </w:r>
    </w:p>
    <w:p w14:paraId="547663DB" w14:textId="77777777" w:rsidR="00A95BF2" w:rsidRDefault="009F535A">
      <w:pPr>
        <w:spacing w:before="240"/>
        <w:jc w:val="both"/>
        <w:rPr>
          <w:rFonts w:ascii="Arial" w:eastAsia="Arial" w:hAnsi="Arial" w:cs="Arial"/>
          <w:sz w:val="22"/>
          <w:szCs w:val="22"/>
        </w:rPr>
      </w:pPr>
      <w:r>
        <w:rPr>
          <w:rFonts w:ascii="Arial" w:eastAsia="Arial" w:hAnsi="Arial" w:cs="Arial"/>
          <w:sz w:val="22"/>
          <w:szCs w:val="22"/>
        </w:rPr>
        <w:t>In Europa circa il 35% degli edifici ha più di 50 anni e quasi il 75% del parco immobiliare è considera</w:t>
      </w:r>
      <w:r>
        <w:rPr>
          <w:rFonts w:ascii="Arial" w:eastAsia="Arial" w:hAnsi="Arial" w:cs="Arial"/>
          <w:sz w:val="22"/>
          <w:szCs w:val="22"/>
        </w:rPr>
        <w:t>to inefficiente dal punto di vista energetico</w:t>
      </w:r>
      <w:r>
        <w:rPr>
          <w:rFonts w:ascii="Arial" w:eastAsia="Arial" w:hAnsi="Arial" w:cs="Arial"/>
          <w:sz w:val="22"/>
          <w:szCs w:val="22"/>
          <w:vertAlign w:val="superscript"/>
        </w:rPr>
        <w:footnoteReference w:id="1"/>
      </w:r>
      <w:r>
        <w:rPr>
          <w:rFonts w:ascii="Arial" w:eastAsia="Arial" w:hAnsi="Arial" w:cs="Arial"/>
          <w:sz w:val="22"/>
          <w:szCs w:val="22"/>
        </w:rPr>
        <w:t>. Per questo, già nel 2020 l’Unione Europea ha avviato la cosiddetta Renovation Wave, una strategia a lungo termine che richiede ai Paesi membri la pianificazione di interventi e incentivi volti alla riqualifi</w:t>
      </w:r>
      <w:r>
        <w:rPr>
          <w:rFonts w:ascii="Arial" w:eastAsia="Arial" w:hAnsi="Arial" w:cs="Arial"/>
          <w:sz w:val="22"/>
          <w:szCs w:val="22"/>
        </w:rPr>
        <w:t>cazione degli edifici e all’efficientamento energetico. Inoltre, per raggiungere l’obiettivo delle zero emissioni entro il 2050, le istituzioni comunitarie stanno lavorando in queste settimane a nuove potenziali direttive che stabiliscano l’adeguamento del</w:t>
      </w:r>
      <w:r>
        <w:rPr>
          <w:rFonts w:ascii="Arial" w:eastAsia="Arial" w:hAnsi="Arial" w:cs="Arial"/>
          <w:sz w:val="22"/>
          <w:szCs w:val="22"/>
        </w:rPr>
        <w:t xml:space="preserve">le classi energetiche degli edifici ai nuovi standard di efficienza. </w:t>
      </w:r>
    </w:p>
    <w:p w14:paraId="5CE1A073" w14:textId="77777777" w:rsidR="00A95BF2" w:rsidRDefault="00A95BF2">
      <w:pPr>
        <w:jc w:val="both"/>
        <w:rPr>
          <w:rFonts w:ascii="Arial" w:eastAsia="Arial" w:hAnsi="Arial" w:cs="Arial"/>
          <w:sz w:val="22"/>
          <w:szCs w:val="22"/>
        </w:rPr>
      </w:pPr>
    </w:p>
    <w:p w14:paraId="56D53817" w14:textId="77777777" w:rsidR="00A95BF2" w:rsidRDefault="009F535A">
      <w:pPr>
        <w:jc w:val="both"/>
        <w:rPr>
          <w:rFonts w:ascii="Arial" w:eastAsia="Arial" w:hAnsi="Arial" w:cs="Arial"/>
          <w:sz w:val="22"/>
          <w:szCs w:val="22"/>
        </w:rPr>
      </w:pPr>
      <w:r>
        <w:rPr>
          <w:rFonts w:ascii="Arial" w:eastAsia="Arial" w:hAnsi="Arial" w:cs="Arial"/>
          <w:sz w:val="22"/>
          <w:szCs w:val="22"/>
        </w:rPr>
        <w:t>Il dibattito è acceso e coinvolge tutti gli Stati membri dell’UE, con i Governi in prima linea per la definizione di misure che possano fornire un reale sostegno ad aziende e cittadini.</w:t>
      </w:r>
      <w:r>
        <w:rPr>
          <w:rFonts w:ascii="Arial" w:eastAsia="Arial" w:hAnsi="Arial" w:cs="Arial"/>
          <w:sz w:val="22"/>
          <w:szCs w:val="22"/>
        </w:rPr>
        <w:t xml:space="preserve"> </w:t>
      </w:r>
    </w:p>
    <w:p w14:paraId="4CD59BCD" w14:textId="77777777" w:rsidR="00A95BF2" w:rsidRDefault="00A95BF2">
      <w:pPr>
        <w:jc w:val="both"/>
        <w:rPr>
          <w:rFonts w:ascii="Arial" w:eastAsia="Arial" w:hAnsi="Arial" w:cs="Arial"/>
          <w:sz w:val="22"/>
          <w:szCs w:val="22"/>
        </w:rPr>
      </w:pPr>
    </w:p>
    <w:p w14:paraId="39C6F252" w14:textId="77777777" w:rsidR="00A95BF2" w:rsidRDefault="009F535A">
      <w:pPr>
        <w:jc w:val="both"/>
        <w:rPr>
          <w:rFonts w:ascii="Arial" w:eastAsia="Arial" w:hAnsi="Arial" w:cs="Arial"/>
          <w:sz w:val="22"/>
          <w:szCs w:val="22"/>
        </w:rPr>
      </w:pPr>
      <w:r>
        <w:rPr>
          <w:rFonts w:ascii="Arial" w:eastAsia="Arial" w:hAnsi="Arial" w:cs="Arial"/>
          <w:sz w:val="22"/>
          <w:szCs w:val="22"/>
        </w:rPr>
        <w:t xml:space="preserve">I rischi della </w:t>
      </w:r>
      <w:r>
        <w:rPr>
          <w:rFonts w:ascii="Arial" w:eastAsia="Arial" w:hAnsi="Arial" w:cs="Arial"/>
          <w:i/>
          <w:sz w:val="22"/>
          <w:szCs w:val="22"/>
        </w:rPr>
        <w:t xml:space="preserve">povertà energetica </w:t>
      </w:r>
      <w:r>
        <w:rPr>
          <w:rFonts w:ascii="Arial" w:eastAsia="Arial" w:hAnsi="Arial" w:cs="Arial"/>
          <w:sz w:val="22"/>
          <w:szCs w:val="22"/>
        </w:rPr>
        <w:t>sono infatti concreti: a fronte dell’instabilità economica e dell’aumento del costo dell’energia, il numero di consumatori che non saranno in grado di accedere a beni e servizi energetici minimi (che in Italia rappresen</w:t>
      </w:r>
      <w:r>
        <w:rPr>
          <w:rFonts w:ascii="Arial" w:eastAsia="Arial" w:hAnsi="Arial" w:cs="Arial"/>
          <w:sz w:val="22"/>
          <w:szCs w:val="22"/>
        </w:rPr>
        <w:t>ta l’8,5% delle famiglie</w:t>
      </w:r>
      <w:r>
        <w:rPr>
          <w:rFonts w:ascii="Arial" w:eastAsia="Arial" w:hAnsi="Arial" w:cs="Arial"/>
          <w:sz w:val="22"/>
          <w:szCs w:val="22"/>
          <w:vertAlign w:val="superscript"/>
        </w:rPr>
        <w:footnoteReference w:id="2"/>
      </w:r>
      <w:r>
        <w:rPr>
          <w:rFonts w:ascii="Arial" w:eastAsia="Arial" w:hAnsi="Arial" w:cs="Arial"/>
          <w:sz w:val="22"/>
          <w:szCs w:val="22"/>
        </w:rPr>
        <w:t>) aumenterà. Al contempo, paradossalmente solo chi avrà la capacità di investire per riqualificare immobili e sistemi riuscirà a ridurre i consumi.</w:t>
      </w:r>
    </w:p>
    <w:p w14:paraId="204B0E61" w14:textId="77777777" w:rsidR="00A95BF2" w:rsidRDefault="00A95BF2">
      <w:pPr>
        <w:jc w:val="both"/>
        <w:rPr>
          <w:rFonts w:ascii="Arial" w:eastAsia="Arial" w:hAnsi="Arial" w:cs="Arial"/>
          <w:sz w:val="22"/>
          <w:szCs w:val="22"/>
        </w:rPr>
      </w:pPr>
    </w:p>
    <w:p w14:paraId="7A7369DD" w14:textId="77777777" w:rsidR="00A95BF2" w:rsidRDefault="009F535A">
      <w:pPr>
        <w:jc w:val="both"/>
        <w:rPr>
          <w:rFonts w:ascii="Arial" w:eastAsia="Arial" w:hAnsi="Arial" w:cs="Arial"/>
          <w:sz w:val="22"/>
          <w:szCs w:val="22"/>
        </w:rPr>
      </w:pPr>
      <w:r>
        <w:rPr>
          <w:rFonts w:ascii="Arial" w:eastAsia="Arial" w:hAnsi="Arial" w:cs="Arial"/>
          <w:sz w:val="22"/>
          <w:szCs w:val="22"/>
        </w:rPr>
        <w:lastRenderedPageBreak/>
        <w:t>In Italia, dopo le numerose modifiche apportate alla normativa in materia di Ecobonus e Superbonus 110%, ne</w:t>
      </w:r>
      <w:r>
        <w:rPr>
          <w:rFonts w:ascii="Arial" w:eastAsia="Arial" w:hAnsi="Arial" w:cs="Arial"/>
          <w:sz w:val="22"/>
          <w:szCs w:val="22"/>
        </w:rPr>
        <w:t>i prossimi mesi sarà indispensabile per il Governo fare chiarezza e definire linee guida che aprano la strada a un sistema di incentivi davvero accessibile,efficace e soprattutto stabile nel medio lungo termine.</w:t>
      </w:r>
    </w:p>
    <w:p w14:paraId="38B14031" w14:textId="77777777" w:rsidR="00A95BF2" w:rsidRDefault="009F535A">
      <w:pPr>
        <w:jc w:val="both"/>
        <w:rPr>
          <w:rFonts w:ascii="Arial" w:eastAsia="Arial" w:hAnsi="Arial" w:cs="Arial"/>
          <w:sz w:val="22"/>
          <w:szCs w:val="22"/>
        </w:rPr>
      </w:pPr>
      <w:r>
        <w:rPr>
          <w:rFonts w:ascii="Arial" w:eastAsia="Arial" w:hAnsi="Arial" w:cs="Arial"/>
          <w:sz w:val="22"/>
          <w:szCs w:val="22"/>
        </w:rPr>
        <w:t xml:space="preserve">Per gli operatori del settore, la sfida del </w:t>
      </w:r>
      <w:r>
        <w:rPr>
          <w:rFonts w:ascii="Arial" w:eastAsia="Arial" w:hAnsi="Arial" w:cs="Arial"/>
          <w:sz w:val="22"/>
          <w:szCs w:val="22"/>
        </w:rPr>
        <w:t xml:space="preserve">2023 sarà muoversi con successo in un contesto normativo estremamente complesso e variabile, per aiutare gli utenti finali e garantire loro l’accesso alle agevolazioni. </w:t>
      </w:r>
    </w:p>
    <w:p w14:paraId="02F869DA" w14:textId="77777777" w:rsidR="00A95BF2" w:rsidRDefault="00A95BF2">
      <w:pPr>
        <w:spacing w:after="240"/>
        <w:jc w:val="both"/>
        <w:rPr>
          <w:rFonts w:ascii="Arial" w:eastAsia="Arial" w:hAnsi="Arial" w:cs="Arial"/>
          <w:sz w:val="22"/>
          <w:szCs w:val="22"/>
        </w:rPr>
      </w:pPr>
    </w:p>
    <w:p w14:paraId="0F017FB4" w14:textId="77777777" w:rsidR="00A95BF2" w:rsidRDefault="009F535A">
      <w:pPr>
        <w:numPr>
          <w:ilvl w:val="0"/>
          <w:numId w:val="1"/>
        </w:numPr>
        <w:pBdr>
          <w:top w:val="nil"/>
          <w:left w:val="nil"/>
          <w:bottom w:val="nil"/>
          <w:right w:val="nil"/>
          <w:between w:val="nil"/>
        </w:pBdr>
        <w:spacing w:before="240" w:after="240"/>
        <w:jc w:val="both"/>
        <w:rPr>
          <w:rFonts w:ascii="Arial" w:eastAsia="Arial" w:hAnsi="Arial" w:cs="Arial"/>
          <w:b/>
          <w:color w:val="000000"/>
          <w:sz w:val="22"/>
          <w:szCs w:val="22"/>
        </w:rPr>
      </w:pPr>
      <w:r>
        <w:rPr>
          <w:rFonts w:ascii="Arial" w:eastAsia="Arial" w:hAnsi="Arial" w:cs="Arial"/>
          <w:b/>
          <w:color w:val="000000"/>
          <w:sz w:val="22"/>
          <w:szCs w:val="22"/>
        </w:rPr>
        <w:t xml:space="preserve">Rinnovabile </w:t>
      </w:r>
      <w:r>
        <w:rPr>
          <w:rFonts w:ascii="Arial" w:eastAsia="Arial" w:hAnsi="Arial" w:cs="Arial"/>
          <w:b/>
          <w:sz w:val="22"/>
          <w:szCs w:val="22"/>
        </w:rPr>
        <w:t>“</w:t>
      </w:r>
      <w:r>
        <w:rPr>
          <w:rFonts w:ascii="Arial" w:eastAsia="Arial" w:hAnsi="Arial" w:cs="Arial"/>
          <w:b/>
          <w:color w:val="000000"/>
          <w:sz w:val="22"/>
          <w:szCs w:val="22"/>
        </w:rPr>
        <w:t>veloce</w:t>
      </w:r>
      <w:r>
        <w:rPr>
          <w:rFonts w:ascii="Arial" w:eastAsia="Arial" w:hAnsi="Arial" w:cs="Arial"/>
          <w:b/>
          <w:sz w:val="22"/>
          <w:szCs w:val="22"/>
        </w:rPr>
        <w:t>”</w:t>
      </w:r>
      <w:r>
        <w:rPr>
          <w:rFonts w:ascii="Arial" w:eastAsia="Arial" w:hAnsi="Arial" w:cs="Arial"/>
          <w:b/>
          <w:color w:val="000000"/>
          <w:sz w:val="22"/>
          <w:szCs w:val="22"/>
        </w:rPr>
        <w:t xml:space="preserve"> per rispondere alla crisi</w:t>
      </w:r>
    </w:p>
    <w:p w14:paraId="478CD603" w14:textId="77777777" w:rsidR="00A95BF2" w:rsidRDefault="009F535A">
      <w:pPr>
        <w:spacing w:before="240"/>
        <w:jc w:val="both"/>
        <w:rPr>
          <w:rFonts w:ascii="Arial" w:eastAsia="Arial" w:hAnsi="Arial" w:cs="Arial"/>
          <w:sz w:val="22"/>
          <w:szCs w:val="22"/>
        </w:rPr>
      </w:pPr>
      <w:r>
        <w:rPr>
          <w:rFonts w:ascii="Arial" w:eastAsia="Arial" w:hAnsi="Arial" w:cs="Arial"/>
          <w:sz w:val="22"/>
          <w:szCs w:val="22"/>
        </w:rPr>
        <w:t xml:space="preserve">Le energie rinnovabili possono essere la soluzione definitiva e a lungo termine all’emergenza climatica ed economica globale. Tuttavia, se la crisi sta avanzando velocemente, provocando fra gli altri un aumento dei costi sempre più esponenziale, lo stesso </w:t>
      </w:r>
      <w:r>
        <w:rPr>
          <w:rFonts w:ascii="Arial" w:eastAsia="Arial" w:hAnsi="Arial" w:cs="Arial"/>
          <w:sz w:val="22"/>
          <w:szCs w:val="22"/>
        </w:rPr>
        <w:t>non si può dire di quelle tecnologie che prevedono l’implementazione di sistemi complessi basati su fonti di energia rinnovabili: impianti eolici e grandi parchi fotovoltaici, per esempio, possono richiedere anni per essere approvati e costruiti, senza con</w:t>
      </w:r>
      <w:r>
        <w:rPr>
          <w:rFonts w:ascii="Arial" w:eastAsia="Arial" w:hAnsi="Arial" w:cs="Arial"/>
          <w:sz w:val="22"/>
          <w:szCs w:val="22"/>
        </w:rPr>
        <w:t>siderare eventuali impedimenti ambientali che possono occorrere in fase di realizzazione.</w:t>
      </w:r>
    </w:p>
    <w:p w14:paraId="00FB15B9" w14:textId="77777777" w:rsidR="00A95BF2" w:rsidRDefault="00A95BF2">
      <w:pPr>
        <w:jc w:val="both"/>
        <w:rPr>
          <w:rFonts w:ascii="Arial" w:eastAsia="Arial" w:hAnsi="Arial" w:cs="Arial"/>
          <w:sz w:val="22"/>
          <w:szCs w:val="22"/>
        </w:rPr>
      </w:pPr>
    </w:p>
    <w:p w14:paraId="3B7D0B83" w14:textId="77777777" w:rsidR="00A95BF2" w:rsidRDefault="009F535A">
      <w:pPr>
        <w:jc w:val="both"/>
        <w:rPr>
          <w:rFonts w:ascii="Arial" w:eastAsia="Arial" w:hAnsi="Arial" w:cs="Arial"/>
          <w:sz w:val="22"/>
          <w:szCs w:val="22"/>
        </w:rPr>
      </w:pPr>
      <w:r>
        <w:rPr>
          <w:rFonts w:ascii="Arial" w:eastAsia="Arial" w:hAnsi="Arial" w:cs="Arial"/>
          <w:sz w:val="22"/>
          <w:szCs w:val="22"/>
        </w:rPr>
        <w:t>Accanto ai piani pluriennali e decennali per lo sviluppo delle fonti rinnovabili, quindi, nel 2023 andranno affermandosi soluzioni di minore impatto sistemico, ma pi</w:t>
      </w:r>
      <w:r>
        <w:rPr>
          <w:rFonts w:ascii="Arial" w:eastAsia="Arial" w:hAnsi="Arial" w:cs="Arial"/>
          <w:sz w:val="22"/>
          <w:szCs w:val="22"/>
        </w:rPr>
        <w:t xml:space="preserve">ù agili in termini di messa in opera: tra queste, si pensi agli impianti geotermici o fotovoltaici domestici e per PMI, che possono essere progettati e installati in poche settimane, portando vantaggi immediati per gli utenti finali. </w:t>
      </w:r>
    </w:p>
    <w:p w14:paraId="472F67FF" w14:textId="77777777" w:rsidR="00A95BF2" w:rsidRDefault="00A95BF2">
      <w:pPr>
        <w:spacing w:after="240"/>
        <w:jc w:val="both"/>
        <w:rPr>
          <w:rFonts w:ascii="Arial" w:eastAsia="Arial" w:hAnsi="Arial" w:cs="Arial"/>
          <w:sz w:val="22"/>
          <w:szCs w:val="22"/>
        </w:rPr>
      </w:pPr>
    </w:p>
    <w:p w14:paraId="00B58AEA" w14:textId="77777777" w:rsidR="00A95BF2" w:rsidRDefault="009F535A">
      <w:pPr>
        <w:numPr>
          <w:ilvl w:val="0"/>
          <w:numId w:val="1"/>
        </w:numPr>
        <w:pBdr>
          <w:top w:val="nil"/>
          <w:left w:val="nil"/>
          <w:bottom w:val="nil"/>
          <w:right w:val="nil"/>
          <w:between w:val="nil"/>
        </w:pBdr>
        <w:spacing w:before="240" w:after="240"/>
        <w:jc w:val="both"/>
        <w:rPr>
          <w:rFonts w:ascii="Arial" w:eastAsia="Arial" w:hAnsi="Arial" w:cs="Arial"/>
          <w:b/>
          <w:color w:val="000000"/>
          <w:sz w:val="22"/>
          <w:szCs w:val="22"/>
        </w:rPr>
      </w:pPr>
      <w:r>
        <w:rPr>
          <w:rFonts w:ascii="Arial" w:eastAsia="Arial" w:hAnsi="Arial" w:cs="Arial"/>
          <w:b/>
          <w:color w:val="000000"/>
          <w:sz w:val="22"/>
          <w:szCs w:val="22"/>
        </w:rPr>
        <w:t>Priorità alla riduzi</w:t>
      </w:r>
      <w:r>
        <w:rPr>
          <w:rFonts w:ascii="Arial" w:eastAsia="Arial" w:hAnsi="Arial" w:cs="Arial"/>
          <w:b/>
          <w:color w:val="000000"/>
          <w:sz w:val="22"/>
          <w:szCs w:val="22"/>
        </w:rPr>
        <w:t>one dei consumi e all’autoproduzione</w:t>
      </w:r>
    </w:p>
    <w:p w14:paraId="4F9EEE5A" w14:textId="77777777" w:rsidR="00A95BF2" w:rsidRDefault="009F535A">
      <w:pPr>
        <w:spacing w:before="240"/>
        <w:jc w:val="both"/>
        <w:rPr>
          <w:rFonts w:ascii="Arial" w:eastAsia="Arial" w:hAnsi="Arial" w:cs="Arial"/>
          <w:sz w:val="22"/>
          <w:szCs w:val="22"/>
        </w:rPr>
      </w:pPr>
      <w:r>
        <w:rPr>
          <w:rFonts w:ascii="Arial" w:eastAsia="Arial" w:hAnsi="Arial" w:cs="Arial"/>
          <w:sz w:val="22"/>
          <w:szCs w:val="22"/>
        </w:rPr>
        <w:t>Se fino a pochi anni fa l’attenzione era focalizzata unicamente sulla produzione di energia attraverso fonti rinnovabili, oggi istituzioni, aziende e consumatori si stanno concentrando sugli effetti immediati della ridu</w:t>
      </w:r>
      <w:r>
        <w:rPr>
          <w:rFonts w:ascii="Arial" w:eastAsia="Arial" w:hAnsi="Arial" w:cs="Arial"/>
          <w:sz w:val="22"/>
          <w:szCs w:val="22"/>
        </w:rPr>
        <w:t xml:space="preserve">zione dei consumi. </w:t>
      </w:r>
    </w:p>
    <w:p w14:paraId="1F2AC725" w14:textId="77777777" w:rsidR="00A95BF2" w:rsidRDefault="00A95BF2">
      <w:pPr>
        <w:jc w:val="both"/>
        <w:rPr>
          <w:rFonts w:ascii="Arial" w:eastAsia="Arial" w:hAnsi="Arial" w:cs="Arial"/>
          <w:sz w:val="22"/>
          <w:szCs w:val="22"/>
        </w:rPr>
      </w:pPr>
    </w:p>
    <w:p w14:paraId="47268A37" w14:textId="77777777" w:rsidR="00A95BF2" w:rsidRDefault="009F535A">
      <w:pPr>
        <w:jc w:val="both"/>
        <w:rPr>
          <w:rFonts w:ascii="Arial" w:eastAsia="Arial" w:hAnsi="Arial" w:cs="Arial"/>
          <w:sz w:val="22"/>
          <w:szCs w:val="22"/>
        </w:rPr>
      </w:pPr>
      <w:r>
        <w:rPr>
          <w:rFonts w:ascii="Arial" w:eastAsia="Arial" w:hAnsi="Arial" w:cs="Arial"/>
          <w:sz w:val="22"/>
          <w:szCs w:val="22"/>
        </w:rPr>
        <w:t>L’aumento dei costi pone di fronte alla necessità di migliorare la gestione quotidiana dell’energia, ottimizzando l’immagazzinamento e i consumi: nel 2023 l’installazione di nuovi dispositivi e gli interventi di ristrutturazione sarann</w:t>
      </w:r>
      <w:r>
        <w:rPr>
          <w:rFonts w:ascii="Arial" w:eastAsia="Arial" w:hAnsi="Arial" w:cs="Arial"/>
          <w:sz w:val="22"/>
          <w:szCs w:val="22"/>
        </w:rPr>
        <w:t xml:space="preserve">o quindi orientati alla diminuzione immediata dei consumi. </w:t>
      </w:r>
    </w:p>
    <w:p w14:paraId="2C914D87" w14:textId="77777777" w:rsidR="00A95BF2" w:rsidRDefault="009F535A">
      <w:pPr>
        <w:jc w:val="both"/>
        <w:rPr>
          <w:rFonts w:ascii="Arial" w:eastAsia="Arial" w:hAnsi="Arial" w:cs="Arial"/>
          <w:sz w:val="22"/>
          <w:szCs w:val="22"/>
        </w:rPr>
      </w:pPr>
      <w:r>
        <w:rPr>
          <w:rFonts w:ascii="Arial" w:eastAsia="Arial" w:hAnsi="Arial" w:cs="Arial"/>
          <w:sz w:val="22"/>
          <w:szCs w:val="22"/>
        </w:rPr>
        <w:t>Gli utenti finali potranno orientarsi su caldaie a condensazione e pompe di calore ibride o elettriche ad alta efficienza, che offrano le migliori performance in termini di efficienza energetica e</w:t>
      </w:r>
      <w:r>
        <w:rPr>
          <w:rFonts w:ascii="Arial" w:eastAsia="Arial" w:hAnsi="Arial" w:cs="Arial"/>
          <w:sz w:val="22"/>
          <w:szCs w:val="22"/>
        </w:rPr>
        <w:t xml:space="preserve"> impatto ambientale. </w:t>
      </w:r>
    </w:p>
    <w:p w14:paraId="5D57FCF2" w14:textId="77777777" w:rsidR="00A95BF2" w:rsidRDefault="00A95BF2">
      <w:pPr>
        <w:jc w:val="both"/>
        <w:rPr>
          <w:rFonts w:ascii="Arial" w:eastAsia="Arial" w:hAnsi="Arial" w:cs="Arial"/>
          <w:sz w:val="22"/>
          <w:szCs w:val="22"/>
        </w:rPr>
      </w:pPr>
    </w:p>
    <w:p w14:paraId="138FC601" w14:textId="77777777" w:rsidR="00A95BF2" w:rsidRDefault="009F535A">
      <w:pPr>
        <w:jc w:val="both"/>
        <w:rPr>
          <w:rFonts w:ascii="Arial" w:eastAsia="Arial" w:hAnsi="Arial" w:cs="Arial"/>
          <w:sz w:val="22"/>
          <w:szCs w:val="22"/>
        </w:rPr>
      </w:pPr>
      <w:r>
        <w:rPr>
          <w:rFonts w:ascii="Arial" w:eastAsia="Arial" w:hAnsi="Arial" w:cs="Arial"/>
          <w:sz w:val="22"/>
          <w:szCs w:val="22"/>
        </w:rPr>
        <w:t>Inoltre, continueranno a diffondersi quelle tecnologie che abilitano l’autoproduzione di energia elettrica come i pannelli fotovoltaici, secondo una dinamica che permette di produrre l’energia stessa che viene consumata, razionalizza</w:t>
      </w:r>
      <w:r>
        <w:rPr>
          <w:rFonts w:ascii="Arial" w:eastAsia="Arial" w:hAnsi="Arial" w:cs="Arial"/>
          <w:sz w:val="22"/>
          <w:szCs w:val="22"/>
        </w:rPr>
        <w:t xml:space="preserve">ndo in ultima analisi i costi. </w:t>
      </w:r>
    </w:p>
    <w:p w14:paraId="0DABD208" w14:textId="77777777" w:rsidR="00A95BF2" w:rsidRDefault="00A95BF2">
      <w:pPr>
        <w:spacing w:after="240"/>
        <w:jc w:val="both"/>
        <w:rPr>
          <w:rFonts w:ascii="Arial" w:eastAsia="Arial" w:hAnsi="Arial" w:cs="Arial"/>
          <w:sz w:val="22"/>
          <w:szCs w:val="22"/>
        </w:rPr>
      </w:pPr>
    </w:p>
    <w:p w14:paraId="13A54331" w14:textId="77777777" w:rsidR="00A95BF2" w:rsidRDefault="009F535A">
      <w:pPr>
        <w:numPr>
          <w:ilvl w:val="0"/>
          <w:numId w:val="1"/>
        </w:numPr>
        <w:pBdr>
          <w:top w:val="nil"/>
          <w:left w:val="nil"/>
          <w:bottom w:val="nil"/>
          <w:right w:val="nil"/>
          <w:between w:val="nil"/>
        </w:pBdr>
        <w:spacing w:before="240" w:after="240"/>
        <w:jc w:val="both"/>
        <w:rPr>
          <w:rFonts w:ascii="Arial" w:eastAsia="Arial" w:hAnsi="Arial" w:cs="Arial"/>
          <w:b/>
          <w:color w:val="000000"/>
          <w:sz w:val="22"/>
          <w:szCs w:val="22"/>
        </w:rPr>
      </w:pPr>
      <w:r>
        <w:rPr>
          <w:rFonts w:ascii="Arial" w:eastAsia="Arial" w:hAnsi="Arial" w:cs="Arial"/>
          <w:b/>
          <w:color w:val="000000"/>
          <w:sz w:val="22"/>
          <w:szCs w:val="22"/>
        </w:rPr>
        <w:t xml:space="preserve">Digitalizzazione, l’abilitatore chiave della transizione energetica </w:t>
      </w:r>
    </w:p>
    <w:p w14:paraId="460F70D0" w14:textId="77777777" w:rsidR="00A95BF2" w:rsidRDefault="009F535A">
      <w:pPr>
        <w:spacing w:before="240"/>
        <w:jc w:val="both"/>
        <w:rPr>
          <w:rFonts w:ascii="Arial" w:eastAsia="Arial" w:hAnsi="Arial" w:cs="Arial"/>
          <w:sz w:val="22"/>
          <w:szCs w:val="22"/>
        </w:rPr>
      </w:pPr>
      <w:r>
        <w:rPr>
          <w:rFonts w:ascii="Arial" w:eastAsia="Arial" w:hAnsi="Arial" w:cs="Arial"/>
          <w:sz w:val="22"/>
          <w:szCs w:val="22"/>
        </w:rPr>
        <w:t>Riduzione dei consumi e ottimizzazione dei costi non sarebbero raggiungibili senza un adeguato supporto tecnologico, che consenta di semplificare e standa</w:t>
      </w:r>
      <w:r>
        <w:rPr>
          <w:rFonts w:ascii="Arial" w:eastAsia="Arial" w:hAnsi="Arial" w:cs="Arial"/>
          <w:sz w:val="22"/>
          <w:szCs w:val="22"/>
        </w:rPr>
        <w:t xml:space="preserve">rdizzare i processi per tutte le parti: imprese, istituzioni e clienti finali. </w:t>
      </w:r>
    </w:p>
    <w:p w14:paraId="5967B660" w14:textId="77777777" w:rsidR="00A95BF2" w:rsidRDefault="00A95BF2">
      <w:pPr>
        <w:jc w:val="both"/>
        <w:rPr>
          <w:rFonts w:ascii="Arial" w:eastAsia="Arial" w:hAnsi="Arial" w:cs="Arial"/>
          <w:sz w:val="22"/>
          <w:szCs w:val="22"/>
        </w:rPr>
      </w:pPr>
    </w:p>
    <w:p w14:paraId="7ACC6068" w14:textId="77777777" w:rsidR="00A95BF2" w:rsidRDefault="009F535A">
      <w:pPr>
        <w:jc w:val="both"/>
        <w:rPr>
          <w:rFonts w:ascii="Arial" w:eastAsia="Arial" w:hAnsi="Arial" w:cs="Arial"/>
          <w:sz w:val="22"/>
          <w:szCs w:val="22"/>
        </w:rPr>
      </w:pPr>
      <w:r>
        <w:rPr>
          <w:rFonts w:ascii="Arial" w:eastAsia="Arial" w:hAnsi="Arial" w:cs="Arial"/>
          <w:sz w:val="22"/>
          <w:szCs w:val="22"/>
        </w:rPr>
        <w:t>Da un lato, per adattarsi velocemente alla complessità normativa attuale sarà necessario per le imprese rinnovare procedure burocratiche obsolete con l’introduzione di esperienze basate sui moderni strumenti digitali (dai supporti paperless per la gestione</w:t>
      </w:r>
      <w:r>
        <w:rPr>
          <w:rFonts w:ascii="Arial" w:eastAsia="Arial" w:hAnsi="Arial" w:cs="Arial"/>
          <w:sz w:val="22"/>
          <w:szCs w:val="22"/>
        </w:rPr>
        <w:t xml:space="preserve"> della documentazione alla firma digitale, fino allo SPID). </w:t>
      </w:r>
    </w:p>
    <w:p w14:paraId="0D9B6654" w14:textId="77777777" w:rsidR="00A95BF2" w:rsidRDefault="009F535A">
      <w:pPr>
        <w:jc w:val="both"/>
        <w:rPr>
          <w:rFonts w:ascii="Arial" w:eastAsia="Arial" w:hAnsi="Arial" w:cs="Arial"/>
          <w:sz w:val="22"/>
          <w:szCs w:val="22"/>
        </w:rPr>
      </w:pPr>
      <w:r>
        <w:rPr>
          <w:rFonts w:ascii="Arial" w:eastAsia="Arial" w:hAnsi="Arial" w:cs="Arial"/>
          <w:sz w:val="22"/>
          <w:szCs w:val="22"/>
        </w:rPr>
        <w:lastRenderedPageBreak/>
        <w:t>Le istituzioni dovranno investire nella digitalizzazione e velocizzazione dei processi. Ad esempio, le tempistiche di una pratica GSE sono un forte deterrente per imprese che vogliono fornire imp</w:t>
      </w:r>
      <w:r>
        <w:rPr>
          <w:rFonts w:ascii="Arial" w:eastAsia="Arial" w:hAnsi="Arial" w:cs="Arial"/>
          <w:sz w:val="22"/>
          <w:szCs w:val="22"/>
        </w:rPr>
        <w:t xml:space="preserve">ianti fotovoltaici offrendo lo sconto in fattura. Non poter cedere i crediti fino ad approvazione della pratica limita infatti l’attrattività di tale attività. </w:t>
      </w:r>
    </w:p>
    <w:p w14:paraId="1DB15166" w14:textId="77777777" w:rsidR="00A95BF2" w:rsidRDefault="00A95BF2">
      <w:pPr>
        <w:jc w:val="both"/>
        <w:rPr>
          <w:rFonts w:ascii="Arial" w:eastAsia="Arial" w:hAnsi="Arial" w:cs="Arial"/>
          <w:sz w:val="22"/>
          <w:szCs w:val="22"/>
        </w:rPr>
      </w:pPr>
    </w:p>
    <w:p w14:paraId="368C8854" w14:textId="77777777" w:rsidR="00A95BF2" w:rsidRDefault="009F535A">
      <w:pPr>
        <w:spacing w:after="240"/>
        <w:jc w:val="both"/>
        <w:rPr>
          <w:rFonts w:ascii="Arial" w:eastAsia="Arial" w:hAnsi="Arial" w:cs="Arial"/>
          <w:sz w:val="22"/>
          <w:szCs w:val="22"/>
        </w:rPr>
      </w:pPr>
      <w:r>
        <w:rPr>
          <w:rFonts w:ascii="Arial" w:eastAsia="Arial" w:hAnsi="Arial" w:cs="Arial"/>
          <w:sz w:val="22"/>
          <w:szCs w:val="22"/>
        </w:rPr>
        <w:t>Dall’altro, si assisterà a un’adozione sempre maggiore di tecnologie smart, che uniscano la do</w:t>
      </w:r>
      <w:r>
        <w:rPr>
          <w:rFonts w:ascii="Arial" w:eastAsia="Arial" w:hAnsi="Arial" w:cs="Arial"/>
          <w:sz w:val="22"/>
          <w:szCs w:val="22"/>
        </w:rPr>
        <w:t xml:space="preserve">motica alla gestione termica ed energetica. Il </w:t>
      </w:r>
      <w:r>
        <w:rPr>
          <w:rFonts w:ascii="Arial" w:eastAsia="Arial" w:hAnsi="Arial" w:cs="Arial"/>
          <w:i/>
          <w:sz w:val="22"/>
          <w:szCs w:val="22"/>
        </w:rPr>
        <w:t xml:space="preserve">monitoraggio </w:t>
      </w:r>
      <w:r>
        <w:rPr>
          <w:rFonts w:ascii="Arial" w:eastAsia="Arial" w:hAnsi="Arial" w:cs="Arial"/>
          <w:sz w:val="22"/>
          <w:szCs w:val="22"/>
        </w:rPr>
        <w:t>diventerà la nuova parola d’ordine degli edifici intelligenti: l’Internet of Things permetterà infatti agli utenti di controllare i consumi in modo granulare, così da intervenire sui singoli dispo</w:t>
      </w:r>
      <w:r>
        <w:rPr>
          <w:rFonts w:ascii="Arial" w:eastAsia="Arial" w:hAnsi="Arial" w:cs="Arial"/>
          <w:sz w:val="22"/>
          <w:szCs w:val="22"/>
        </w:rPr>
        <w:t>sitivi quando necessario, abbattendo consumi e costi.</w:t>
      </w:r>
    </w:p>
    <w:p w14:paraId="4856C2ED" w14:textId="77777777" w:rsidR="00A95BF2" w:rsidRDefault="009F535A">
      <w:pPr>
        <w:spacing w:after="240"/>
        <w:jc w:val="both"/>
        <w:rPr>
          <w:rFonts w:ascii="Arial" w:eastAsia="Arial" w:hAnsi="Arial" w:cs="Arial"/>
          <w:sz w:val="22"/>
          <w:szCs w:val="22"/>
        </w:rPr>
      </w:pPr>
      <w:r>
        <w:rPr>
          <w:rFonts w:ascii="Arial" w:eastAsia="Arial" w:hAnsi="Arial" w:cs="Arial"/>
          <w:sz w:val="22"/>
          <w:szCs w:val="22"/>
        </w:rPr>
        <w:t xml:space="preserve"> </w:t>
      </w:r>
    </w:p>
    <w:p w14:paraId="4380D1B8" w14:textId="77777777" w:rsidR="00A95BF2" w:rsidRDefault="009F535A">
      <w:pPr>
        <w:numPr>
          <w:ilvl w:val="0"/>
          <w:numId w:val="1"/>
        </w:numPr>
        <w:pBdr>
          <w:top w:val="nil"/>
          <w:left w:val="nil"/>
          <w:bottom w:val="nil"/>
          <w:right w:val="nil"/>
          <w:between w:val="nil"/>
        </w:pBdr>
        <w:spacing w:before="240" w:after="240"/>
        <w:jc w:val="both"/>
        <w:rPr>
          <w:rFonts w:ascii="Arial" w:eastAsia="Arial" w:hAnsi="Arial" w:cs="Arial"/>
          <w:b/>
          <w:color w:val="000000"/>
          <w:sz w:val="22"/>
          <w:szCs w:val="22"/>
        </w:rPr>
      </w:pPr>
      <w:r>
        <w:rPr>
          <w:rFonts w:ascii="Arial" w:eastAsia="Arial" w:hAnsi="Arial" w:cs="Arial"/>
          <w:b/>
          <w:color w:val="000000"/>
          <w:sz w:val="22"/>
          <w:szCs w:val="22"/>
        </w:rPr>
        <w:t>Policy ESG per certificare l’impatto ambientale</w:t>
      </w:r>
    </w:p>
    <w:p w14:paraId="3FFA4E98" w14:textId="77777777" w:rsidR="00A95BF2" w:rsidRDefault="009F535A">
      <w:pPr>
        <w:spacing w:before="240"/>
        <w:jc w:val="both"/>
        <w:rPr>
          <w:rFonts w:ascii="Arial" w:eastAsia="Arial" w:hAnsi="Arial" w:cs="Arial"/>
          <w:sz w:val="22"/>
          <w:szCs w:val="22"/>
        </w:rPr>
      </w:pPr>
      <w:r>
        <w:rPr>
          <w:rFonts w:ascii="Arial" w:eastAsia="Arial" w:hAnsi="Arial" w:cs="Arial"/>
          <w:sz w:val="22"/>
          <w:szCs w:val="22"/>
        </w:rPr>
        <w:t>La cultura della sostenibilità si sta diffondendo sia tra i consumatori, sia tra le aziende e anche nei prossimi mesi continuerà a portare profonde tras</w:t>
      </w:r>
      <w:r>
        <w:rPr>
          <w:rFonts w:ascii="Arial" w:eastAsia="Arial" w:hAnsi="Arial" w:cs="Arial"/>
          <w:sz w:val="22"/>
          <w:szCs w:val="22"/>
        </w:rPr>
        <w:t xml:space="preserve">formazioni nell’approccio al business da parte di organizzazioni di ogni dimensione. </w:t>
      </w:r>
    </w:p>
    <w:p w14:paraId="00A5F364" w14:textId="77777777" w:rsidR="00A95BF2" w:rsidRDefault="00A95BF2">
      <w:pPr>
        <w:jc w:val="both"/>
        <w:rPr>
          <w:rFonts w:ascii="Arial" w:eastAsia="Arial" w:hAnsi="Arial" w:cs="Arial"/>
          <w:sz w:val="22"/>
          <w:szCs w:val="22"/>
        </w:rPr>
      </w:pPr>
    </w:p>
    <w:p w14:paraId="7976F274" w14:textId="77777777" w:rsidR="00A95BF2" w:rsidRDefault="009F535A">
      <w:pPr>
        <w:jc w:val="both"/>
        <w:rPr>
          <w:rFonts w:ascii="Arial" w:eastAsia="Arial" w:hAnsi="Arial" w:cs="Arial"/>
          <w:sz w:val="22"/>
          <w:szCs w:val="22"/>
        </w:rPr>
      </w:pPr>
      <w:r>
        <w:rPr>
          <w:rFonts w:ascii="Arial" w:eastAsia="Arial" w:hAnsi="Arial" w:cs="Arial"/>
          <w:sz w:val="22"/>
          <w:szCs w:val="22"/>
        </w:rPr>
        <w:t>Tale consapevolezza spingerà un numero crescente di aziende ad adottare policy ESG che fanno dei valori non economici i pilastri su cui costruire le strategie future e c</w:t>
      </w:r>
      <w:r>
        <w:rPr>
          <w:rFonts w:ascii="Arial" w:eastAsia="Arial" w:hAnsi="Arial" w:cs="Arial"/>
          <w:sz w:val="22"/>
          <w:szCs w:val="22"/>
        </w:rPr>
        <w:t>ontribuire attivamente al raggiungimento degli obiettivi fissati dalle Nazioni Unite per il 2030 e il 2050. I bilanci di sostenibilità diventeranno così uno strumento per comunicare con i propri consumatori e investitori, impegnandosi dal punto di vista de</w:t>
      </w:r>
      <w:r>
        <w:rPr>
          <w:rFonts w:ascii="Arial" w:eastAsia="Arial" w:hAnsi="Arial" w:cs="Arial"/>
          <w:sz w:val="22"/>
          <w:szCs w:val="22"/>
        </w:rPr>
        <w:t xml:space="preserve">lla trasparenza e della responsabilità sociale. </w:t>
      </w:r>
    </w:p>
    <w:p w14:paraId="63405602" w14:textId="77777777" w:rsidR="00A95BF2" w:rsidRDefault="00A95BF2">
      <w:pPr>
        <w:jc w:val="both"/>
        <w:rPr>
          <w:rFonts w:ascii="Arial" w:eastAsia="Arial" w:hAnsi="Arial" w:cs="Arial"/>
          <w:sz w:val="22"/>
          <w:szCs w:val="22"/>
        </w:rPr>
      </w:pPr>
    </w:p>
    <w:p w14:paraId="3630787F" w14:textId="77777777" w:rsidR="00A95BF2" w:rsidRDefault="00A95BF2">
      <w:pPr>
        <w:jc w:val="both"/>
        <w:rPr>
          <w:rFonts w:ascii="Arial" w:eastAsia="Arial" w:hAnsi="Arial" w:cs="Arial"/>
          <w:sz w:val="22"/>
          <w:szCs w:val="22"/>
        </w:rPr>
      </w:pPr>
    </w:p>
    <w:p w14:paraId="7C8B7DF2" w14:textId="77777777" w:rsidR="00A95BF2" w:rsidRDefault="009F535A">
      <w:pPr>
        <w:jc w:val="center"/>
        <w:rPr>
          <w:sz w:val="28"/>
          <w:szCs w:val="28"/>
        </w:rPr>
      </w:pPr>
      <w:r>
        <w:rPr>
          <w:sz w:val="28"/>
          <w:szCs w:val="28"/>
        </w:rPr>
        <w:t>###</w:t>
      </w:r>
    </w:p>
    <w:p w14:paraId="0E6B96A4" w14:textId="77777777" w:rsidR="00A95BF2" w:rsidRDefault="00A95BF2">
      <w:pPr>
        <w:jc w:val="both"/>
      </w:pPr>
    </w:p>
    <w:p w14:paraId="507ED071" w14:textId="77777777" w:rsidR="00A95BF2" w:rsidRDefault="009F535A">
      <w:pPr>
        <w:rPr>
          <w:rFonts w:ascii="Arial" w:eastAsia="Arial" w:hAnsi="Arial" w:cs="Arial"/>
          <w:b/>
          <w:sz w:val="20"/>
          <w:szCs w:val="20"/>
        </w:rPr>
      </w:pPr>
      <w:r>
        <w:rPr>
          <w:rFonts w:ascii="Arial" w:eastAsia="Arial" w:hAnsi="Arial" w:cs="Arial"/>
          <w:b/>
          <w:sz w:val="20"/>
          <w:szCs w:val="20"/>
        </w:rPr>
        <w:t>Termo S.p.A.</w:t>
      </w:r>
    </w:p>
    <w:p w14:paraId="2C0F681A" w14:textId="77777777" w:rsidR="00A95BF2" w:rsidRDefault="009F535A">
      <w:pPr>
        <w:jc w:val="both"/>
        <w:rPr>
          <w:rFonts w:ascii="Arial" w:eastAsia="Arial" w:hAnsi="Arial" w:cs="Arial"/>
          <w:sz w:val="20"/>
          <w:szCs w:val="20"/>
        </w:rPr>
      </w:pPr>
      <w:r>
        <w:rPr>
          <w:rFonts w:ascii="Arial" w:eastAsia="Arial" w:hAnsi="Arial" w:cs="Arial"/>
          <w:sz w:val="20"/>
          <w:szCs w:val="20"/>
        </w:rPr>
        <w:t>Termo S.p.A. è un’azienda in prima linea nella transizione energetica, la cui mission è ridurre le emissioni di CO2 e i consumi degli edifici residenziali. Dal 2014 si occupa di attività di riqualificazione energetica che includono la progettazione, l’esec</w:t>
      </w:r>
      <w:r>
        <w:rPr>
          <w:rFonts w:ascii="Arial" w:eastAsia="Arial" w:hAnsi="Arial" w:cs="Arial"/>
          <w:sz w:val="20"/>
          <w:szCs w:val="20"/>
        </w:rPr>
        <w:t>uzione e la gestione delle relative pratiche – dal credito fiscale alla pratica GSE. Ad oggi, Termo ha eseguito oltre 12.300 installazioni di sistemi HVAC e ha gestito oltre 110 cantieri superbonus 110%, generando una riduzione di emissioni di CO2 superior</w:t>
      </w:r>
      <w:r>
        <w:rPr>
          <w:rFonts w:ascii="Arial" w:eastAsia="Arial" w:hAnsi="Arial" w:cs="Arial"/>
          <w:sz w:val="20"/>
          <w:szCs w:val="20"/>
        </w:rPr>
        <w:t>e a 4.500 ton/anno. L’azienda ha inoltre stipulato convenzioni con 120 istituti bancari per la gestione dei crediti Ecobonus, superando ad oggi 1 miliardo di Euro di crediti gestiti. Termo crede fortemente nella digitalizzazione come acceleratore del proce</w:t>
      </w:r>
      <w:r>
        <w:rPr>
          <w:rFonts w:ascii="Arial" w:eastAsia="Arial" w:hAnsi="Arial" w:cs="Arial"/>
          <w:sz w:val="20"/>
          <w:szCs w:val="20"/>
        </w:rPr>
        <w:t xml:space="preserve">sso di transizione energetica e decarbonizzazione, per questo ha implementato una policy ESG che contribuisce ad affrontare queste sfide, oltre ad essere diventata Società Benefit nel 2022.  </w:t>
      </w:r>
    </w:p>
    <w:p w14:paraId="66197A3F" w14:textId="77777777" w:rsidR="00A95BF2" w:rsidRDefault="009F535A">
      <w:pPr>
        <w:jc w:val="both"/>
        <w:rPr>
          <w:rFonts w:ascii="Arial" w:eastAsia="Arial" w:hAnsi="Arial" w:cs="Arial"/>
          <w:sz w:val="20"/>
          <w:szCs w:val="20"/>
        </w:rPr>
      </w:pPr>
      <w:r>
        <w:rPr>
          <w:rFonts w:ascii="Arial" w:eastAsia="Arial" w:hAnsi="Arial" w:cs="Arial"/>
          <w:sz w:val="20"/>
          <w:szCs w:val="20"/>
        </w:rPr>
        <w:t>Termo è supportata, tra gli altri, da Fondo Italiano di Investim</w:t>
      </w:r>
      <w:r>
        <w:rPr>
          <w:rFonts w:ascii="Arial" w:eastAsia="Arial" w:hAnsi="Arial" w:cs="Arial"/>
          <w:sz w:val="20"/>
          <w:szCs w:val="20"/>
        </w:rPr>
        <w:t>ento / CDP, RTI-Mediaset e Supernova-Italmondo.</w:t>
      </w:r>
    </w:p>
    <w:p w14:paraId="7A73A3B1" w14:textId="77777777" w:rsidR="00A95BF2" w:rsidRDefault="009F535A">
      <w:pPr>
        <w:jc w:val="both"/>
        <w:rPr>
          <w:rFonts w:ascii="Arial" w:eastAsia="Arial" w:hAnsi="Arial" w:cs="Arial"/>
          <w:sz w:val="20"/>
          <w:szCs w:val="20"/>
        </w:rPr>
      </w:pPr>
      <w:r>
        <w:rPr>
          <w:rFonts w:ascii="Arial" w:eastAsia="Arial" w:hAnsi="Arial" w:cs="Arial"/>
          <w:sz w:val="20"/>
          <w:szCs w:val="20"/>
        </w:rPr>
        <w:t>Per maggiori informazioni:</w:t>
      </w:r>
      <w:hyperlink r:id="rId9">
        <w:r>
          <w:rPr>
            <w:rFonts w:ascii="Arial" w:eastAsia="Arial" w:hAnsi="Arial" w:cs="Arial"/>
            <w:sz w:val="20"/>
            <w:szCs w:val="20"/>
          </w:rPr>
          <w:t xml:space="preserve"> </w:t>
        </w:r>
      </w:hyperlink>
      <w:hyperlink r:id="rId10">
        <w:r>
          <w:rPr>
            <w:rFonts w:ascii="Arial" w:eastAsia="Arial" w:hAnsi="Arial" w:cs="Arial"/>
            <w:color w:val="1155CC"/>
            <w:sz w:val="20"/>
            <w:szCs w:val="20"/>
            <w:u w:val="single"/>
          </w:rPr>
          <w:t>https://termo.com/</w:t>
        </w:r>
      </w:hyperlink>
      <w:r>
        <w:rPr>
          <w:rFonts w:ascii="Arial" w:eastAsia="Arial" w:hAnsi="Arial" w:cs="Arial"/>
          <w:sz w:val="20"/>
          <w:szCs w:val="20"/>
        </w:rPr>
        <w:t xml:space="preserve"> </w:t>
      </w:r>
    </w:p>
    <w:p w14:paraId="415BB137" w14:textId="77777777" w:rsidR="00A95BF2" w:rsidRDefault="00A95BF2">
      <w:pPr>
        <w:jc w:val="both"/>
        <w:rPr>
          <w:rFonts w:ascii="Arial" w:eastAsia="Arial" w:hAnsi="Arial" w:cs="Arial"/>
          <w:sz w:val="20"/>
          <w:szCs w:val="20"/>
          <w:highlight w:val="yellow"/>
        </w:rPr>
      </w:pPr>
    </w:p>
    <w:p w14:paraId="75AA64D1" w14:textId="77777777" w:rsidR="00A95BF2" w:rsidRDefault="00A95BF2">
      <w:pPr>
        <w:jc w:val="both"/>
        <w:rPr>
          <w:rFonts w:ascii="Arial" w:eastAsia="Arial" w:hAnsi="Arial" w:cs="Arial"/>
          <w:sz w:val="20"/>
          <w:szCs w:val="20"/>
          <w:highlight w:val="yellow"/>
        </w:rPr>
      </w:pPr>
    </w:p>
    <w:p w14:paraId="24EA9DF7" w14:textId="77777777" w:rsidR="00A95BF2" w:rsidRDefault="00A95BF2">
      <w:pPr>
        <w:rPr>
          <w:rFonts w:ascii="Arial" w:eastAsia="Arial" w:hAnsi="Arial" w:cs="Arial"/>
          <w:b/>
          <w:sz w:val="20"/>
          <w:szCs w:val="20"/>
        </w:rPr>
      </w:pPr>
    </w:p>
    <w:p w14:paraId="57BABFE8" w14:textId="77777777" w:rsidR="00A95BF2" w:rsidRDefault="00A95BF2">
      <w:pPr>
        <w:rPr>
          <w:rFonts w:ascii="Arial" w:eastAsia="Arial" w:hAnsi="Arial" w:cs="Arial"/>
          <w:sz w:val="20"/>
          <w:szCs w:val="20"/>
        </w:rPr>
      </w:pPr>
    </w:p>
    <w:p w14:paraId="32610372" w14:textId="77777777" w:rsidR="00A95BF2" w:rsidRDefault="009F535A">
      <w:pPr>
        <w:rPr>
          <w:rFonts w:ascii="Arial" w:eastAsia="Arial" w:hAnsi="Arial" w:cs="Arial"/>
          <w:sz w:val="22"/>
          <w:szCs w:val="22"/>
        </w:rPr>
      </w:pPr>
      <w:r>
        <w:rPr>
          <w:rFonts w:ascii="Arial" w:eastAsia="Arial" w:hAnsi="Arial" w:cs="Arial"/>
          <w:b/>
          <w:sz w:val="22"/>
          <w:szCs w:val="22"/>
        </w:rPr>
        <w:t xml:space="preserve">Per maggiori informazioni: </w:t>
      </w:r>
      <w:r>
        <w:rPr>
          <w:rFonts w:ascii="Arial" w:eastAsia="Arial" w:hAnsi="Arial" w:cs="Arial"/>
          <w:b/>
          <w:sz w:val="22"/>
          <w:szCs w:val="22"/>
        </w:rPr>
        <w:br/>
      </w:r>
      <w:r>
        <w:rPr>
          <w:rFonts w:ascii="Arial" w:eastAsia="Arial" w:hAnsi="Arial" w:cs="Arial"/>
          <w:sz w:val="22"/>
          <w:szCs w:val="22"/>
        </w:rPr>
        <w:t xml:space="preserve">Ufficio stampa Termo - Hotwire Public Relations </w:t>
      </w:r>
      <w:r>
        <w:rPr>
          <w:rFonts w:ascii="Arial" w:eastAsia="Arial" w:hAnsi="Arial" w:cs="Arial"/>
          <w:sz w:val="18"/>
          <w:szCs w:val="18"/>
        </w:rPr>
        <w:br/>
      </w:r>
      <w:r>
        <w:rPr>
          <w:rFonts w:ascii="Arial" w:eastAsia="Arial" w:hAnsi="Arial" w:cs="Arial"/>
          <w:sz w:val="22"/>
          <w:szCs w:val="22"/>
        </w:rPr>
        <w:t>+39 02 3664 3650</w:t>
      </w:r>
      <w:r>
        <w:rPr>
          <w:rFonts w:ascii="Arial" w:eastAsia="Arial" w:hAnsi="Arial" w:cs="Arial"/>
          <w:sz w:val="18"/>
          <w:szCs w:val="18"/>
        </w:rPr>
        <w:t xml:space="preserve"> </w:t>
      </w:r>
      <w:r>
        <w:rPr>
          <w:rFonts w:ascii="Arial" w:eastAsia="Arial" w:hAnsi="Arial" w:cs="Arial"/>
          <w:sz w:val="18"/>
          <w:szCs w:val="18"/>
        </w:rPr>
        <w:br/>
      </w:r>
      <w:r>
        <w:rPr>
          <w:rFonts w:ascii="Arial" w:eastAsia="Arial" w:hAnsi="Arial" w:cs="Arial"/>
          <w:color w:val="0000FF"/>
          <w:sz w:val="22"/>
          <w:szCs w:val="22"/>
        </w:rPr>
        <w:t>termoit@hotwireglobal.com</w:t>
      </w:r>
      <w:r>
        <w:rPr>
          <w:rFonts w:ascii="Arial" w:eastAsia="Arial" w:hAnsi="Arial" w:cs="Arial"/>
          <w:sz w:val="20"/>
          <w:szCs w:val="20"/>
        </w:rPr>
        <w:t xml:space="preserve"> </w:t>
      </w:r>
    </w:p>
    <w:sectPr w:rsidR="00A95BF2">
      <w:head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DCCE" w14:textId="77777777" w:rsidR="00000000" w:rsidRDefault="009F535A">
      <w:r>
        <w:separator/>
      </w:r>
    </w:p>
  </w:endnote>
  <w:endnote w:type="continuationSeparator" w:id="0">
    <w:p w14:paraId="08A3C692" w14:textId="77777777" w:rsidR="00000000" w:rsidRDefault="009F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EFED" w14:textId="77777777" w:rsidR="00000000" w:rsidRDefault="009F535A">
      <w:r>
        <w:separator/>
      </w:r>
    </w:p>
  </w:footnote>
  <w:footnote w:type="continuationSeparator" w:id="0">
    <w:p w14:paraId="61BD2F7D" w14:textId="77777777" w:rsidR="00000000" w:rsidRDefault="009F535A">
      <w:r>
        <w:continuationSeparator/>
      </w:r>
    </w:p>
  </w:footnote>
  <w:footnote w:id="1">
    <w:p w14:paraId="17C4E775" w14:textId="77777777" w:rsidR="00A95BF2" w:rsidRPr="009F535A" w:rsidRDefault="009F535A">
      <w:pPr>
        <w:pBdr>
          <w:top w:val="nil"/>
          <w:left w:val="nil"/>
          <w:bottom w:val="nil"/>
          <w:right w:val="nil"/>
          <w:between w:val="nil"/>
        </w:pBdr>
        <w:rPr>
          <w:color w:val="000000"/>
          <w:sz w:val="20"/>
          <w:szCs w:val="20"/>
          <w:lang w:val="en-US"/>
        </w:rPr>
      </w:pPr>
      <w:r>
        <w:rPr>
          <w:vertAlign w:val="superscript"/>
        </w:rPr>
        <w:footnoteRef/>
      </w:r>
      <w:r w:rsidRPr="009F535A">
        <w:rPr>
          <w:color w:val="000000"/>
          <w:sz w:val="20"/>
          <w:szCs w:val="20"/>
          <w:lang w:val="en-US"/>
        </w:rPr>
        <w:t xml:space="preserve"> </w:t>
      </w:r>
      <w:r w:rsidRPr="009F535A">
        <w:rPr>
          <w:rFonts w:ascii="Arial" w:eastAsia="Arial" w:hAnsi="Arial" w:cs="Arial"/>
          <w:color w:val="000000"/>
          <w:sz w:val="16"/>
          <w:szCs w:val="16"/>
          <w:lang w:val="en-US"/>
        </w:rPr>
        <w:t xml:space="preserve">Fonte: </w:t>
      </w:r>
      <w:hyperlink r:id="rId1">
        <w:r w:rsidRPr="009F535A">
          <w:rPr>
            <w:rFonts w:ascii="Arial" w:eastAsia="Arial" w:hAnsi="Arial" w:cs="Arial"/>
            <w:color w:val="0563C1"/>
            <w:sz w:val="16"/>
            <w:szCs w:val="16"/>
            <w:u w:val="single"/>
            <w:lang w:val="en-US"/>
          </w:rPr>
          <w:t>Commissione Europea</w:t>
        </w:r>
      </w:hyperlink>
      <w:r w:rsidRPr="009F535A">
        <w:rPr>
          <w:rFonts w:ascii="Arial" w:eastAsia="Arial" w:hAnsi="Arial" w:cs="Arial"/>
          <w:color w:val="000000"/>
          <w:sz w:val="16"/>
          <w:szCs w:val="16"/>
          <w:lang w:val="en-US"/>
        </w:rPr>
        <w:t>, Energy Performance of Buildings Directive (EPBD)</w:t>
      </w:r>
    </w:p>
  </w:footnote>
  <w:footnote w:id="2">
    <w:p w14:paraId="77F03C42" w14:textId="77777777" w:rsidR="00A95BF2" w:rsidRDefault="009F535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 xml:space="preserve">Fonte: </w:t>
      </w:r>
      <w:hyperlink r:id="rId2">
        <w:r>
          <w:rPr>
            <w:rFonts w:ascii="Arial" w:eastAsia="Arial" w:hAnsi="Arial" w:cs="Arial"/>
            <w:color w:val="0563C1"/>
            <w:sz w:val="16"/>
            <w:szCs w:val="16"/>
            <w:u w:val="single"/>
          </w:rPr>
          <w:t>OIPE Osservatorio Italiano sulla Povertà Energetica</w:t>
        </w:r>
      </w:hyperlink>
      <w:r>
        <w:rPr>
          <w:rFonts w:ascii="Arial" w:eastAsia="Arial" w:hAnsi="Arial" w:cs="Arial"/>
          <w:color w:val="000000"/>
          <w:sz w:val="16"/>
          <w:szCs w:val="16"/>
        </w:rPr>
        <w:t>, La povertà energetica delle regioni italiane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B8E" w14:textId="77777777" w:rsidR="00A95BF2" w:rsidRDefault="009F535A">
    <w:pPr>
      <w:pBdr>
        <w:top w:val="nil"/>
        <w:left w:val="nil"/>
        <w:bottom w:val="nil"/>
        <w:right w:val="nil"/>
        <w:between w:val="nil"/>
      </w:pBdr>
      <w:tabs>
        <w:tab w:val="center" w:pos="4819"/>
        <w:tab w:val="right" w:pos="9638"/>
      </w:tabs>
      <w:rPr>
        <w:color w:val="000000"/>
      </w:rPr>
    </w:pPr>
    <w:r>
      <w:rPr>
        <w:noProof/>
        <w:color w:val="000000"/>
      </w:rPr>
      <w:drawing>
        <wp:anchor distT="0" distB="0" distL="114300" distR="114300" simplePos="0" relativeHeight="251658240" behindDoc="0" locked="0" layoutInCell="1" hidden="0" allowOverlap="1" wp14:anchorId="4FDAD5B5" wp14:editId="19456F20">
          <wp:simplePos x="0" y="0"/>
          <wp:positionH relativeFrom="margin">
            <wp:posOffset>4716780</wp:posOffset>
          </wp:positionH>
          <wp:positionV relativeFrom="margin">
            <wp:posOffset>-986151</wp:posOffset>
          </wp:positionV>
          <wp:extent cx="1788795" cy="774700"/>
          <wp:effectExtent l="0" t="0" r="0" b="0"/>
          <wp:wrapSquare wrapText="bothSides" distT="0" distB="0" distL="114300" distR="114300"/>
          <wp:docPr id="4" name="image1.png" descr="Termo | Fondo Italiano"/>
          <wp:cNvGraphicFramePr/>
          <a:graphic xmlns:a="http://schemas.openxmlformats.org/drawingml/2006/main">
            <a:graphicData uri="http://schemas.openxmlformats.org/drawingml/2006/picture">
              <pic:pic xmlns:pic="http://schemas.openxmlformats.org/drawingml/2006/picture">
                <pic:nvPicPr>
                  <pic:cNvPr id="0" name="image1.png" descr="Termo | Fondo Italiano"/>
                  <pic:cNvPicPr preferRelativeResize="0"/>
                </pic:nvPicPr>
                <pic:blipFill>
                  <a:blip r:embed="rId1"/>
                  <a:srcRect/>
                  <a:stretch>
                    <a:fillRect/>
                  </a:stretch>
                </pic:blipFill>
                <pic:spPr>
                  <a:xfrm>
                    <a:off x="0" y="0"/>
                    <a:ext cx="1788795" cy="774700"/>
                  </a:xfrm>
                  <a:prstGeom prst="rect">
                    <a:avLst/>
                  </a:prstGeom>
                  <a:ln/>
                </pic:spPr>
              </pic:pic>
            </a:graphicData>
          </a:graphic>
        </wp:anchor>
      </w:drawing>
    </w:r>
  </w:p>
  <w:p w14:paraId="2D1CF4BE" w14:textId="77777777" w:rsidR="00A95BF2" w:rsidRDefault="00A95BF2">
    <w:pPr>
      <w:pBdr>
        <w:top w:val="nil"/>
        <w:left w:val="nil"/>
        <w:bottom w:val="nil"/>
        <w:right w:val="nil"/>
        <w:between w:val="nil"/>
      </w:pBdr>
      <w:tabs>
        <w:tab w:val="center" w:pos="4819"/>
        <w:tab w:val="right" w:pos="9638"/>
      </w:tabs>
      <w:rPr>
        <w:color w:val="000000"/>
      </w:rPr>
    </w:pPr>
  </w:p>
  <w:p w14:paraId="4AE5F2AB" w14:textId="77777777" w:rsidR="00A95BF2" w:rsidRDefault="00A95BF2">
    <w:pPr>
      <w:pBdr>
        <w:top w:val="nil"/>
        <w:left w:val="nil"/>
        <w:bottom w:val="nil"/>
        <w:right w:val="nil"/>
        <w:between w:val="nil"/>
      </w:pBdr>
      <w:tabs>
        <w:tab w:val="center" w:pos="4819"/>
        <w:tab w:val="right" w:pos="9638"/>
      </w:tabs>
      <w:rPr>
        <w:color w:val="000000"/>
      </w:rPr>
    </w:pPr>
  </w:p>
  <w:p w14:paraId="729B6C33" w14:textId="77777777" w:rsidR="00A95BF2" w:rsidRDefault="00A95BF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56E1"/>
    <w:multiLevelType w:val="multilevel"/>
    <w:tmpl w:val="8F8ED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116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F2"/>
    <w:rsid w:val="002D5D84"/>
    <w:rsid w:val="009F535A"/>
    <w:rsid w:val="00A9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CFD4"/>
  <w15:docId w15:val="{1D462470-E983-48D9-8ECD-1E876DCB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043622"/>
    <w:pPr>
      <w:ind w:left="720"/>
      <w:contextualSpacing/>
    </w:pPr>
  </w:style>
  <w:style w:type="paragraph" w:styleId="Intestazione">
    <w:name w:val="header"/>
    <w:basedOn w:val="Normale"/>
    <w:link w:val="IntestazioneCarattere"/>
    <w:uiPriority w:val="99"/>
    <w:unhideWhenUsed/>
    <w:rsid w:val="00D91780"/>
    <w:pPr>
      <w:tabs>
        <w:tab w:val="center" w:pos="4819"/>
        <w:tab w:val="right" w:pos="9638"/>
      </w:tabs>
    </w:pPr>
  </w:style>
  <w:style w:type="character" w:customStyle="1" w:styleId="IntestazioneCarattere">
    <w:name w:val="Intestazione Carattere"/>
    <w:basedOn w:val="Carpredefinitoparagrafo"/>
    <w:link w:val="Intestazione"/>
    <w:uiPriority w:val="99"/>
    <w:rsid w:val="00D91780"/>
  </w:style>
  <w:style w:type="paragraph" w:styleId="Pidipagina">
    <w:name w:val="footer"/>
    <w:basedOn w:val="Normale"/>
    <w:link w:val="PidipaginaCarattere"/>
    <w:uiPriority w:val="99"/>
    <w:unhideWhenUsed/>
    <w:rsid w:val="00D91780"/>
    <w:pPr>
      <w:tabs>
        <w:tab w:val="center" w:pos="4819"/>
        <w:tab w:val="right" w:pos="9638"/>
      </w:tabs>
    </w:pPr>
  </w:style>
  <w:style w:type="character" w:customStyle="1" w:styleId="PidipaginaCarattere">
    <w:name w:val="Piè di pagina Carattere"/>
    <w:basedOn w:val="Carpredefinitoparagrafo"/>
    <w:link w:val="Pidipagina"/>
    <w:uiPriority w:val="99"/>
    <w:rsid w:val="00D91780"/>
  </w:style>
  <w:style w:type="paragraph" w:styleId="Revisione">
    <w:name w:val="Revision"/>
    <w:hidden/>
    <w:uiPriority w:val="99"/>
    <w:semiHidden/>
    <w:rsid w:val="006A7E61"/>
  </w:style>
  <w:style w:type="character" w:styleId="Collegamentoipertestuale">
    <w:name w:val="Hyperlink"/>
    <w:basedOn w:val="Carpredefinitoparagrafo"/>
    <w:uiPriority w:val="99"/>
    <w:unhideWhenUsed/>
    <w:rsid w:val="00BC4C5D"/>
    <w:rPr>
      <w:color w:val="0563C1" w:themeColor="hyperlink"/>
      <w:u w:val="single"/>
    </w:rPr>
  </w:style>
  <w:style w:type="character" w:styleId="Menzionenonrisolta">
    <w:name w:val="Unresolved Mention"/>
    <w:basedOn w:val="Carpredefinitoparagrafo"/>
    <w:uiPriority w:val="99"/>
    <w:semiHidden/>
    <w:unhideWhenUsed/>
    <w:rsid w:val="00BC4C5D"/>
    <w:rPr>
      <w:color w:val="605E5C"/>
      <w:shd w:val="clear" w:color="auto" w:fill="E1DFDD"/>
    </w:rPr>
  </w:style>
  <w:style w:type="character" w:styleId="Rimandocommento">
    <w:name w:val="annotation reference"/>
    <w:basedOn w:val="Carpredefinitoparagrafo"/>
    <w:uiPriority w:val="99"/>
    <w:semiHidden/>
    <w:unhideWhenUsed/>
    <w:rsid w:val="00A069FE"/>
    <w:rPr>
      <w:sz w:val="16"/>
      <w:szCs w:val="16"/>
    </w:rPr>
  </w:style>
  <w:style w:type="paragraph" w:styleId="Testocommento">
    <w:name w:val="annotation text"/>
    <w:basedOn w:val="Normale"/>
    <w:link w:val="TestocommentoCarattere"/>
    <w:uiPriority w:val="99"/>
    <w:unhideWhenUsed/>
    <w:rsid w:val="00A069FE"/>
    <w:rPr>
      <w:sz w:val="20"/>
      <w:szCs w:val="20"/>
    </w:rPr>
  </w:style>
  <w:style w:type="character" w:customStyle="1" w:styleId="TestocommentoCarattere">
    <w:name w:val="Testo commento Carattere"/>
    <w:basedOn w:val="Carpredefinitoparagrafo"/>
    <w:link w:val="Testocommento"/>
    <w:uiPriority w:val="99"/>
    <w:rsid w:val="00A069FE"/>
    <w:rPr>
      <w:sz w:val="20"/>
      <w:szCs w:val="20"/>
    </w:rPr>
  </w:style>
  <w:style w:type="paragraph" w:styleId="Soggettocommento">
    <w:name w:val="annotation subject"/>
    <w:basedOn w:val="Testocommento"/>
    <w:next w:val="Testocommento"/>
    <w:link w:val="SoggettocommentoCarattere"/>
    <w:uiPriority w:val="99"/>
    <w:semiHidden/>
    <w:unhideWhenUsed/>
    <w:rsid w:val="00A069FE"/>
    <w:rPr>
      <w:b/>
      <w:bCs/>
    </w:rPr>
  </w:style>
  <w:style w:type="character" w:customStyle="1" w:styleId="SoggettocommentoCarattere">
    <w:name w:val="Soggetto commento Carattere"/>
    <w:basedOn w:val="TestocommentoCarattere"/>
    <w:link w:val="Soggettocommento"/>
    <w:uiPriority w:val="99"/>
    <w:semiHidden/>
    <w:rsid w:val="00A069FE"/>
    <w:rPr>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836DEA"/>
    <w:rPr>
      <w:sz w:val="20"/>
      <w:szCs w:val="20"/>
    </w:rPr>
  </w:style>
  <w:style w:type="character" w:customStyle="1" w:styleId="TestonotaapidipaginaCarattere">
    <w:name w:val="Testo nota a piè di pagina Carattere"/>
    <w:basedOn w:val="Carpredefinitoparagrafo"/>
    <w:link w:val="Testonotaapidipagina"/>
    <w:uiPriority w:val="99"/>
    <w:semiHidden/>
    <w:rsid w:val="00836DEA"/>
    <w:rPr>
      <w:sz w:val="20"/>
      <w:szCs w:val="20"/>
    </w:rPr>
  </w:style>
  <w:style w:type="character" w:styleId="Rimandonotaapidipagina">
    <w:name w:val="footnote reference"/>
    <w:basedOn w:val="Carpredefinitoparagrafo"/>
    <w:uiPriority w:val="99"/>
    <w:semiHidden/>
    <w:unhideWhenUsed/>
    <w:rsid w:val="00836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rm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rmo.com/" TargetMode="External"/><Relationship Id="rId4" Type="http://schemas.openxmlformats.org/officeDocument/2006/relationships/settings" Target="settings.xml"/><Relationship Id="rId9" Type="http://schemas.openxmlformats.org/officeDocument/2006/relationships/hyperlink" Target="https://term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ipeosservatorio.it/2022/12/22/la-poverta-energetica-delle-regioni-italiane-nel-2021/" TargetMode="External"/><Relationship Id="rId1" Type="http://schemas.openxmlformats.org/officeDocument/2006/relationships/hyperlink" Target="https://energy.ec.europa.eu/topics/energy-efficiency/energy-efficient-buildings/energy-performance-buildings-directiv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fg2r8EhKmJ2a1VAWWVW6ZJ4qMQ==">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Volontieri</dc:creator>
  <cp:lastModifiedBy>Elisa Bortolozzo</cp:lastModifiedBy>
  <cp:revision>3</cp:revision>
  <dcterms:created xsi:type="dcterms:W3CDTF">2023-01-26T09:23:00Z</dcterms:created>
  <dcterms:modified xsi:type="dcterms:W3CDTF">2023-01-26T09:29:00Z</dcterms:modified>
</cp:coreProperties>
</file>