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9D7A" w14:textId="00483E43" w:rsidR="00DC1B15" w:rsidRPr="00687FE1" w:rsidRDefault="00687FE1" w:rsidP="0008315D">
      <w:pPr>
        <w:shd w:val="clear" w:color="auto" w:fill="FFFFFF"/>
        <w:spacing w:after="120" w:line="264" w:lineRule="auto"/>
        <w:rPr>
          <w:rFonts w:ascii="Calibri" w:hAnsi="Calibri" w:cs="Arial"/>
          <w:b/>
          <w:sz w:val="22"/>
          <w:szCs w:val="22"/>
          <w:lang w:val="it-IT" w:eastAsia="en-GB"/>
        </w:rPr>
      </w:pPr>
      <w:r w:rsidRPr="00687FE1">
        <w:rPr>
          <w:rFonts w:ascii="Calibri" w:hAnsi="Calibri" w:cs="Arial"/>
          <w:b/>
          <w:sz w:val="22"/>
          <w:szCs w:val="22"/>
          <w:lang w:val="it-IT"/>
        </w:rPr>
        <w:t>Schroders</w:t>
      </w:r>
      <w:r w:rsidRPr="00687FE1" w:rsidDel="00687FE1">
        <w:rPr>
          <w:rFonts w:ascii="Calibri" w:hAnsi="Calibri" w:cs="Arial"/>
          <w:b/>
          <w:sz w:val="22"/>
          <w:szCs w:val="22"/>
          <w:lang w:val="it-IT" w:eastAsia="en-GB"/>
        </w:rPr>
        <w:t xml:space="preserve"> </w:t>
      </w:r>
      <w:r>
        <w:rPr>
          <w:rFonts w:ascii="Calibri" w:hAnsi="Calibri" w:cs="Arial"/>
          <w:b/>
          <w:sz w:val="22"/>
          <w:szCs w:val="22"/>
          <w:lang w:val="it-IT" w:eastAsia="en-GB"/>
        </w:rPr>
        <w:t>-</w:t>
      </w:r>
      <w:r w:rsidR="00524FCF">
        <w:rPr>
          <w:rFonts w:ascii="Calibri" w:hAnsi="Calibri" w:cs="Arial"/>
          <w:b/>
          <w:sz w:val="22"/>
          <w:szCs w:val="22"/>
          <w:lang w:val="it-IT" w:eastAsia="en-GB"/>
        </w:rPr>
        <w:t xml:space="preserve"> </w:t>
      </w:r>
      <w:r w:rsidR="002D5DF1" w:rsidRPr="00687FE1">
        <w:rPr>
          <w:rFonts w:ascii="Calibri" w:hAnsi="Calibri" w:cs="Arial"/>
          <w:b/>
          <w:sz w:val="22"/>
          <w:szCs w:val="22"/>
          <w:lang w:val="it-IT" w:eastAsia="en-GB"/>
        </w:rPr>
        <w:t xml:space="preserve">Credito globale: </w:t>
      </w:r>
      <w:r>
        <w:rPr>
          <w:rFonts w:ascii="Calibri" w:hAnsi="Calibri" w:cs="Arial"/>
          <w:b/>
          <w:sz w:val="22"/>
          <w:szCs w:val="22"/>
          <w:lang w:val="it-IT" w:eastAsia="en-GB"/>
        </w:rPr>
        <w:t xml:space="preserve">nel 2023 </w:t>
      </w:r>
      <w:r w:rsidR="002D5DF1" w:rsidRPr="00687FE1">
        <w:rPr>
          <w:rFonts w:ascii="Calibri" w:hAnsi="Calibri" w:cs="Arial"/>
          <w:b/>
          <w:sz w:val="22"/>
          <w:szCs w:val="22"/>
          <w:lang w:val="it-IT" w:eastAsia="en-GB"/>
        </w:rPr>
        <w:t>l’approccio attivo sarà premiato?</w:t>
      </w:r>
    </w:p>
    <w:p w14:paraId="2BD491B9" w14:textId="5A3F5730" w:rsidR="009808EB" w:rsidRPr="00687FE1" w:rsidRDefault="00EE6A02" w:rsidP="0008315D">
      <w:pPr>
        <w:pStyle w:val="name"/>
        <w:shd w:val="clear" w:color="auto" w:fill="FFFFFF"/>
        <w:spacing w:before="0" w:beforeAutospacing="0" w:after="120" w:afterAutospacing="0" w:line="264" w:lineRule="auto"/>
        <w:rPr>
          <w:rFonts w:ascii="Calibri" w:hAnsi="Calibri" w:cs="Arial"/>
          <w:b/>
          <w:sz w:val="22"/>
          <w:szCs w:val="22"/>
          <w:lang w:val="it-IT"/>
        </w:rPr>
      </w:pPr>
      <w:r w:rsidRPr="00687FE1">
        <w:rPr>
          <w:rFonts w:ascii="Calibri" w:hAnsi="Calibri"/>
          <w:sz w:val="22"/>
          <w:szCs w:val="22"/>
          <w:lang w:val="it-IT"/>
        </w:rPr>
        <w:t>A cura di</w:t>
      </w:r>
      <w:r w:rsidRPr="00687FE1">
        <w:rPr>
          <w:rFonts w:ascii="Calibri" w:hAnsi="Calibri"/>
          <w:b/>
          <w:sz w:val="22"/>
          <w:szCs w:val="22"/>
          <w:lang w:val="it-IT"/>
        </w:rPr>
        <w:t xml:space="preserve"> </w:t>
      </w:r>
      <w:r w:rsidRPr="00687FE1">
        <w:rPr>
          <w:rFonts w:ascii="Calibri" w:hAnsi="Calibri" w:cs="Arial"/>
          <w:b/>
          <w:sz w:val="22"/>
          <w:szCs w:val="22"/>
          <w:lang w:val="it-IT"/>
        </w:rPr>
        <w:t xml:space="preserve">Rajeev Shah, Global Credit Strategist, e </w:t>
      </w:r>
      <w:proofErr w:type="spellStart"/>
      <w:r w:rsidRPr="00687FE1">
        <w:rPr>
          <w:rFonts w:ascii="Calibri" w:hAnsi="Calibri" w:cs="Arial"/>
          <w:b/>
          <w:sz w:val="22"/>
          <w:szCs w:val="22"/>
          <w:lang w:val="it-IT"/>
        </w:rPr>
        <w:t>Janina</w:t>
      </w:r>
      <w:proofErr w:type="spellEnd"/>
      <w:r w:rsidRPr="00687FE1">
        <w:rPr>
          <w:rFonts w:ascii="Calibri" w:hAnsi="Calibri" w:cs="Arial"/>
          <w:b/>
          <w:sz w:val="22"/>
          <w:szCs w:val="22"/>
          <w:lang w:val="it-IT"/>
        </w:rPr>
        <w:t xml:space="preserve"> Sibelius, Investment </w:t>
      </w:r>
      <w:proofErr w:type="spellStart"/>
      <w:r w:rsidRPr="00687FE1">
        <w:rPr>
          <w:rFonts w:ascii="Calibri" w:hAnsi="Calibri" w:cs="Arial"/>
          <w:b/>
          <w:sz w:val="22"/>
          <w:szCs w:val="22"/>
          <w:lang w:val="it-IT"/>
        </w:rPr>
        <w:t>Specialist</w:t>
      </w:r>
      <w:proofErr w:type="spellEnd"/>
      <w:r w:rsidRPr="00687FE1">
        <w:rPr>
          <w:rFonts w:ascii="Calibri" w:hAnsi="Calibri" w:cs="Arial"/>
          <w:b/>
          <w:sz w:val="22"/>
          <w:szCs w:val="22"/>
          <w:lang w:val="it-IT"/>
        </w:rPr>
        <w:t>, Schroders</w:t>
      </w:r>
    </w:p>
    <w:p w14:paraId="4D4AF2B8" w14:textId="77777777" w:rsidR="0008315D" w:rsidRDefault="0008315D" w:rsidP="0008315D">
      <w:pPr>
        <w:pStyle w:val="name"/>
        <w:shd w:val="clear" w:color="auto" w:fill="FFFFFF"/>
        <w:spacing w:before="0" w:beforeAutospacing="0" w:after="120" w:afterAutospacing="0" w:line="264" w:lineRule="auto"/>
        <w:rPr>
          <w:rFonts w:ascii="Calibri" w:hAnsi="Calibri" w:cs="Arial"/>
          <w:sz w:val="22"/>
          <w:szCs w:val="22"/>
          <w:lang w:val="it-IT"/>
        </w:rPr>
      </w:pPr>
    </w:p>
    <w:p w14:paraId="3AEDC081" w14:textId="3E5890D9" w:rsidR="007D5119" w:rsidRPr="00502174" w:rsidRDefault="007D5119" w:rsidP="0008315D">
      <w:pPr>
        <w:pStyle w:val="name"/>
        <w:shd w:val="clear" w:color="auto" w:fill="FFFFFF"/>
        <w:spacing w:before="0" w:beforeAutospacing="0" w:after="120" w:afterAutospacing="0" w:line="264" w:lineRule="auto"/>
        <w:rPr>
          <w:rFonts w:ascii="Calibri" w:hAnsi="Calibri" w:cs="Arial"/>
          <w:b/>
          <w:bCs/>
          <w:sz w:val="22"/>
          <w:szCs w:val="22"/>
          <w:lang w:val="it-IT"/>
        </w:rPr>
      </w:pPr>
      <w:r w:rsidRPr="00687FE1">
        <w:rPr>
          <w:rFonts w:ascii="Calibri" w:hAnsi="Calibri" w:cs="Arial"/>
          <w:sz w:val="22"/>
          <w:szCs w:val="22"/>
          <w:lang w:val="it-IT"/>
        </w:rPr>
        <w:t xml:space="preserve">Non è esagerato dire che </w:t>
      </w:r>
      <w:r w:rsidRPr="00502174">
        <w:rPr>
          <w:rFonts w:ascii="Calibri" w:hAnsi="Calibri" w:cs="Arial"/>
          <w:b/>
          <w:bCs/>
          <w:sz w:val="22"/>
          <w:szCs w:val="22"/>
          <w:lang w:val="it-IT"/>
        </w:rPr>
        <w:t xml:space="preserve">il 2022 è stato l’anno peggiore per il credito </w:t>
      </w:r>
      <w:r w:rsidR="00295CC3" w:rsidRPr="00502174">
        <w:rPr>
          <w:rFonts w:ascii="Calibri" w:hAnsi="Calibri" w:cs="Arial"/>
          <w:b/>
          <w:bCs/>
          <w:sz w:val="22"/>
          <w:szCs w:val="22"/>
          <w:lang w:val="it-IT"/>
        </w:rPr>
        <w:t>nella storia recente</w:t>
      </w:r>
      <w:r w:rsidRPr="00687FE1">
        <w:rPr>
          <w:rFonts w:ascii="Calibri" w:hAnsi="Calibri" w:cs="Arial"/>
          <w:sz w:val="22"/>
          <w:szCs w:val="22"/>
          <w:lang w:val="it-IT"/>
        </w:rPr>
        <w:t xml:space="preserve">. Tuttavia, con le valutazioni dei mercati obbligazionari governativi e societari di nuovo allettanti, </w:t>
      </w:r>
      <w:r w:rsidR="00687FE1" w:rsidRPr="00502174">
        <w:rPr>
          <w:rFonts w:ascii="Calibri" w:hAnsi="Calibri" w:cs="Arial"/>
          <w:b/>
          <w:bCs/>
          <w:sz w:val="22"/>
          <w:szCs w:val="22"/>
          <w:lang w:val="it-IT"/>
        </w:rPr>
        <w:t>il</w:t>
      </w:r>
      <w:r w:rsidRPr="00502174">
        <w:rPr>
          <w:rFonts w:ascii="Calibri" w:hAnsi="Calibri" w:cs="Arial"/>
          <w:b/>
          <w:bCs/>
          <w:sz w:val="22"/>
          <w:szCs w:val="22"/>
          <w:lang w:val="it-IT"/>
        </w:rPr>
        <w:t xml:space="preserve"> 2023</w:t>
      </w:r>
      <w:r w:rsidR="00295CC3" w:rsidRPr="00502174">
        <w:rPr>
          <w:rFonts w:ascii="Calibri" w:hAnsi="Calibri" w:cs="Arial"/>
          <w:b/>
          <w:bCs/>
          <w:sz w:val="22"/>
          <w:szCs w:val="22"/>
          <w:lang w:val="it-IT"/>
        </w:rPr>
        <w:t xml:space="preserve"> si mostra incoraggiante</w:t>
      </w:r>
      <w:r w:rsidRPr="00502174">
        <w:rPr>
          <w:rFonts w:ascii="Calibri" w:hAnsi="Calibri" w:cs="Arial"/>
          <w:b/>
          <w:bCs/>
          <w:sz w:val="22"/>
          <w:szCs w:val="22"/>
          <w:lang w:val="it-IT"/>
        </w:rPr>
        <w:t>.</w:t>
      </w:r>
    </w:p>
    <w:p w14:paraId="41F292E0" w14:textId="17AA4337" w:rsidR="007D5119" w:rsidRPr="00687FE1" w:rsidRDefault="007D5119" w:rsidP="0008315D">
      <w:pPr>
        <w:pStyle w:val="name"/>
        <w:shd w:val="clear" w:color="auto" w:fill="FFFFFF"/>
        <w:spacing w:before="0" w:beforeAutospacing="0" w:after="120" w:afterAutospacing="0" w:line="264" w:lineRule="auto"/>
        <w:rPr>
          <w:rFonts w:ascii="Calibri" w:hAnsi="Calibri" w:cs="Arial"/>
          <w:sz w:val="22"/>
          <w:szCs w:val="22"/>
          <w:lang w:val="it-IT"/>
        </w:rPr>
      </w:pPr>
      <w:r w:rsidRPr="00687FE1">
        <w:rPr>
          <w:rFonts w:ascii="Calibri" w:hAnsi="Calibri" w:cs="Arial"/>
          <w:sz w:val="22"/>
          <w:szCs w:val="22"/>
          <w:lang w:val="it-IT"/>
        </w:rPr>
        <w:t xml:space="preserve">I mercati finanziari stanno iniziando </w:t>
      </w:r>
      <w:proofErr w:type="gramStart"/>
      <w:r w:rsidRPr="00687FE1">
        <w:rPr>
          <w:rFonts w:ascii="Calibri" w:hAnsi="Calibri" w:cs="Arial"/>
          <w:sz w:val="22"/>
          <w:szCs w:val="22"/>
          <w:lang w:val="it-IT"/>
        </w:rPr>
        <w:t>ad</w:t>
      </w:r>
      <w:proofErr w:type="gramEnd"/>
      <w:r w:rsidRPr="00687FE1">
        <w:rPr>
          <w:rFonts w:ascii="Calibri" w:hAnsi="Calibri" w:cs="Arial"/>
          <w:sz w:val="22"/>
          <w:szCs w:val="22"/>
          <w:lang w:val="it-IT"/>
        </w:rPr>
        <w:t xml:space="preserve"> adattarsi a un nuovo contesto di mercato. Un ambiente in cui le </w:t>
      </w:r>
      <w:r w:rsidR="009808EB">
        <w:rPr>
          <w:rFonts w:ascii="Calibri" w:hAnsi="Calibri" w:cs="Arial"/>
          <w:sz w:val="22"/>
          <w:szCs w:val="22"/>
          <w:lang w:val="it-IT"/>
        </w:rPr>
        <w:t>b</w:t>
      </w:r>
      <w:r w:rsidRPr="00687FE1">
        <w:rPr>
          <w:rFonts w:ascii="Calibri" w:hAnsi="Calibri" w:cs="Arial"/>
          <w:sz w:val="22"/>
          <w:szCs w:val="22"/>
          <w:lang w:val="it-IT"/>
        </w:rPr>
        <w:t xml:space="preserve">anche </w:t>
      </w:r>
      <w:r w:rsidR="009808EB">
        <w:rPr>
          <w:rFonts w:ascii="Calibri" w:hAnsi="Calibri" w:cs="Arial"/>
          <w:sz w:val="22"/>
          <w:szCs w:val="22"/>
          <w:lang w:val="it-IT"/>
        </w:rPr>
        <w:t>c</w:t>
      </w:r>
      <w:r w:rsidRPr="00687FE1">
        <w:rPr>
          <w:rFonts w:ascii="Calibri" w:hAnsi="Calibri" w:cs="Arial"/>
          <w:sz w:val="22"/>
          <w:szCs w:val="22"/>
          <w:lang w:val="it-IT"/>
        </w:rPr>
        <w:t xml:space="preserve">entrali continuano a diventare più aggressive e si allontanano dall’era del </w:t>
      </w:r>
      <w:r w:rsidRPr="00687FE1">
        <w:rPr>
          <w:rFonts w:ascii="Calibri" w:hAnsi="Calibri" w:cs="Arial"/>
          <w:i/>
          <w:sz w:val="22"/>
          <w:szCs w:val="22"/>
          <w:lang w:val="it-IT"/>
        </w:rPr>
        <w:t xml:space="preserve">Quantitative </w:t>
      </w:r>
      <w:proofErr w:type="spellStart"/>
      <w:r w:rsidRPr="00687FE1">
        <w:rPr>
          <w:rFonts w:ascii="Calibri" w:hAnsi="Calibri" w:cs="Arial"/>
          <w:i/>
          <w:sz w:val="22"/>
          <w:szCs w:val="22"/>
          <w:lang w:val="it-IT"/>
        </w:rPr>
        <w:t>Easing</w:t>
      </w:r>
      <w:proofErr w:type="spellEnd"/>
      <w:r w:rsidRPr="00687FE1">
        <w:rPr>
          <w:rFonts w:ascii="Calibri" w:hAnsi="Calibri" w:cs="Arial"/>
          <w:sz w:val="22"/>
          <w:szCs w:val="22"/>
          <w:lang w:val="it-IT"/>
        </w:rPr>
        <w:t xml:space="preserve"> (QE), mentre si prevede che l’inflazione raggiunga il suo picco. </w:t>
      </w:r>
    </w:p>
    <w:p w14:paraId="6DA34F06" w14:textId="79E146A8" w:rsidR="007D5119" w:rsidRDefault="007D5119" w:rsidP="0008315D">
      <w:pPr>
        <w:pStyle w:val="name"/>
        <w:shd w:val="clear" w:color="auto" w:fill="FFFFFF"/>
        <w:spacing w:before="0" w:beforeAutospacing="0" w:after="120" w:afterAutospacing="0" w:line="264" w:lineRule="auto"/>
        <w:rPr>
          <w:rFonts w:ascii="Calibri" w:hAnsi="Calibri" w:cs="Arial"/>
          <w:sz w:val="22"/>
          <w:szCs w:val="22"/>
          <w:lang w:val="it-IT"/>
        </w:rPr>
      </w:pPr>
      <w:r w:rsidRPr="00687FE1">
        <w:rPr>
          <w:rFonts w:ascii="Calibri" w:hAnsi="Calibri" w:cs="Arial"/>
          <w:sz w:val="22"/>
          <w:szCs w:val="22"/>
          <w:lang w:val="it-IT"/>
        </w:rPr>
        <w:t>Tuttavia</w:t>
      </w:r>
      <w:r w:rsidRPr="00502174">
        <w:rPr>
          <w:rFonts w:ascii="Calibri" w:hAnsi="Calibri" w:cs="Arial"/>
          <w:b/>
          <w:bCs/>
          <w:sz w:val="22"/>
          <w:szCs w:val="22"/>
          <w:lang w:val="it-IT"/>
        </w:rPr>
        <w:t>, i timori di una recessione globale rimangono elevati</w:t>
      </w:r>
      <w:r w:rsidRPr="00687FE1">
        <w:rPr>
          <w:rFonts w:ascii="Calibri" w:hAnsi="Calibri" w:cs="Arial"/>
          <w:sz w:val="22"/>
          <w:szCs w:val="22"/>
          <w:lang w:val="it-IT"/>
        </w:rPr>
        <w:t xml:space="preserve">, anche se è ancora troppo presto per dire quanto profonda o prolungata </w:t>
      </w:r>
      <w:r w:rsidR="00687FE1">
        <w:rPr>
          <w:rFonts w:ascii="Calibri" w:hAnsi="Calibri" w:cs="Arial"/>
          <w:sz w:val="22"/>
          <w:szCs w:val="22"/>
          <w:lang w:val="it-IT"/>
        </w:rPr>
        <w:t>si rivelerà</w:t>
      </w:r>
      <w:r w:rsidR="00687FE1" w:rsidRPr="00687FE1">
        <w:rPr>
          <w:rFonts w:ascii="Calibri" w:hAnsi="Calibri" w:cs="Arial"/>
          <w:sz w:val="22"/>
          <w:szCs w:val="22"/>
          <w:lang w:val="it-IT"/>
        </w:rPr>
        <w:t xml:space="preserve"> </w:t>
      </w:r>
      <w:r w:rsidRPr="00687FE1">
        <w:rPr>
          <w:rFonts w:ascii="Calibri" w:hAnsi="Calibri" w:cs="Arial"/>
          <w:sz w:val="22"/>
          <w:szCs w:val="22"/>
          <w:lang w:val="it-IT"/>
        </w:rPr>
        <w:t>tale contrazione.</w:t>
      </w:r>
    </w:p>
    <w:p w14:paraId="0CE737A9" w14:textId="77777777" w:rsidR="0008315D" w:rsidRDefault="0008315D" w:rsidP="0008315D">
      <w:pPr>
        <w:pStyle w:val="NormaleWeb"/>
        <w:shd w:val="clear" w:color="auto" w:fill="FFFFFF"/>
        <w:spacing w:before="0" w:beforeAutospacing="0" w:after="120" w:afterAutospacing="0" w:line="264" w:lineRule="auto"/>
        <w:rPr>
          <w:rStyle w:val="Enfasigrassetto"/>
          <w:rFonts w:ascii="Calibri" w:eastAsia="Times New Roman" w:hAnsi="Calibri" w:cs="Arial"/>
          <w:b w:val="0"/>
          <w:bCs w:val="0"/>
          <w:sz w:val="22"/>
          <w:szCs w:val="22"/>
          <w:u w:val="single"/>
          <w:lang w:val="it-IT" w:eastAsia="en-US"/>
        </w:rPr>
      </w:pPr>
    </w:p>
    <w:p w14:paraId="5EDC7798" w14:textId="4F4E60DF" w:rsidR="005645FB" w:rsidRPr="00687FE1" w:rsidRDefault="005645FB" w:rsidP="0008315D">
      <w:pPr>
        <w:pStyle w:val="NormaleWeb"/>
        <w:shd w:val="clear" w:color="auto" w:fill="FFFFFF"/>
        <w:spacing w:before="0" w:beforeAutospacing="0" w:after="120" w:afterAutospacing="0" w:line="264" w:lineRule="auto"/>
        <w:rPr>
          <w:rStyle w:val="Enfasigrassetto"/>
          <w:rFonts w:ascii="Calibri" w:eastAsia="Times New Roman" w:hAnsi="Calibri" w:cs="Arial"/>
          <w:b w:val="0"/>
          <w:bCs w:val="0"/>
          <w:sz w:val="22"/>
          <w:szCs w:val="22"/>
          <w:u w:val="single"/>
          <w:lang w:val="it-IT" w:eastAsia="en-US"/>
        </w:rPr>
      </w:pPr>
      <w:r w:rsidRPr="00687FE1">
        <w:rPr>
          <w:rStyle w:val="Enfasigrassetto"/>
          <w:rFonts w:ascii="Calibri" w:eastAsia="Times New Roman" w:hAnsi="Calibri" w:cs="Arial"/>
          <w:b w:val="0"/>
          <w:bCs w:val="0"/>
          <w:sz w:val="22"/>
          <w:szCs w:val="22"/>
          <w:u w:val="single"/>
          <w:lang w:val="it-IT" w:eastAsia="en-US"/>
        </w:rPr>
        <w:t>Maggiore dispersione e valutazioni interessanti</w:t>
      </w:r>
    </w:p>
    <w:p w14:paraId="080AD993" w14:textId="7D68E2E7" w:rsidR="00F57563" w:rsidRPr="00502174" w:rsidRDefault="00F57563" w:rsidP="0008315D">
      <w:pPr>
        <w:pStyle w:val="NormaleWeb"/>
        <w:shd w:val="clear" w:color="auto" w:fill="FFFFFF"/>
        <w:spacing w:before="0" w:beforeAutospacing="0" w:after="120" w:afterAutospacing="0" w:line="264" w:lineRule="auto"/>
        <w:rPr>
          <w:rFonts w:ascii="Calibri" w:hAnsi="Calibri" w:cs="Arial"/>
          <w:b/>
          <w:bCs/>
          <w:sz w:val="22"/>
          <w:szCs w:val="22"/>
          <w:lang w:val="it-IT"/>
        </w:rPr>
      </w:pPr>
      <w:r w:rsidRPr="00687FE1">
        <w:rPr>
          <w:rFonts w:ascii="Calibri" w:hAnsi="Calibri" w:cs="Arial"/>
          <w:sz w:val="22"/>
          <w:szCs w:val="22"/>
          <w:lang w:val="it-IT"/>
        </w:rPr>
        <w:t xml:space="preserve">Mentre le </w:t>
      </w:r>
      <w:r w:rsidR="009808EB">
        <w:rPr>
          <w:rFonts w:ascii="Calibri" w:hAnsi="Calibri" w:cs="Arial"/>
          <w:sz w:val="22"/>
          <w:szCs w:val="22"/>
          <w:lang w:val="it-IT"/>
        </w:rPr>
        <w:t>b</w:t>
      </w:r>
      <w:r w:rsidRPr="00687FE1">
        <w:rPr>
          <w:rFonts w:ascii="Calibri" w:hAnsi="Calibri" w:cs="Arial"/>
          <w:sz w:val="22"/>
          <w:szCs w:val="22"/>
          <w:lang w:val="it-IT"/>
        </w:rPr>
        <w:t xml:space="preserve">anche </w:t>
      </w:r>
      <w:r w:rsidR="009808EB">
        <w:rPr>
          <w:rFonts w:ascii="Calibri" w:hAnsi="Calibri" w:cs="Arial"/>
          <w:sz w:val="22"/>
          <w:szCs w:val="22"/>
          <w:lang w:val="it-IT"/>
        </w:rPr>
        <w:t>c</w:t>
      </w:r>
      <w:r w:rsidRPr="00687FE1">
        <w:rPr>
          <w:rFonts w:ascii="Calibri" w:hAnsi="Calibri" w:cs="Arial"/>
          <w:sz w:val="22"/>
          <w:szCs w:val="22"/>
          <w:lang w:val="it-IT"/>
        </w:rPr>
        <w:t xml:space="preserve">entrali dei mercati emergenti hanno già aumentato i tassi di interesse in modo significativo, i mercati sviluppati hanno </w:t>
      </w:r>
      <w:r w:rsidR="00687FE1">
        <w:rPr>
          <w:rFonts w:ascii="Calibri" w:hAnsi="Calibri" w:cs="Arial"/>
          <w:sz w:val="22"/>
          <w:szCs w:val="22"/>
          <w:lang w:val="it-IT"/>
        </w:rPr>
        <w:t>inasprito</w:t>
      </w:r>
      <w:r w:rsidRPr="00687FE1">
        <w:rPr>
          <w:rFonts w:ascii="Calibri" w:hAnsi="Calibri" w:cs="Arial"/>
          <w:sz w:val="22"/>
          <w:szCs w:val="22"/>
          <w:lang w:val="it-IT"/>
        </w:rPr>
        <w:t xml:space="preserve"> le condizioni finanziarie </w:t>
      </w:r>
      <w:r w:rsidR="00687FE1">
        <w:rPr>
          <w:rFonts w:ascii="Calibri" w:hAnsi="Calibri" w:cs="Arial"/>
          <w:sz w:val="22"/>
          <w:szCs w:val="22"/>
          <w:lang w:val="it-IT"/>
        </w:rPr>
        <w:t xml:space="preserve">nell’ultimo </w:t>
      </w:r>
      <w:r w:rsidRPr="00687FE1">
        <w:rPr>
          <w:rFonts w:ascii="Calibri" w:hAnsi="Calibri" w:cs="Arial"/>
          <w:sz w:val="22"/>
          <w:szCs w:val="22"/>
          <w:lang w:val="it-IT"/>
        </w:rPr>
        <w:t xml:space="preserve">anno, con una serie di rialzi dei tassi. </w:t>
      </w:r>
      <w:r w:rsidRPr="00502174">
        <w:rPr>
          <w:rFonts w:ascii="Calibri" w:hAnsi="Calibri" w:cs="Arial"/>
          <w:b/>
          <w:bCs/>
          <w:sz w:val="22"/>
          <w:szCs w:val="22"/>
          <w:lang w:val="it-IT"/>
        </w:rPr>
        <w:t>L’aumento dei costi di finanziamento ha iniziato a comprimere la crescita e</w:t>
      </w:r>
      <w:r w:rsidR="00502174" w:rsidRPr="00502174">
        <w:rPr>
          <w:rFonts w:ascii="Calibri" w:hAnsi="Calibri" w:cs="Arial"/>
          <w:b/>
          <w:bCs/>
          <w:sz w:val="22"/>
          <w:szCs w:val="22"/>
          <w:lang w:val="it-IT"/>
        </w:rPr>
        <w:t>,</w:t>
      </w:r>
      <w:r w:rsidRPr="00502174">
        <w:rPr>
          <w:rFonts w:ascii="Calibri" w:hAnsi="Calibri" w:cs="Arial"/>
          <w:b/>
          <w:bCs/>
          <w:sz w:val="22"/>
          <w:szCs w:val="22"/>
          <w:lang w:val="it-IT"/>
        </w:rPr>
        <w:t xml:space="preserve"> nel 2023</w:t>
      </w:r>
      <w:r w:rsidR="00502174" w:rsidRPr="00502174">
        <w:rPr>
          <w:rFonts w:ascii="Calibri" w:hAnsi="Calibri" w:cs="Arial"/>
          <w:b/>
          <w:bCs/>
          <w:sz w:val="22"/>
          <w:szCs w:val="22"/>
          <w:lang w:val="it-IT"/>
        </w:rPr>
        <w:t>,</w:t>
      </w:r>
      <w:r w:rsidRPr="00502174">
        <w:rPr>
          <w:rFonts w:ascii="Calibri" w:hAnsi="Calibri" w:cs="Arial"/>
          <w:b/>
          <w:bCs/>
          <w:sz w:val="22"/>
          <w:szCs w:val="22"/>
          <w:lang w:val="it-IT"/>
        </w:rPr>
        <w:t xml:space="preserve"> dovremmo assistere a una riduzione della volatilità dei mercati obbligazionari determinata dai tassi di interesse.</w:t>
      </w:r>
    </w:p>
    <w:p w14:paraId="23497EDF" w14:textId="01CAD6B5" w:rsidR="00F57563" w:rsidRDefault="00F57563" w:rsidP="0008315D">
      <w:pPr>
        <w:pStyle w:val="NormaleWeb"/>
        <w:shd w:val="clear" w:color="auto" w:fill="FFFFFF"/>
        <w:spacing w:before="0" w:beforeAutospacing="0" w:after="120" w:afterAutospacing="0" w:line="264" w:lineRule="auto"/>
        <w:rPr>
          <w:rFonts w:ascii="Calibri" w:hAnsi="Calibri" w:cs="Arial"/>
          <w:sz w:val="22"/>
          <w:szCs w:val="22"/>
          <w:lang w:val="it-IT"/>
        </w:rPr>
      </w:pPr>
      <w:r w:rsidRPr="00687FE1">
        <w:rPr>
          <w:rFonts w:ascii="Calibri" w:hAnsi="Calibri" w:cs="Arial"/>
          <w:sz w:val="22"/>
          <w:szCs w:val="22"/>
          <w:lang w:val="it-IT"/>
        </w:rPr>
        <w:t xml:space="preserve">Il conseguente </w:t>
      </w:r>
      <w:proofErr w:type="spellStart"/>
      <w:r w:rsidRPr="00687FE1">
        <w:rPr>
          <w:rFonts w:ascii="Calibri" w:hAnsi="Calibri" w:cs="Arial"/>
          <w:sz w:val="22"/>
          <w:szCs w:val="22"/>
          <w:lang w:val="it-IT"/>
        </w:rPr>
        <w:t>riprezzamento</w:t>
      </w:r>
      <w:proofErr w:type="spellEnd"/>
      <w:r w:rsidRPr="00687FE1">
        <w:rPr>
          <w:rFonts w:ascii="Calibri" w:hAnsi="Calibri" w:cs="Arial"/>
          <w:sz w:val="22"/>
          <w:szCs w:val="22"/>
          <w:lang w:val="it-IT"/>
        </w:rPr>
        <w:t xml:space="preserve"> dei mercati obbligazionari governativi e societari ha reso le valutazioni interessanti in termini di spread </w:t>
      </w:r>
      <w:r w:rsidR="00687FE1">
        <w:rPr>
          <w:rFonts w:ascii="Calibri" w:hAnsi="Calibri" w:cs="Arial"/>
          <w:sz w:val="22"/>
          <w:szCs w:val="22"/>
          <w:lang w:val="it-IT"/>
        </w:rPr>
        <w:t>e</w:t>
      </w:r>
      <w:r w:rsidRPr="00687FE1">
        <w:rPr>
          <w:rFonts w:ascii="Calibri" w:hAnsi="Calibri" w:cs="Arial"/>
          <w:sz w:val="22"/>
          <w:szCs w:val="22"/>
          <w:lang w:val="it-IT"/>
        </w:rPr>
        <w:t xml:space="preserve"> rendimento assoluto. </w:t>
      </w:r>
      <w:r w:rsidRPr="00502174">
        <w:rPr>
          <w:rFonts w:ascii="Calibri" w:hAnsi="Calibri" w:cs="Arial"/>
          <w:b/>
          <w:bCs/>
          <w:sz w:val="22"/>
          <w:szCs w:val="22"/>
          <w:lang w:val="it-IT"/>
        </w:rPr>
        <w:t>I fondamentali societari sono solidi</w:t>
      </w:r>
      <w:r w:rsidRPr="00687FE1">
        <w:rPr>
          <w:rFonts w:ascii="Calibri" w:hAnsi="Calibri" w:cs="Arial"/>
          <w:sz w:val="22"/>
          <w:szCs w:val="22"/>
          <w:lang w:val="it-IT"/>
        </w:rPr>
        <w:t xml:space="preserve">, anche se stiamo entrando in una fase di rallentamento e si prevede un certo deterioramento nel corso dell’anno. In effetti, </w:t>
      </w:r>
      <w:r w:rsidRPr="00502174">
        <w:rPr>
          <w:rFonts w:ascii="Calibri" w:hAnsi="Calibri" w:cs="Arial"/>
          <w:b/>
          <w:bCs/>
          <w:sz w:val="22"/>
          <w:szCs w:val="22"/>
          <w:lang w:val="it-IT"/>
        </w:rPr>
        <w:t>le valutazioni attuali riflettono per lo più il sentiment negativo di quest’anno, offrendo un ottimo profilo di reddito per il credito globale con molte cattive notizie già prezzate</w:t>
      </w:r>
      <w:r w:rsidRPr="00687FE1">
        <w:rPr>
          <w:rFonts w:ascii="Calibri" w:hAnsi="Calibri" w:cs="Arial"/>
          <w:sz w:val="22"/>
          <w:szCs w:val="22"/>
          <w:lang w:val="it-IT"/>
        </w:rPr>
        <w:t>.</w:t>
      </w:r>
    </w:p>
    <w:p w14:paraId="33C7995C" w14:textId="77777777" w:rsidR="0051264A" w:rsidRPr="00687FE1" w:rsidRDefault="00F57563" w:rsidP="0008315D">
      <w:pPr>
        <w:pStyle w:val="NormaleWeb"/>
        <w:shd w:val="clear" w:color="auto" w:fill="FFFFFF"/>
        <w:spacing w:before="0" w:beforeAutospacing="0" w:after="120" w:afterAutospacing="0" w:line="264" w:lineRule="auto"/>
        <w:rPr>
          <w:rFonts w:ascii="Calibri" w:hAnsi="Calibri" w:cs="Arial"/>
          <w:sz w:val="22"/>
          <w:szCs w:val="22"/>
          <w:lang w:val="it-IT"/>
        </w:rPr>
      </w:pPr>
      <w:r w:rsidRPr="00502174">
        <w:rPr>
          <w:rFonts w:ascii="Calibri" w:hAnsi="Calibri" w:cs="Arial"/>
          <w:b/>
          <w:bCs/>
          <w:sz w:val="22"/>
          <w:szCs w:val="22"/>
          <w:lang w:val="it-IT"/>
        </w:rPr>
        <w:t>L’inflazione</w:t>
      </w:r>
      <w:r w:rsidRPr="00687FE1">
        <w:rPr>
          <w:rFonts w:ascii="Calibri" w:hAnsi="Calibri" w:cs="Arial"/>
          <w:sz w:val="22"/>
          <w:szCs w:val="22"/>
          <w:lang w:val="it-IT"/>
        </w:rPr>
        <w:t xml:space="preserve">, che è stata la principale preoccupazione del mercato, </w:t>
      </w:r>
      <w:r w:rsidRPr="00502174">
        <w:rPr>
          <w:rFonts w:ascii="Calibri" w:hAnsi="Calibri" w:cs="Arial"/>
          <w:b/>
          <w:bCs/>
          <w:sz w:val="22"/>
          <w:szCs w:val="22"/>
          <w:lang w:val="it-IT"/>
        </w:rPr>
        <w:t>potrebbe essere prossima a raggiungere il suo picco.</w:t>
      </w:r>
      <w:r w:rsidRPr="00687FE1">
        <w:rPr>
          <w:rFonts w:ascii="Calibri" w:hAnsi="Calibri" w:cs="Arial"/>
          <w:sz w:val="22"/>
          <w:szCs w:val="22"/>
          <w:lang w:val="it-IT"/>
        </w:rPr>
        <w:t xml:space="preserve"> Le cose stanno migliorando negli Stati Uniti, dove i dati sull’inflazione mostrano segni di stabilizzazione e persino di diminuzione. </w:t>
      </w:r>
      <w:r w:rsidRPr="00502174">
        <w:rPr>
          <w:rFonts w:ascii="Calibri" w:hAnsi="Calibri" w:cs="Arial"/>
          <w:b/>
          <w:bCs/>
          <w:sz w:val="22"/>
          <w:szCs w:val="22"/>
          <w:lang w:val="it-IT"/>
        </w:rPr>
        <w:t>Anche l’inflazione europea</w:t>
      </w:r>
      <w:r w:rsidRPr="00687FE1">
        <w:rPr>
          <w:rFonts w:ascii="Calibri" w:hAnsi="Calibri" w:cs="Arial"/>
          <w:sz w:val="22"/>
          <w:szCs w:val="22"/>
          <w:lang w:val="it-IT"/>
        </w:rPr>
        <w:t xml:space="preserve">, esacerbata dalla guerra in Ucraina, </w:t>
      </w:r>
      <w:r w:rsidRPr="00502174">
        <w:rPr>
          <w:rFonts w:ascii="Calibri" w:hAnsi="Calibri" w:cs="Arial"/>
          <w:b/>
          <w:bCs/>
          <w:sz w:val="22"/>
          <w:szCs w:val="22"/>
          <w:lang w:val="it-IT"/>
        </w:rPr>
        <w:t>dovrebbe raggiungere il picco, ma in ritardo rispetto a quella statunitense.</w:t>
      </w:r>
      <w:r w:rsidR="0051264A" w:rsidRPr="00687FE1">
        <w:rPr>
          <w:rFonts w:ascii="Calibri" w:hAnsi="Calibri" w:cs="Arial"/>
          <w:sz w:val="22"/>
          <w:szCs w:val="22"/>
          <w:lang w:val="it-IT"/>
        </w:rPr>
        <w:t xml:space="preserve"> </w:t>
      </w:r>
    </w:p>
    <w:p w14:paraId="2D3C16FE" w14:textId="76CAF52D" w:rsidR="0051264A" w:rsidRDefault="0051264A" w:rsidP="0008315D">
      <w:pPr>
        <w:pStyle w:val="NormaleWeb"/>
        <w:shd w:val="clear" w:color="auto" w:fill="FFFFFF"/>
        <w:spacing w:before="0" w:beforeAutospacing="0" w:after="120" w:afterAutospacing="0" w:line="264" w:lineRule="auto"/>
        <w:rPr>
          <w:rFonts w:ascii="Calibri" w:hAnsi="Calibri" w:cs="Arial"/>
          <w:sz w:val="22"/>
          <w:szCs w:val="22"/>
          <w:lang w:val="it-IT"/>
        </w:rPr>
      </w:pPr>
      <w:r w:rsidRPr="00687FE1">
        <w:rPr>
          <w:rFonts w:ascii="Calibri" w:hAnsi="Calibri" w:cs="Arial"/>
          <w:sz w:val="22"/>
          <w:szCs w:val="22"/>
          <w:lang w:val="it-IT"/>
        </w:rPr>
        <w:t xml:space="preserve">Le maggiori dislocazioni e gli intervalli di spread all'interno del mercato, nonché la maggiore distinzione tra i settori, consentiranno non solo una migliore allocazione settoriale ma, cosa più importante, un ritorno del mercato globale del credito ai fondamentali. Per gli investitori attivi nel credito globale si presenta quindi l’opportunità di generare forti rendimenti nel nuovo anno. </w:t>
      </w:r>
    </w:p>
    <w:p w14:paraId="7D354097" w14:textId="77777777" w:rsidR="0008315D" w:rsidRDefault="0008315D" w:rsidP="00502174">
      <w:pPr>
        <w:pStyle w:val="NormaleWeb"/>
        <w:shd w:val="clear" w:color="auto" w:fill="FFFFFF"/>
        <w:spacing w:before="0" w:beforeAutospacing="0" w:after="0" w:afterAutospacing="0" w:line="264" w:lineRule="auto"/>
        <w:rPr>
          <w:rStyle w:val="Enfasigrassetto"/>
          <w:rFonts w:ascii="Calibri" w:eastAsia="Times New Roman" w:hAnsi="Calibri" w:cs="Arial"/>
          <w:b w:val="0"/>
          <w:bCs w:val="0"/>
          <w:sz w:val="22"/>
          <w:szCs w:val="22"/>
          <w:u w:val="single"/>
          <w:lang w:val="it-IT" w:eastAsia="en-US"/>
        </w:rPr>
      </w:pPr>
    </w:p>
    <w:p w14:paraId="5CB34D71" w14:textId="1D4F1069" w:rsidR="00237792" w:rsidRPr="00687FE1" w:rsidRDefault="00237792" w:rsidP="0008315D">
      <w:pPr>
        <w:pStyle w:val="NormaleWeb"/>
        <w:shd w:val="clear" w:color="auto" w:fill="FFFFFF"/>
        <w:spacing w:before="0" w:beforeAutospacing="0" w:after="120" w:afterAutospacing="0" w:line="264" w:lineRule="auto"/>
        <w:rPr>
          <w:rStyle w:val="Enfasigrassetto"/>
          <w:rFonts w:ascii="Calibri" w:eastAsia="Times New Roman" w:hAnsi="Calibri" w:cs="Arial"/>
          <w:b w:val="0"/>
          <w:bCs w:val="0"/>
          <w:sz w:val="22"/>
          <w:szCs w:val="22"/>
          <w:u w:val="single"/>
          <w:lang w:val="it-IT" w:eastAsia="en-US"/>
        </w:rPr>
      </w:pPr>
      <w:r w:rsidRPr="00687FE1">
        <w:rPr>
          <w:rStyle w:val="Enfasigrassetto"/>
          <w:rFonts w:ascii="Calibri" w:eastAsia="Times New Roman" w:hAnsi="Calibri" w:cs="Arial"/>
          <w:b w:val="0"/>
          <w:bCs w:val="0"/>
          <w:sz w:val="22"/>
          <w:szCs w:val="22"/>
          <w:u w:val="single"/>
          <w:lang w:val="it-IT" w:eastAsia="en-US"/>
        </w:rPr>
        <w:t>I fondamentali aziendali si sono mantenuti solidi, ma ci si può aspettare un certo deterioramento</w:t>
      </w:r>
    </w:p>
    <w:p w14:paraId="51606FD2" w14:textId="45E3A215" w:rsidR="00BD0191" w:rsidRDefault="00BD0191" w:rsidP="0008315D">
      <w:pPr>
        <w:pStyle w:val="NormaleWeb"/>
        <w:shd w:val="clear" w:color="auto" w:fill="FFFFFF"/>
        <w:spacing w:before="0" w:beforeAutospacing="0" w:after="120" w:afterAutospacing="0" w:line="264" w:lineRule="auto"/>
        <w:rPr>
          <w:rFonts w:ascii="Calibri" w:hAnsi="Calibri" w:cs="Arial"/>
          <w:sz w:val="22"/>
          <w:szCs w:val="22"/>
          <w:lang w:val="it-IT"/>
        </w:rPr>
      </w:pPr>
      <w:r w:rsidRPr="00502174">
        <w:rPr>
          <w:rFonts w:ascii="Calibri" w:hAnsi="Calibri" w:cs="Arial"/>
          <w:b/>
          <w:bCs/>
          <w:sz w:val="22"/>
          <w:szCs w:val="22"/>
          <w:lang w:val="it-IT"/>
        </w:rPr>
        <w:t>I fondamentali delle aziende si sono mantenuti solidi per tutto l’anno, ma si profilano possibili sfide per gli utili</w:t>
      </w:r>
      <w:r w:rsidRPr="00687FE1">
        <w:rPr>
          <w:rFonts w:ascii="Calibri" w:hAnsi="Calibri" w:cs="Arial"/>
          <w:sz w:val="22"/>
          <w:szCs w:val="22"/>
          <w:lang w:val="it-IT"/>
        </w:rPr>
        <w:t>, dato che il rallentamento dell’economia pesa sulla crescita delle vendite. Ciò potrebbe mettere in difficoltà i settori ciclici (settori che seguono i flussi e i riflussi dell’economia), dove di solito gli utili si riducono maggiormente nei periodi di crisi.</w:t>
      </w:r>
    </w:p>
    <w:p w14:paraId="781B47F0" w14:textId="54C6685D" w:rsidR="00BD0191" w:rsidRDefault="00BD0191" w:rsidP="0008315D">
      <w:pPr>
        <w:pStyle w:val="NormaleWeb"/>
        <w:shd w:val="clear" w:color="auto" w:fill="FFFFFF"/>
        <w:spacing w:before="0" w:beforeAutospacing="0" w:after="120" w:afterAutospacing="0" w:line="264" w:lineRule="auto"/>
        <w:rPr>
          <w:rFonts w:ascii="Calibri" w:hAnsi="Calibri" w:cs="Arial"/>
          <w:sz w:val="22"/>
          <w:szCs w:val="22"/>
          <w:lang w:val="it-IT"/>
        </w:rPr>
      </w:pPr>
      <w:r w:rsidRPr="00502174">
        <w:rPr>
          <w:rFonts w:ascii="Calibri" w:hAnsi="Calibri" w:cs="Arial"/>
          <w:b/>
          <w:bCs/>
          <w:sz w:val="22"/>
          <w:szCs w:val="22"/>
          <w:lang w:val="it-IT"/>
        </w:rPr>
        <w:t>La sfida principale per le aziende quest’anno sarà il rallentamento della crescita globale e il possibile deterioramento della forza dei consumatori</w:t>
      </w:r>
      <w:r w:rsidRPr="00687FE1">
        <w:rPr>
          <w:rFonts w:ascii="Calibri" w:hAnsi="Calibri" w:cs="Arial"/>
          <w:sz w:val="22"/>
          <w:szCs w:val="22"/>
          <w:lang w:val="it-IT"/>
        </w:rPr>
        <w:t>, dato che la prolungata inflazione elevata continua a intaccare il potere d’acquisto dei consumatori.</w:t>
      </w:r>
    </w:p>
    <w:p w14:paraId="0C7B52FC" w14:textId="77777777" w:rsidR="00502174" w:rsidRDefault="003D7A76" w:rsidP="0008315D">
      <w:pPr>
        <w:pStyle w:val="NormaleWeb"/>
        <w:shd w:val="clear" w:color="auto" w:fill="FFFFFF"/>
        <w:spacing w:before="0" w:beforeAutospacing="0" w:after="120" w:afterAutospacing="0" w:line="264" w:lineRule="auto"/>
        <w:rPr>
          <w:rStyle w:val="Enfasigrassetto"/>
          <w:rFonts w:ascii="Calibri" w:eastAsia="Times New Roman" w:hAnsi="Calibri" w:cs="Arial"/>
          <w:b w:val="0"/>
          <w:bCs w:val="0"/>
          <w:sz w:val="22"/>
          <w:szCs w:val="22"/>
          <w:u w:val="single"/>
          <w:lang w:val="it-IT" w:eastAsia="en-US"/>
        </w:rPr>
      </w:pPr>
      <w:r w:rsidRPr="00687FE1">
        <w:rPr>
          <w:rStyle w:val="Enfasigrassetto"/>
          <w:rFonts w:ascii="Calibri" w:eastAsia="Times New Roman" w:hAnsi="Calibri" w:cs="Arial"/>
          <w:b w:val="0"/>
          <w:bCs w:val="0"/>
          <w:sz w:val="22"/>
          <w:szCs w:val="22"/>
          <w:u w:val="single"/>
          <w:lang w:val="it-IT" w:eastAsia="en-US"/>
        </w:rPr>
        <w:t>Rallentamenti</w:t>
      </w:r>
      <w:r w:rsidR="005521F0" w:rsidRPr="00687FE1">
        <w:rPr>
          <w:rStyle w:val="Enfasigrassetto"/>
          <w:rFonts w:ascii="Calibri" w:eastAsia="Times New Roman" w:hAnsi="Calibri" w:cs="Arial"/>
          <w:b w:val="0"/>
          <w:bCs w:val="0"/>
          <w:sz w:val="22"/>
          <w:szCs w:val="22"/>
          <w:u w:val="single"/>
          <w:lang w:val="it-IT" w:eastAsia="en-US"/>
        </w:rPr>
        <w:t xml:space="preserve"> all’orizzonte </w:t>
      </w:r>
    </w:p>
    <w:p w14:paraId="24CEA8BC" w14:textId="30F39A83" w:rsidR="007F5C2F" w:rsidRPr="00502174" w:rsidRDefault="007F5C2F" w:rsidP="0008315D">
      <w:pPr>
        <w:pStyle w:val="NormaleWeb"/>
        <w:shd w:val="clear" w:color="auto" w:fill="FFFFFF"/>
        <w:spacing w:before="0" w:beforeAutospacing="0" w:after="120" w:afterAutospacing="0" w:line="264" w:lineRule="auto"/>
        <w:rPr>
          <w:rFonts w:ascii="Calibri" w:eastAsia="Times New Roman" w:hAnsi="Calibri" w:cs="Arial"/>
          <w:b/>
          <w:bCs/>
          <w:sz w:val="22"/>
          <w:szCs w:val="22"/>
          <w:u w:val="single"/>
          <w:lang w:val="it-IT" w:eastAsia="en-US"/>
        </w:rPr>
      </w:pPr>
      <w:r w:rsidRPr="00502174">
        <w:rPr>
          <w:rFonts w:ascii="Calibri" w:hAnsi="Calibri" w:cs="Arial"/>
          <w:b/>
          <w:bCs/>
          <w:sz w:val="22"/>
          <w:szCs w:val="22"/>
          <w:lang w:val="it-IT"/>
        </w:rPr>
        <w:lastRenderedPageBreak/>
        <w:t>La natura aggressiva dei rialzi dei tassi ha portato a una significativa volatilità degli spread, che tuttavia diminuirà una volta che la Fed sospenderà o rallenterà i rialzi dei tassi.</w:t>
      </w:r>
    </w:p>
    <w:p w14:paraId="272BFD81" w14:textId="7AA65B05" w:rsidR="007F5C2F" w:rsidRDefault="007F5C2F" w:rsidP="0008315D">
      <w:pPr>
        <w:pStyle w:val="NormaleWeb"/>
        <w:shd w:val="clear" w:color="auto" w:fill="FFFFFF"/>
        <w:spacing w:before="0" w:beforeAutospacing="0" w:after="120" w:afterAutospacing="0" w:line="264" w:lineRule="auto"/>
        <w:rPr>
          <w:rFonts w:ascii="Calibri" w:hAnsi="Calibri" w:cs="Arial"/>
          <w:sz w:val="22"/>
          <w:szCs w:val="22"/>
          <w:lang w:val="it-IT"/>
        </w:rPr>
      </w:pPr>
      <w:r w:rsidRPr="00502174">
        <w:rPr>
          <w:rFonts w:ascii="Calibri" w:hAnsi="Calibri" w:cs="Arial"/>
          <w:b/>
          <w:bCs/>
          <w:sz w:val="22"/>
          <w:szCs w:val="22"/>
          <w:lang w:val="it-IT"/>
        </w:rPr>
        <w:t>In Europa è probabile che le aspettative di recessione per questo inverno si avverino, seguite da una debole ripresa.</w:t>
      </w:r>
      <w:r w:rsidRPr="00687FE1">
        <w:rPr>
          <w:rFonts w:ascii="Calibri" w:hAnsi="Calibri" w:cs="Arial"/>
          <w:sz w:val="22"/>
          <w:szCs w:val="22"/>
          <w:lang w:val="it-IT"/>
        </w:rPr>
        <w:t xml:space="preserve"> Sebbene i governi stiano attuando misure fiscali per aiutare i consumatori e le imprese, queste mettono in discussione i deficit dei paesi e la sostenibilità generale del debito nel medio-lungo termine.</w:t>
      </w:r>
    </w:p>
    <w:p w14:paraId="481EC566" w14:textId="77777777" w:rsidR="003D7A76" w:rsidRPr="00687FE1" w:rsidRDefault="007F5C2F" w:rsidP="0008315D">
      <w:pPr>
        <w:pStyle w:val="NormaleWeb"/>
        <w:shd w:val="clear" w:color="auto" w:fill="FFFFFF"/>
        <w:spacing w:before="0" w:beforeAutospacing="0" w:after="120" w:afterAutospacing="0" w:line="264" w:lineRule="auto"/>
        <w:rPr>
          <w:rFonts w:ascii="Calibri" w:hAnsi="Calibri" w:cs="Arial"/>
          <w:sz w:val="22"/>
          <w:szCs w:val="22"/>
          <w:lang w:val="it-IT"/>
        </w:rPr>
      </w:pPr>
      <w:r w:rsidRPr="00502174">
        <w:rPr>
          <w:rFonts w:ascii="Calibri" w:hAnsi="Calibri" w:cs="Arial"/>
          <w:b/>
          <w:bCs/>
          <w:sz w:val="22"/>
          <w:szCs w:val="22"/>
          <w:lang w:val="it-IT"/>
        </w:rPr>
        <w:t>I costi di copertura valutaria si sono spostati a favore del credito europeo, con un cambiamento sostanziale rispetto agli ultimi anni di QE in cui era favorito il credito statunitense.</w:t>
      </w:r>
      <w:r w:rsidRPr="00687FE1">
        <w:rPr>
          <w:rFonts w:ascii="Calibri" w:hAnsi="Calibri" w:cs="Arial"/>
          <w:sz w:val="22"/>
          <w:szCs w:val="22"/>
          <w:lang w:val="it-IT"/>
        </w:rPr>
        <w:t xml:space="preserve"> Questo cambiamento ha reso il credito europeo molto interessante per gli investitori stranieri.</w:t>
      </w:r>
      <w:r w:rsidR="003D7A76" w:rsidRPr="00687FE1">
        <w:rPr>
          <w:rFonts w:ascii="Calibri" w:hAnsi="Calibri" w:cs="Arial"/>
          <w:sz w:val="22"/>
          <w:szCs w:val="22"/>
          <w:lang w:val="it-IT"/>
        </w:rPr>
        <w:t xml:space="preserve"> </w:t>
      </w:r>
    </w:p>
    <w:p w14:paraId="20D0445F" w14:textId="77777777" w:rsidR="0008315D" w:rsidRDefault="0008315D" w:rsidP="0008315D">
      <w:pPr>
        <w:pStyle w:val="NormaleWeb"/>
        <w:shd w:val="clear" w:color="auto" w:fill="FFFFFF"/>
        <w:spacing w:before="0" w:beforeAutospacing="0" w:after="120" w:afterAutospacing="0" w:line="264" w:lineRule="auto"/>
        <w:contextualSpacing/>
        <w:rPr>
          <w:rStyle w:val="Enfasigrassetto"/>
          <w:rFonts w:ascii="Calibri" w:eastAsia="Times New Roman" w:hAnsi="Calibri" w:cs="Arial"/>
          <w:b w:val="0"/>
          <w:bCs w:val="0"/>
          <w:sz w:val="22"/>
          <w:szCs w:val="22"/>
          <w:u w:val="single"/>
          <w:lang w:val="it-IT" w:eastAsia="en-US"/>
        </w:rPr>
      </w:pPr>
    </w:p>
    <w:p w14:paraId="56C58B90" w14:textId="7EFBE6C0" w:rsidR="00FB2A4E" w:rsidRPr="00687FE1" w:rsidRDefault="00726F25" w:rsidP="0008315D">
      <w:pPr>
        <w:pStyle w:val="NormaleWeb"/>
        <w:shd w:val="clear" w:color="auto" w:fill="FFFFFF"/>
        <w:spacing w:before="0" w:beforeAutospacing="0" w:after="120" w:afterAutospacing="0" w:line="264" w:lineRule="auto"/>
        <w:rPr>
          <w:rStyle w:val="Enfasigrassetto"/>
          <w:rFonts w:ascii="Calibri" w:eastAsia="Times New Roman" w:hAnsi="Calibri" w:cs="Arial"/>
          <w:b w:val="0"/>
          <w:bCs w:val="0"/>
          <w:sz w:val="22"/>
          <w:szCs w:val="22"/>
          <w:u w:val="single"/>
          <w:lang w:val="it-IT" w:eastAsia="en-US"/>
        </w:rPr>
      </w:pPr>
      <w:r w:rsidRPr="00687FE1">
        <w:rPr>
          <w:rStyle w:val="Enfasigrassetto"/>
          <w:rFonts w:ascii="Calibri" w:eastAsia="Times New Roman" w:hAnsi="Calibri" w:cs="Arial"/>
          <w:b w:val="0"/>
          <w:bCs w:val="0"/>
          <w:sz w:val="22"/>
          <w:szCs w:val="22"/>
          <w:u w:val="single"/>
          <w:lang w:val="it-IT" w:eastAsia="en-US"/>
        </w:rPr>
        <w:t>Focus sulla sostenibilità</w:t>
      </w:r>
      <w:r w:rsidR="00FB2A4E" w:rsidRPr="00687FE1">
        <w:rPr>
          <w:rStyle w:val="Enfasigrassetto"/>
          <w:rFonts w:ascii="Calibri" w:eastAsia="Times New Roman" w:hAnsi="Calibri" w:cs="Arial"/>
          <w:b w:val="0"/>
          <w:bCs w:val="0"/>
          <w:sz w:val="22"/>
          <w:szCs w:val="22"/>
          <w:u w:val="single"/>
          <w:lang w:val="it-IT" w:eastAsia="en-US"/>
        </w:rPr>
        <w:t xml:space="preserve"> </w:t>
      </w:r>
    </w:p>
    <w:p w14:paraId="61D0F916" w14:textId="2CB99BF1" w:rsidR="00FB2A4E" w:rsidRPr="00687FE1" w:rsidRDefault="00FB2A4E" w:rsidP="0008315D">
      <w:pPr>
        <w:pStyle w:val="NormaleWeb"/>
        <w:shd w:val="clear" w:color="auto" w:fill="FFFFFF"/>
        <w:spacing w:before="0" w:beforeAutospacing="0" w:after="120" w:afterAutospacing="0" w:line="264" w:lineRule="auto"/>
        <w:rPr>
          <w:rFonts w:ascii="Calibri" w:hAnsi="Calibri" w:cs="Arial"/>
          <w:sz w:val="22"/>
          <w:szCs w:val="22"/>
          <w:lang w:val="it-IT"/>
        </w:rPr>
      </w:pPr>
      <w:r w:rsidRPr="00502174">
        <w:rPr>
          <w:rFonts w:ascii="Calibri" w:hAnsi="Calibri" w:cs="Arial"/>
          <w:b/>
          <w:bCs/>
          <w:sz w:val="22"/>
          <w:szCs w:val="22"/>
          <w:lang w:val="it-IT"/>
        </w:rPr>
        <w:t>È probabile che il mercato dei green bond continui a crescere</w:t>
      </w:r>
      <w:r w:rsidRPr="00687FE1">
        <w:rPr>
          <w:rFonts w:ascii="Calibri" w:hAnsi="Calibri" w:cs="Arial"/>
          <w:sz w:val="22"/>
          <w:szCs w:val="22"/>
          <w:lang w:val="it-IT"/>
        </w:rPr>
        <w:t xml:space="preserve">, dopo che hanno dominato le emissioni di corporate bond ESG. Inoltre, nel 2023 potrebbero esserci ulteriori emissioni di </w:t>
      </w:r>
      <w:proofErr w:type="spellStart"/>
      <w:r w:rsidRPr="00687FE1">
        <w:rPr>
          <w:rFonts w:ascii="Calibri" w:hAnsi="Calibri" w:cs="Arial"/>
          <w:sz w:val="22"/>
          <w:szCs w:val="22"/>
          <w:lang w:val="it-IT"/>
        </w:rPr>
        <w:t>sustainability</w:t>
      </w:r>
      <w:proofErr w:type="spellEnd"/>
      <w:r w:rsidRPr="00687FE1">
        <w:rPr>
          <w:rFonts w:ascii="Calibri" w:hAnsi="Calibri" w:cs="Arial"/>
          <w:sz w:val="22"/>
          <w:szCs w:val="22"/>
          <w:lang w:val="it-IT"/>
        </w:rPr>
        <w:t xml:space="preserve"> </w:t>
      </w:r>
      <w:proofErr w:type="spellStart"/>
      <w:r w:rsidRPr="00687FE1">
        <w:rPr>
          <w:rFonts w:ascii="Calibri" w:hAnsi="Calibri" w:cs="Arial"/>
          <w:sz w:val="22"/>
          <w:szCs w:val="22"/>
          <w:lang w:val="it-IT"/>
        </w:rPr>
        <w:t>linked</w:t>
      </w:r>
      <w:proofErr w:type="spellEnd"/>
      <w:r w:rsidRPr="00687FE1">
        <w:rPr>
          <w:rFonts w:ascii="Calibri" w:hAnsi="Calibri" w:cs="Arial"/>
          <w:sz w:val="22"/>
          <w:szCs w:val="22"/>
          <w:lang w:val="it-IT"/>
        </w:rPr>
        <w:t xml:space="preserve"> bond (SLB) nel mercato delle obbligazioni high yield. </w:t>
      </w:r>
    </w:p>
    <w:p w14:paraId="25C23896" w14:textId="15F3107F" w:rsidR="00EE6A02" w:rsidRPr="00687FE1" w:rsidRDefault="00EE6A02" w:rsidP="0008315D">
      <w:pPr>
        <w:pStyle w:val="NormaleWeb"/>
        <w:shd w:val="clear" w:color="auto" w:fill="FFFFFF"/>
        <w:spacing w:before="0" w:beforeAutospacing="0" w:after="120" w:afterAutospacing="0" w:line="264" w:lineRule="auto"/>
        <w:rPr>
          <w:rFonts w:ascii="Calibri" w:hAnsi="Calibri" w:cs="Arial"/>
          <w:sz w:val="22"/>
          <w:szCs w:val="22"/>
          <w:lang w:val="it-IT"/>
        </w:rPr>
      </w:pPr>
    </w:p>
    <w:sectPr w:rsidR="00EE6A02" w:rsidRPr="00687FE1" w:rsidSect="0030586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D7270"/>
    <w:multiLevelType w:val="multilevel"/>
    <w:tmpl w:val="2768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5122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5AA"/>
    <w:rsid w:val="0008315D"/>
    <w:rsid w:val="00237792"/>
    <w:rsid w:val="00295CC3"/>
    <w:rsid w:val="00297686"/>
    <w:rsid w:val="002D5DF1"/>
    <w:rsid w:val="00305865"/>
    <w:rsid w:val="003D7A76"/>
    <w:rsid w:val="00502174"/>
    <w:rsid w:val="0051264A"/>
    <w:rsid w:val="00524FCF"/>
    <w:rsid w:val="005521F0"/>
    <w:rsid w:val="005645FB"/>
    <w:rsid w:val="0061650D"/>
    <w:rsid w:val="00687FE1"/>
    <w:rsid w:val="00726F25"/>
    <w:rsid w:val="007D5119"/>
    <w:rsid w:val="007F5C2F"/>
    <w:rsid w:val="008625AA"/>
    <w:rsid w:val="00872D2B"/>
    <w:rsid w:val="00960569"/>
    <w:rsid w:val="009808EB"/>
    <w:rsid w:val="00BD0191"/>
    <w:rsid w:val="00BE7506"/>
    <w:rsid w:val="00CF39E4"/>
    <w:rsid w:val="00D82648"/>
    <w:rsid w:val="00DC1B15"/>
    <w:rsid w:val="00DF389F"/>
    <w:rsid w:val="00EE6A02"/>
    <w:rsid w:val="00F57563"/>
    <w:rsid w:val="00FB2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65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EE6A02"/>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Titolo2">
    <w:name w:val="heading 2"/>
    <w:basedOn w:val="Normale"/>
    <w:next w:val="Normale"/>
    <w:link w:val="Titolo2Carattere"/>
    <w:uiPriority w:val="9"/>
    <w:semiHidden/>
    <w:unhideWhenUsed/>
    <w:qFormat/>
    <w:rsid w:val="002D5DF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6A02"/>
    <w:rPr>
      <w:rFonts w:ascii="Times New Roman" w:hAnsi="Times New Roman" w:cs="Times New Roman"/>
      <w:b/>
      <w:bCs/>
      <w:kern w:val="36"/>
      <w:sz w:val="48"/>
      <w:szCs w:val="48"/>
      <w:lang w:eastAsia="en-GB"/>
    </w:rPr>
  </w:style>
  <w:style w:type="paragraph" w:customStyle="1" w:styleId="hidden-xs">
    <w:name w:val="hidden-xs"/>
    <w:basedOn w:val="Normale"/>
    <w:rsid w:val="00EE6A02"/>
    <w:pPr>
      <w:spacing w:before="100" w:beforeAutospacing="1" w:after="100" w:afterAutospacing="1"/>
    </w:pPr>
    <w:rPr>
      <w:rFonts w:ascii="Times New Roman" w:hAnsi="Times New Roman" w:cs="Times New Roman"/>
      <w:lang w:eastAsia="en-GB"/>
    </w:rPr>
  </w:style>
  <w:style w:type="paragraph" w:customStyle="1" w:styleId="name">
    <w:name w:val="name"/>
    <w:basedOn w:val="Normale"/>
    <w:rsid w:val="00EE6A02"/>
    <w:pPr>
      <w:spacing w:before="100" w:beforeAutospacing="1" w:after="100" w:afterAutospacing="1"/>
    </w:pPr>
    <w:rPr>
      <w:rFonts w:ascii="Times New Roman" w:hAnsi="Times New Roman" w:cs="Times New Roman"/>
      <w:lang w:eastAsia="en-GB"/>
    </w:rPr>
  </w:style>
  <w:style w:type="paragraph" w:styleId="Titolo">
    <w:name w:val="Title"/>
    <w:aliases w:val="title"/>
    <w:basedOn w:val="Normale"/>
    <w:link w:val="TitoloCarattere"/>
    <w:uiPriority w:val="10"/>
    <w:qFormat/>
    <w:rsid w:val="00EE6A02"/>
    <w:pPr>
      <w:spacing w:before="100" w:beforeAutospacing="1" w:after="100" w:afterAutospacing="1"/>
    </w:pPr>
    <w:rPr>
      <w:rFonts w:ascii="Times New Roman" w:hAnsi="Times New Roman" w:cs="Times New Roman"/>
      <w:lang w:eastAsia="en-GB"/>
    </w:rPr>
  </w:style>
  <w:style w:type="character" w:customStyle="1" w:styleId="TitoloCarattere">
    <w:name w:val="Titolo Carattere"/>
    <w:aliases w:val="title Carattere"/>
    <w:basedOn w:val="Carpredefinitoparagrafo"/>
    <w:link w:val="Titolo"/>
    <w:uiPriority w:val="10"/>
    <w:rsid w:val="00EE6A02"/>
    <w:rPr>
      <w:rFonts w:ascii="Times New Roman" w:hAnsi="Times New Roman" w:cs="Times New Roman"/>
      <w:lang w:eastAsia="en-GB"/>
    </w:rPr>
  </w:style>
  <w:style w:type="character" w:customStyle="1" w:styleId="Titolo2Carattere">
    <w:name w:val="Titolo 2 Carattere"/>
    <w:basedOn w:val="Carpredefinitoparagrafo"/>
    <w:link w:val="Titolo2"/>
    <w:uiPriority w:val="9"/>
    <w:semiHidden/>
    <w:rsid w:val="002D5DF1"/>
    <w:rPr>
      <w:rFonts w:asciiTheme="majorHAnsi" w:eastAsiaTheme="majorEastAsia" w:hAnsiTheme="majorHAnsi" w:cstheme="majorBidi"/>
      <w:color w:val="2F5496" w:themeColor="accent1" w:themeShade="BF"/>
      <w:sz w:val="26"/>
      <w:szCs w:val="26"/>
    </w:rPr>
  </w:style>
  <w:style w:type="paragraph" w:styleId="NormaleWeb">
    <w:name w:val="Normal (Web)"/>
    <w:basedOn w:val="Normale"/>
    <w:uiPriority w:val="99"/>
    <w:unhideWhenUsed/>
    <w:rsid w:val="002D5DF1"/>
    <w:pPr>
      <w:spacing w:before="100" w:beforeAutospacing="1" w:after="100" w:afterAutospacing="1"/>
    </w:pPr>
    <w:rPr>
      <w:rFonts w:ascii="Times New Roman" w:hAnsi="Times New Roman" w:cs="Times New Roman"/>
      <w:lang w:eastAsia="en-GB"/>
    </w:rPr>
  </w:style>
  <w:style w:type="character" w:styleId="Enfasigrassetto">
    <w:name w:val="Strong"/>
    <w:basedOn w:val="Carpredefinitoparagrafo"/>
    <w:uiPriority w:val="22"/>
    <w:qFormat/>
    <w:rsid w:val="002D5DF1"/>
    <w:rPr>
      <w:b/>
      <w:bCs/>
    </w:rPr>
  </w:style>
  <w:style w:type="paragraph" w:styleId="Revisione">
    <w:name w:val="Revision"/>
    <w:hidden/>
    <w:uiPriority w:val="99"/>
    <w:semiHidden/>
    <w:rsid w:val="00687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314">
      <w:bodyDiv w:val="1"/>
      <w:marLeft w:val="0"/>
      <w:marRight w:val="0"/>
      <w:marTop w:val="0"/>
      <w:marBottom w:val="0"/>
      <w:divBdr>
        <w:top w:val="none" w:sz="0" w:space="0" w:color="auto"/>
        <w:left w:val="none" w:sz="0" w:space="0" w:color="auto"/>
        <w:bottom w:val="none" w:sz="0" w:space="0" w:color="auto"/>
        <w:right w:val="none" w:sz="0" w:space="0" w:color="auto"/>
      </w:divBdr>
    </w:div>
    <w:div w:id="985739624">
      <w:bodyDiv w:val="1"/>
      <w:marLeft w:val="0"/>
      <w:marRight w:val="0"/>
      <w:marTop w:val="0"/>
      <w:marBottom w:val="0"/>
      <w:divBdr>
        <w:top w:val="none" w:sz="0" w:space="0" w:color="auto"/>
        <w:left w:val="none" w:sz="0" w:space="0" w:color="auto"/>
        <w:bottom w:val="none" w:sz="0" w:space="0" w:color="auto"/>
        <w:right w:val="none" w:sz="0" w:space="0" w:color="auto"/>
      </w:divBdr>
    </w:div>
    <w:div w:id="1265652519">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893729645">
      <w:bodyDiv w:val="1"/>
      <w:marLeft w:val="0"/>
      <w:marRight w:val="0"/>
      <w:marTop w:val="0"/>
      <w:marBottom w:val="0"/>
      <w:divBdr>
        <w:top w:val="none" w:sz="0" w:space="0" w:color="auto"/>
        <w:left w:val="none" w:sz="0" w:space="0" w:color="auto"/>
        <w:bottom w:val="none" w:sz="0" w:space="0" w:color="auto"/>
        <w:right w:val="none" w:sz="0" w:space="0" w:color="auto"/>
      </w:divBdr>
    </w:div>
    <w:div w:id="2024238706">
      <w:bodyDiv w:val="1"/>
      <w:marLeft w:val="0"/>
      <w:marRight w:val="0"/>
      <w:marTop w:val="0"/>
      <w:marBottom w:val="0"/>
      <w:divBdr>
        <w:top w:val="none" w:sz="0" w:space="0" w:color="auto"/>
        <w:left w:val="none" w:sz="0" w:space="0" w:color="auto"/>
        <w:bottom w:val="none" w:sz="0" w:space="0" w:color="auto"/>
        <w:right w:val="none" w:sz="0" w:space="0" w:color="auto"/>
      </w:divBdr>
    </w:div>
    <w:div w:id="2081252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664</Words>
  <Characters>3787</Characters>
  <Application>Microsoft Office Word</Application>
  <DocSecurity>0</DocSecurity>
  <Lines>31</Lines>
  <Paragraphs>8</Paragraphs>
  <ScaleCrop>false</ScaleCrop>
  <HeadingPairs>
    <vt:vector size="6" baseType="variant">
      <vt:variant>
        <vt:lpstr>Titolo</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    </vt:lpstr>
      <vt: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Ferla</cp:lastModifiedBy>
  <cp:revision>4</cp:revision>
  <dcterms:created xsi:type="dcterms:W3CDTF">2023-01-13T08:24:00Z</dcterms:created>
  <dcterms:modified xsi:type="dcterms:W3CDTF">2023-01-13T08:47:00Z</dcterms:modified>
</cp:coreProperties>
</file>