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37CD91D8" w:rsidR="00E5199B" w:rsidRPr="00963386" w:rsidRDefault="00E5199B" w:rsidP="00BC5DF4">
                            <w:pPr>
                              <w:pStyle w:val="Nessunaspaziatura"/>
                              <w:jc w:val="right"/>
                              <w:rPr>
                                <w:lang w:val="en-US"/>
                              </w:rPr>
                            </w:pPr>
                            <w:r w:rsidRPr="00963386">
                              <w:rPr>
                                <w:lang w:val="en-US"/>
                              </w:rPr>
                              <w:t xml:space="preserve">Milano, </w:t>
                            </w:r>
                            <w:r w:rsidR="00325407">
                              <w:rPr>
                                <w:lang w:val="en-US"/>
                              </w:rPr>
                              <w:t>30</w:t>
                            </w:r>
                            <w:r w:rsidR="00325407">
                              <w:rPr>
                                <w:lang w:val="en-US"/>
                              </w:rPr>
                              <w:t xml:space="preserve"> </w:t>
                            </w:r>
                            <w:r w:rsidR="00FE07EE">
                              <w:rPr>
                                <w:lang w:val="en-US"/>
                              </w:rPr>
                              <w:t>gennaio</w:t>
                            </w:r>
                            <w:r w:rsidR="0017227D" w:rsidRPr="00963386">
                              <w:rPr>
                                <w:lang w:val="en-US"/>
                              </w:rPr>
                              <w:t xml:space="preserve"> </w:t>
                            </w:r>
                            <w:r w:rsidRPr="00963386">
                              <w:rPr>
                                <w:lang w:val="en-US"/>
                              </w:rPr>
                              <w:t>202</w:t>
                            </w:r>
                            <w:r w:rsidR="00FE07EE">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37CD91D8" w:rsidR="00E5199B" w:rsidRPr="00963386" w:rsidRDefault="00E5199B" w:rsidP="00BC5DF4">
                      <w:pPr>
                        <w:pStyle w:val="Nessunaspaziatura"/>
                        <w:jc w:val="right"/>
                        <w:rPr>
                          <w:lang w:val="en-US"/>
                        </w:rPr>
                      </w:pPr>
                      <w:r w:rsidRPr="00963386">
                        <w:rPr>
                          <w:lang w:val="en-US"/>
                        </w:rPr>
                        <w:t xml:space="preserve">Milano, </w:t>
                      </w:r>
                      <w:r w:rsidR="00325407">
                        <w:rPr>
                          <w:lang w:val="en-US"/>
                        </w:rPr>
                        <w:t>30</w:t>
                      </w:r>
                      <w:r w:rsidR="00325407">
                        <w:rPr>
                          <w:lang w:val="en-US"/>
                        </w:rPr>
                        <w:t xml:space="preserve"> </w:t>
                      </w:r>
                      <w:r w:rsidR="00FE07EE">
                        <w:rPr>
                          <w:lang w:val="en-US"/>
                        </w:rPr>
                        <w:t>gennaio</w:t>
                      </w:r>
                      <w:r w:rsidR="0017227D" w:rsidRPr="00963386">
                        <w:rPr>
                          <w:lang w:val="en-US"/>
                        </w:rPr>
                        <w:t xml:space="preserve"> </w:t>
                      </w:r>
                      <w:r w:rsidRPr="00963386">
                        <w:rPr>
                          <w:lang w:val="en-US"/>
                        </w:rPr>
                        <w:t>202</w:t>
                      </w:r>
                      <w:r w:rsidR="00FE07EE">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9695" w:type="dxa"/>
        <w:tblInd w:w="-142" w:type="dxa"/>
        <w:tblLayout w:type="fixed"/>
        <w:tblLook w:val="01E0" w:firstRow="1" w:lastRow="1" w:firstColumn="1" w:lastColumn="1" w:noHBand="0" w:noVBand="0"/>
      </w:tblPr>
      <w:tblGrid>
        <w:gridCol w:w="9695"/>
      </w:tblGrid>
      <w:tr w:rsidR="00E5199B" w:rsidRPr="00843E74" w14:paraId="28F691FF" w14:textId="77777777" w:rsidTr="003A2EF7">
        <w:trPr>
          <w:trHeight w:val="845"/>
        </w:trPr>
        <w:tc>
          <w:tcPr>
            <w:tcW w:w="9695" w:type="dxa"/>
          </w:tcPr>
          <w:p w14:paraId="2A2A0460" w14:textId="7B02D2A4"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Pr="000342D6">
              <w:rPr>
                <w:rFonts w:ascii="Calibri" w:eastAsia="Calibri" w:hAnsi="Calibri" w:cs="Calibri"/>
                <w:b/>
                <w:color w:val="075292"/>
                <w:spacing w:val="-3"/>
                <w:sz w:val="50"/>
                <w:szCs w:val="50"/>
              </w:rPr>
              <w:t xml:space="preserve"> </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843E74" w14:paraId="6EBFD062" w14:textId="77777777" w:rsidTr="003A2EF7">
        <w:trPr>
          <w:trHeight w:val="806"/>
        </w:trPr>
        <w:tc>
          <w:tcPr>
            <w:tcW w:w="9695" w:type="dxa"/>
          </w:tcPr>
          <w:p w14:paraId="164BA32E" w14:textId="7040730F" w:rsidR="00E5199B" w:rsidRPr="00564C5A" w:rsidRDefault="00F45FCB" w:rsidP="00617B88">
            <w:pPr>
              <w:spacing w:before="83"/>
              <w:ind w:left="74"/>
              <w:rPr>
                <w:rFonts w:ascii="Calibri" w:eastAsia="Calibri" w:hAnsi="Calibri" w:cs="Calibri"/>
                <w:b/>
                <w:sz w:val="10"/>
                <w:szCs w:val="10"/>
                <w:lang w:val="it-IT"/>
              </w:rPr>
            </w:pPr>
            <w:r w:rsidRPr="00F45FCB">
              <w:rPr>
                <w:rFonts w:ascii="Calibri" w:eastAsia="Calibri" w:hAnsi="Calibri" w:cs="Calibri"/>
                <w:b/>
                <w:bCs/>
                <w:color w:val="808080"/>
                <w:sz w:val="36"/>
                <w:lang w:val="it-IT"/>
              </w:rPr>
              <w:t xml:space="preserve">Mantenere un approccio selettivo dopo </w:t>
            </w:r>
            <w:r w:rsidR="003A2EF7">
              <w:rPr>
                <w:rFonts w:ascii="Calibri" w:eastAsia="Calibri" w:hAnsi="Calibri" w:cs="Calibri"/>
                <w:b/>
                <w:bCs/>
                <w:color w:val="808080"/>
                <w:sz w:val="36"/>
                <w:lang w:val="it-IT"/>
              </w:rPr>
              <w:t>un</w:t>
            </w:r>
            <w:r w:rsidR="0050292B">
              <w:rPr>
                <w:rFonts w:ascii="Calibri" w:eastAsia="Calibri" w:hAnsi="Calibri" w:cs="Calibri"/>
                <w:b/>
                <w:bCs/>
                <w:color w:val="808080"/>
                <w:sz w:val="36"/>
                <w:lang w:val="it-IT"/>
              </w:rPr>
              <w:t>a partenza molto positiva</w:t>
            </w:r>
          </w:p>
        </w:tc>
      </w:tr>
    </w:tbl>
    <w:p w14:paraId="4FAA340A" w14:textId="77777777" w:rsidR="00E5199B" w:rsidRDefault="00E5199B" w:rsidP="00E5199B">
      <w:pPr>
        <w:pStyle w:val="Nessunaspaziatura"/>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354B4AC" wp14:editId="63A3D411">
                <wp:simplePos x="0" y="0"/>
                <wp:positionH relativeFrom="margin">
                  <wp:align>left</wp:align>
                </wp:positionH>
                <wp:positionV relativeFrom="paragraph">
                  <wp:posOffset>108080</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E37EE4" id="Connettore diritto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5pt" to="1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" strokecolor="#4472c4" strokeweight=".5pt">
                <v:stroke joinstyle="miter"/>
                <w10:wrap anchorx="margin"/>
              </v:line>
            </w:pict>
          </mc:Fallback>
        </mc:AlternateContent>
      </w:r>
    </w:p>
    <w:p w14:paraId="4F9B47F6" w14:textId="77777777" w:rsidR="00E5199B" w:rsidRPr="000342D6" w:rsidRDefault="00E5199B" w:rsidP="00E5199B">
      <w:pPr>
        <w:pStyle w:val="Nessunaspaziatura"/>
        <w:jc w:val="both"/>
        <w:rPr>
          <w:i/>
          <w:iCs/>
        </w:rPr>
      </w:pPr>
      <w:r w:rsidRPr="000342D6">
        <w:rPr>
          <w:i/>
          <w:iCs/>
        </w:rPr>
        <w:t>A cura del Team di Ricerca di Intermonte</w:t>
      </w:r>
    </w:p>
    <w:p w14:paraId="08A7A6F9" w14:textId="77777777" w:rsidR="00DC0BA7" w:rsidRPr="00861E97" w:rsidRDefault="00DC0BA7" w:rsidP="00DC0BA7">
      <w:pPr>
        <w:spacing w:after="120" w:line="250" w:lineRule="exact"/>
        <w:rPr>
          <w:b/>
          <w:bCs/>
        </w:rPr>
      </w:pPr>
    </w:p>
    <w:p w14:paraId="3B983CCE" w14:textId="09C21BA0" w:rsidR="00527496" w:rsidRPr="00527496" w:rsidRDefault="009C64C8" w:rsidP="00527496">
      <w:pPr>
        <w:pStyle w:val="Bullets"/>
        <w:numPr>
          <w:ilvl w:val="0"/>
          <w:numId w:val="14"/>
        </w:numPr>
        <w:spacing w:before="240" w:line="240" w:lineRule="auto"/>
        <w:rPr>
          <w:b/>
          <w:bCs/>
          <w:spacing w:val="-4"/>
          <w:sz w:val="22"/>
          <w:szCs w:val="22"/>
        </w:rPr>
      </w:pPr>
      <w:r w:rsidRPr="009C64C8">
        <w:rPr>
          <w:b/>
          <w:bCs/>
          <w:spacing w:val="-4"/>
          <w:sz w:val="22"/>
          <w:szCs w:val="22"/>
        </w:rPr>
        <w:t>Performance (</w:t>
      </w:r>
      <w:r w:rsidR="00563F19">
        <w:rPr>
          <w:b/>
          <w:bCs/>
          <w:spacing w:val="-4"/>
          <w:sz w:val="22"/>
          <w:szCs w:val="22"/>
        </w:rPr>
        <w:t>-</w:t>
      </w:r>
      <w:r w:rsidRPr="009C64C8">
        <w:rPr>
          <w:b/>
          <w:bCs/>
          <w:spacing w:val="-4"/>
          <w:sz w:val="22"/>
          <w:szCs w:val="22"/>
        </w:rPr>
        <w:t xml:space="preserve">). </w:t>
      </w:r>
      <w:r w:rsidR="00527496" w:rsidRPr="00527496">
        <w:rPr>
          <w:spacing w:val="-4"/>
          <w:sz w:val="22"/>
          <w:szCs w:val="22"/>
        </w:rPr>
        <w:t>Il mercato azionario italiano (prezzi al 19 gennaio 2023) è cresciuto dell'8</w:t>
      </w:r>
      <w:r w:rsidR="00114690">
        <w:rPr>
          <w:spacing w:val="-4"/>
          <w:sz w:val="22"/>
          <w:szCs w:val="22"/>
        </w:rPr>
        <w:t>,0</w:t>
      </w:r>
      <w:r w:rsidR="00527496" w:rsidRPr="00527496">
        <w:rPr>
          <w:spacing w:val="-4"/>
          <w:sz w:val="22"/>
          <w:szCs w:val="22"/>
        </w:rPr>
        <w:t xml:space="preserve">% nell'ultimo mese ed è in rialzo del 7,9% </w:t>
      </w:r>
      <w:r w:rsidR="004E28D1">
        <w:rPr>
          <w:spacing w:val="-4"/>
          <w:sz w:val="22"/>
          <w:szCs w:val="22"/>
        </w:rPr>
        <w:t>dall’inizio dell’anno</w:t>
      </w:r>
      <w:r w:rsidR="00527496" w:rsidRPr="00527496">
        <w:rPr>
          <w:spacing w:val="-4"/>
          <w:sz w:val="22"/>
          <w:szCs w:val="22"/>
        </w:rPr>
        <w:t xml:space="preserve">. L'indice FTSE Italy Mid-Cap (+7,8%) ha sottoperformato l'indice principale dello 0,2% nell'ultimo mese (-0,6% </w:t>
      </w:r>
      <w:r w:rsidR="004E28D1">
        <w:rPr>
          <w:spacing w:val="-4"/>
          <w:sz w:val="22"/>
          <w:szCs w:val="22"/>
        </w:rPr>
        <w:t>la performance relative da inizio anno</w:t>
      </w:r>
      <w:r w:rsidR="00527496" w:rsidRPr="00527496">
        <w:rPr>
          <w:spacing w:val="-4"/>
          <w:sz w:val="22"/>
          <w:szCs w:val="22"/>
        </w:rPr>
        <w:t>), mentre l'indice FTSE Italy Small Caps (+6,2%) ha registrato una performance peggiore</w:t>
      </w:r>
      <w:r w:rsidR="00F55C08">
        <w:rPr>
          <w:spacing w:val="-4"/>
          <w:sz w:val="22"/>
          <w:szCs w:val="22"/>
        </w:rPr>
        <w:t xml:space="preserve"> del mercato</w:t>
      </w:r>
      <w:r w:rsidR="00527496" w:rsidRPr="00527496">
        <w:rPr>
          <w:spacing w:val="-4"/>
          <w:sz w:val="22"/>
          <w:szCs w:val="22"/>
        </w:rPr>
        <w:t xml:space="preserve"> dell'1,8% nell'ultimo mese e un -1,9% su base relativa dall'inizio del 2023. Guardando alle performance delle mid/small cap</w:t>
      </w:r>
      <w:r w:rsidR="006F6B94">
        <w:rPr>
          <w:spacing w:val="-4"/>
          <w:sz w:val="22"/>
          <w:szCs w:val="22"/>
        </w:rPr>
        <w:t>s</w:t>
      </w:r>
      <w:r w:rsidR="00527496" w:rsidRPr="00527496">
        <w:rPr>
          <w:spacing w:val="-4"/>
          <w:sz w:val="22"/>
          <w:szCs w:val="22"/>
        </w:rPr>
        <w:t xml:space="preserve"> in Europa, l'indice MSCI Europe Small Caps è cresciuto del 6,6% nell'ultimo mese, sottoperformando leggermente le mid-cap</w:t>
      </w:r>
      <w:r w:rsidR="006F6B94">
        <w:rPr>
          <w:spacing w:val="-4"/>
          <w:sz w:val="22"/>
          <w:szCs w:val="22"/>
        </w:rPr>
        <w:t>s</w:t>
      </w:r>
      <w:r w:rsidR="00527496" w:rsidRPr="00527496">
        <w:rPr>
          <w:spacing w:val="-4"/>
          <w:sz w:val="22"/>
          <w:szCs w:val="22"/>
        </w:rPr>
        <w:t xml:space="preserve"> italiane.</w:t>
      </w:r>
    </w:p>
    <w:p w14:paraId="0A0B40E9" w14:textId="7793D542" w:rsidR="006D11BB" w:rsidRPr="00121393" w:rsidRDefault="006D11BB" w:rsidP="00114690">
      <w:pPr>
        <w:pStyle w:val="Bullets"/>
        <w:numPr>
          <w:ilvl w:val="0"/>
          <w:numId w:val="14"/>
        </w:numPr>
        <w:spacing w:line="240" w:lineRule="auto"/>
        <w:rPr>
          <w:spacing w:val="-4"/>
          <w:sz w:val="22"/>
          <w:szCs w:val="22"/>
        </w:rPr>
      </w:pPr>
      <w:r w:rsidRPr="006D11BB">
        <w:rPr>
          <w:b/>
          <w:bCs/>
          <w:spacing w:val="-4"/>
          <w:sz w:val="22"/>
          <w:szCs w:val="22"/>
        </w:rPr>
        <w:t>Stime (=).</w:t>
      </w:r>
      <w:r w:rsidRPr="006D11BB">
        <w:rPr>
          <w:spacing w:val="-4"/>
          <w:sz w:val="22"/>
          <w:szCs w:val="22"/>
        </w:rPr>
        <w:t xml:space="preserve"> </w:t>
      </w:r>
      <w:r w:rsidR="00121393" w:rsidRPr="00121393">
        <w:rPr>
          <w:spacing w:val="-4"/>
          <w:sz w:val="22"/>
          <w:szCs w:val="22"/>
        </w:rPr>
        <w:t xml:space="preserve">Dall'inizio del 2022, abbiamo attuato una revisione al rialzo del +12,2% delle nostre stime sugli EPS per il 2023, grazie ai significativi upgrade degli utili dei titoli </w:t>
      </w:r>
      <w:r w:rsidR="00114690">
        <w:rPr>
          <w:spacing w:val="-4"/>
          <w:sz w:val="22"/>
          <w:szCs w:val="22"/>
        </w:rPr>
        <w:t>energetici</w:t>
      </w:r>
      <w:r w:rsidR="00121393" w:rsidRPr="00121393">
        <w:rPr>
          <w:spacing w:val="-4"/>
          <w:sz w:val="22"/>
          <w:szCs w:val="22"/>
        </w:rPr>
        <w:t xml:space="preserve">, mentre in media abbiamo lasciato quasi invariate le previsioni per i restanti titoli; </w:t>
      </w:r>
      <w:r w:rsidR="00200D08" w:rsidRPr="006D11BB">
        <w:rPr>
          <w:spacing w:val="-4"/>
          <w:sz w:val="22"/>
          <w:szCs w:val="22"/>
        </w:rPr>
        <w:t>concentrandoci sulla nostra copertura mid/small</w:t>
      </w:r>
      <w:r w:rsidR="00121393" w:rsidRPr="00121393">
        <w:rPr>
          <w:spacing w:val="-4"/>
          <w:sz w:val="22"/>
          <w:szCs w:val="22"/>
        </w:rPr>
        <w:t>, abbiamo tagliato gli EPS 2023 del 6,3% dal 1° gennaio 2022. Nell'ultimo mese, abbiamo lasciato le previsioni</w:t>
      </w:r>
      <w:r w:rsidR="00DE1FA2">
        <w:rPr>
          <w:spacing w:val="-4"/>
          <w:sz w:val="22"/>
          <w:szCs w:val="22"/>
        </w:rPr>
        <w:t xml:space="preserve"> 2022 e 2023 sugli</w:t>
      </w:r>
      <w:r w:rsidR="00121393" w:rsidRPr="00121393">
        <w:rPr>
          <w:spacing w:val="-4"/>
          <w:sz w:val="22"/>
          <w:szCs w:val="22"/>
        </w:rPr>
        <w:t xml:space="preserve"> EPS per le nostre mid/small cap</w:t>
      </w:r>
      <w:r w:rsidR="00DE1FA2">
        <w:rPr>
          <w:spacing w:val="-4"/>
          <w:sz w:val="22"/>
          <w:szCs w:val="22"/>
        </w:rPr>
        <w:t xml:space="preserve">s </w:t>
      </w:r>
      <w:r w:rsidR="00DE1FA2" w:rsidRPr="00121393">
        <w:rPr>
          <w:spacing w:val="-4"/>
          <w:sz w:val="22"/>
          <w:szCs w:val="22"/>
        </w:rPr>
        <w:t>quasi invariate</w:t>
      </w:r>
      <w:r w:rsidR="00121393" w:rsidRPr="00121393">
        <w:rPr>
          <w:spacing w:val="-4"/>
          <w:sz w:val="22"/>
          <w:szCs w:val="22"/>
        </w:rPr>
        <w:t xml:space="preserve"> (-0,1%/+0,</w:t>
      </w:r>
      <w:r w:rsidR="00DE1FA2">
        <w:rPr>
          <w:spacing w:val="-4"/>
          <w:sz w:val="22"/>
          <w:szCs w:val="22"/>
        </w:rPr>
        <w:t>1</w:t>
      </w:r>
      <w:r w:rsidR="00121393" w:rsidRPr="00121393">
        <w:rPr>
          <w:spacing w:val="-4"/>
          <w:sz w:val="22"/>
          <w:szCs w:val="22"/>
        </w:rPr>
        <w:t xml:space="preserve">%). </w:t>
      </w:r>
      <w:r w:rsidR="00F97FE3">
        <w:rPr>
          <w:spacing w:val="-4"/>
          <w:sz w:val="22"/>
          <w:szCs w:val="22"/>
        </w:rPr>
        <w:t xml:space="preserve"> </w:t>
      </w:r>
    </w:p>
    <w:p w14:paraId="462FD199" w14:textId="76AA89C9" w:rsidR="00E542BA" w:rsidRPr="00E542BA" w:rsidRDefault="00E542BA" w:rsidP="007920F2">
      <w:pPr>
        <w:pStyle w:val="Bullets"/>
        <w:numPr>
          <w:ilvl w:val="0"/>
          <w:numId w:val="14"/>
        </w:numPr>
        <w:spacing w:after="160" w:line="240" w:lineRule="auto"/>
        <w:rPr>
          <w:spacing w:val="-4"/>
          <w:sz w:val="22"/>
          <w:szCs w:val="22"/>
        </w:rPr>
      </w:pPr>
      <w:r w:rsidRPr="00E542BA">
        <w:rPr>
          <w:b/>
          <w:bCs/>
          <w:spacing w:val="-4"/>
          <w:sz w:val="22"/>
          <w:szCs w:val="22"/>
        </w:rPr>
        <w:t>Valutazioni (</w:t>
      </w:r>
      <w:r w:rsidR="007C0A9E">
        <w:rPr>
          <w:b/>
          <w:bCs/>
          <w:spacing w:val="-4"/>
          <w:sz w:val="22"/>
          <w:szCs w:val="22"/>
        </w:rPr>
        <w:t>+</w:t>
      </w:r>
      <w:r w:rsidRPr="00E542BA">
        <w:rPr>
          <w:b/>
          <w:bCs/>
          <w:spacing w:val="-4"/>
          <w:sz w:val="22"/>
          <w:szCs w:val="22"/>
        </w:rPr>
        <w:t>).</w:t>
      </w:r>
      <w:r w:rsidRPr="00E542BA">
        <w:rPr>
          <w:spacing w:val="-4"/>
          <w:sz w:val="22"/>
          <w:szCs w:val="22"/>
        </w:rPr>
        <w:t xml:space="preserve"> </w:t>
      </w:r>
      <w:r w:rsidR="00442B98" w:rsidRPr="00E542BA">
        <w:rPr>
          <w:spacing w:val="-4"/>
          <w:sz w:val="22"/>
          <w:szCs w:val="22"/>
        </w:rPr>
        <w:t xml:space="preserve">Se confrontiamo la performance YtD con la variazione delle stime per l'esercizio </w:t>
      </w:r>
      <w:r w:rsidR="00442B98">
        <w:rPr>
          <w:spacing w:val="-4"/>
          <w:sz w:val="22"/>
          <w:szCs w:val="22"/>
        </w:rPr>
        <w:t>‘</w:t>
      </w:r>
      <w:r w:rsidR="00442B98" w:rsidRPr="00E542BA">
        <w:rPr>
          <w:spacing w:val="-4"/>
          <w:sz w:val="22"/>
          <w:szCs w:val="22"/>
        </w:rPr>
        <w:t>2</w:t>
      </w:r>
      <w:r w:rsidR="00442B98">
        <w:rPr>
          <w:spacing w:val="-4"/>
          <w:sz w:val="22"/>
          <w:szCs w:val="22"/>
        </w:rPr>
        <w:t>3</w:t>
      </w:r>
      <w:r w:rsidR="00442B98" w:rsidRPr="00E542BA">
        <w:rPr>
          <w:spacing w:val="-4"/>
          <w:sz w:val="22"/>
          <w:szCs w:val="22"/>
        </w:rPr>
        <w:t xml:space="preserve"> nello stesso periodo</w:t>
      </w:r>
      <w:r w:rsidR="00EB07FF" w:rsidRPr="00EB07FF">
        <w:rPr>
          <w:spacing w:val="-4"/>
          <w:sz w:val="22"/>
          <w:szCs w:val="22"/>
        </w:rPr>
        <w:t>, vediamo che i titoli del FTSE MIB hanno registrato un re-rating YtD dell'8,9% (</w:t>
      </w:r>
      <w:r w:rsidR="004E28D1">
        <w:rPr>
          <w:spacing w:val="-4"/>
          <w:sz w:val="22"/>
          <w:szCs w:val="22"/>
        </w:rPr>
        <w:t>che recupera</w:t>
      </w:r>
      <w:r w:rsidR="004E28D1" w:rsidRPr="00EB07FF">
        <w:rPr>
          <w:spacing w:val="-4"/>
          <w:sz w:val="22"/>
          <w:szCs w:val="22"/>
        </w:rPr>
        <w:t xml:space="preserve"> </w:t>
      </w:r>
      <w:r w:rsidR="00EB07FF" w:rsidRPr="00EB07FF">
        <w:rPr>
          <w:spacing w:val="-4"/>
          <w:sz w:val="22"/>
          <w:szCs w:val="22"/>
        </w:rPr>
        <w:t>in parte il significativo de</w:t>
      </w:r>
      <w:r w:rsidR="00803EF8">
        <w:rPr>
          <w:spacing w:val="-4"/>
          <w:sz w:val="22"/>
          <w:szCs w:val="22"/>
        </w:rPr>
        <w:t>prezzamento</w:t>
      </w:r>
      <w:r w:rsidR="00EB07FF" w:rsidRPr="00EB07FF">
        <w:rPr>
          <w:spacing w:val="-4"/>
          <w:sz w:val="22"/>
          <w:szCs w:val="22"/>
        </w:rPr>
        <w:t xml:space="preserve"> subito nel 2022); le mid-cap</w:t>
      </w:r>
      <w:r w:rsidR="00803EF8">
        <w:rPr>
          <w:spacing w:val="-4"/>
          <w:sz w:val="22"/>
          <w:szCs w:val="22"/>
        </w:rPr>
        <w:t>s</w:t>
      </w:r>
      <w:r w:rsidR="00EB07FF" w:rsidRPr="00EB07FF">
        <w:rPr>
          <w:spacing w:val="-4"/>
          <w:sz w:val="22"/>
          <w:szCs w:val="22"/>
        </w:rPr>
        <w:t xml:space="preserve"> si sono rivalutate del 7,1%, mentre le small-cap</w:t>
      </w:r>
      <w:r w:rsidR="00803EF8">
        <w:rPr>
          <w:spacing w:val="-4"/>
          <w:sz w:val="22"/>
          <w:szCs w:val="22"/>
        </w:rPr>
        <w:t>s</w:t>
      </w:r>
      <w:r w:rsidR="00EB07FF" w:rsidRPr="00EB07FF">
        <w:rPr>
          <w:spacing w:val="-4"/>
          <w:sz w:val="22"/>
          <w:szCs w:val="22"/>
        </w:rPr>
        <w:t xml:space="preserve"> si sono rivalutate del 7,2%. Su base P/E, il nostro panel è scambiato con un premio del 41% rispetto alle large cap</w:t>
      </w:r>
      <w:r w:rsidR="00803EF8">
        <w:rPr>
          <w:spacing w:val="-4"/>
          <w:sz w:val="22"/>
          <w:szCs w:val="22"/>
        </w:rPr>
        <w:t>s</w:t>
      </w:r>
      <w:r w:rsidR="00EB07FF" w:rsidRPr="00EB07FF">
        <w:rPr>
          <w:spacing w:val="-4"/>
          <w:sz w:val="22"/>
          <w:szCs w:val="22"/>
        </w:rPr>
        <w:t>, ben al di sopra del premio medio storico (17%)</w:t>
      </w:r>
      <w:r w:rsidR="00917DEF">
        <w:rPr>
          <w:spacing w:val="-4"/>
          <w:sz w:val="22"/>
          <w:szCs w:val="22"/>
        </w:rPr>
        <w:t xml:space="preserve">, </w:t>
      </w:r>
      <w:r w:rsidR="00EB07FF" w:rsidRPr="00EB07FF">
        <w:rPr>
          <w:spacing w:val="-4"/>
          <w:sz w:val="22"/>
          <w:szCs w:val="22"/>
        </w:rPr>
        <w:t>ma al di sotto del livello di un mese fa (49%).</w:t>
      </w:r>
    </w:p>
    <w:p w14:paraId="2FCB81A5" w14:textId="688ECC8B" w:rsidR="00E542BA" w:rsidRPr="00E542BA" w:rsidRDefault="008104DC" w:rsidP="007920F2">
      <w:pPr>
        <w:pStyle w:val="Bullets"/>
        <w:numPr>
          <w:ilvl w:val="0"/>
          <w:numId w:val="14"/>
        </w:numPr>
        <w:spacing w:after="160" w:line="240" w:lineRule="auto"/>
        <w:rPr>
          <w:spacing w:val="-4"/>
          <w:sz w:val="22"/>
          <w:szCs w:val="22"/>
        </w:rPr>
      </w:pPr>
      <w:r w:rsidRPr="008104DC">
        <w:rPr>
          <w:b/>
          <w:bCs/>
          <w:spacing w:val="-4"/>
          <w:sz w:val="22"/>
          <w:szCs w:val="22"/>
        </w:rPr>
        <w:t>Liquidità (=).</w:t>
      </w:r>
      <w:r w:rsidRPr="008104DC">
        <w:rPr>
          <w:spacing w:val="-4"/>
          <w:sz w:val="22"/>
          <w:szCs w:val="22"/>
        </w:rPr>
        <w:t xml:space="preserve"> Osservando</w:t>
      </w:r>
      <w:r w:rsidR="00EB07FF" w:rsidRPr="00EB07FF">
        <w:rPr>
          <w:spacing w:val="-4"/>
          <w:sz w:val="22"/>
          <w:szCs w:val="22"/>
        </w:rPr>
        <w:t xml:space="preserve"> l'andamento degli indici ufficiali italiani, notiamo che la liquidità per le large cap</w:t>
      </w:r>
      <w:r w:rsidR="001127D7">
        <w:rPr>
          <w:spacing w:val="-4"/>
          <w:sz w:val="22"/>
          <w:szCs w:val="22"/>
        </w:rPr>
        <w:t>s</w:t>
      </w:r>
      <w:r w:rsidR="00EB07FF" w:rsidRPr="00EB07FF">
        <w:rPr>
          <w:spacing w:val="-4"/>
          <w:sz w:val="22"/>
          <w:szCs w:val="22"/>
        </w:rPr>
        <w:t xml:space="preserve"> nell'ultimo mese (misurata dai volumi medi moltiplicati per i prezzi medi </w:t>
      </w:r>
      <w:r w:rsidR="004064BB">
        <w:rPr>
          <w:spacing w:val="-4"/>
          <w:sz w:val="22"/>
          <w:szCs w:val="22"/>
        </w:rPr>
        <w:t>in un determinato periodo</w:t>
      </w:r>
      <w:r w:rsidR="00EB07FF" w:rsidRPr="00EB07FF">
        <w:rPr>
          <w:spacing w:val="-4"/>
          <w:sz w:val="22"/>
          <w:szCs w:val="22"/>
        </w:rPr>
        <w:t xml:space="preserve">) è al di sotto della media annuale, risultando inferiore del 27,0% rispetto alla media a </w:t>
      </w:r>
      <w:r w:rsidR="001127D7">
        <w:rPr>
          <w:spacing w:val="-4"/>
          <w:sz w:val="22"/>
          <w:szCs w:val="22"/>
        </w:rPr>
        <w:t>un</w:t>
      </w:r>
      <w:r w:rsidR="00EB07FF" w:rsidRPr="00EB07FF">
        <w:rPr>
          <w:spacing w:val="-4"/>
          <w:sz w:val="22"/>
          <w:szCs w:val="22"/>
        </w:rPr>
        <w:t xml:space="preserve"> anno, in peggioramento rispetto a un mese fa, quando la stessa metrica era pari a</w:t>
      </w:r>
      <w:r w:rsidR="001127D7">
        <w:rPr>
          <w:spacing w:val="-4"/>
          <w:sz w:val="22"/>
          <w:szCs w:val="22"/>
        </w:rPr>
        <w:t>l</w:t>
      </w:r>
      <w:r w:rsidR="00EB07FF" w:rsidRPr="00EB07FF">
        <w:rPr>
          <w:spacing w:val="-4"/>
          <w:sz w:val="22"/>
          <w:szCs w:val="22"/>
        </w:rPr>
        <w:t xml:space="preserve"> -16,6%. La liquidità per le mid-cap</w:t>
      </w:r>
      <w:r w:rsidR="001127D7">
        <w:rPr>
          <w:spacing w:val="-4"/>
          <w:sz w:val="22"/>
          <w:szCs w:val="22"/>
        </w:rPr>
        <w:t>s</w:t>
      </w:r>
      <w:r w:rsidR="00EB07FF" w:rsidRPr="00EB07FF">
        <w:rPr>
          <w:spacing w:val="-4"/>
          <w:sz w:val="22"/>
          <w:szCs w:val="22"/>
        </w:rPr>
        <w:t xml:space="preserve"> è rimasta stabile </w:t>
      </w:r>
      <w:r w:rsidR="004E28D1" w:rsidRPr="00451957">
        <w:rPr>
          <w:spacing w:val="-4"/>
          <w:sz w:val="22"/>
          <w:szCs w:val="22"/>
        </w:rPr>
        <w:t>rispetto al mese precedente</w:t>
      </w:r>
      <w:r w:rsidR="00AD0D9B" w:rsidRPr="00451957">
        <w:rPr>
          <w:spacing w:val="-4"/>
          <w:sz w:val="22"/>
          <w:szCs w:val="22"/>
        </w:rPr>
        <w:t xml:space="preserve"> </w:t>
      </w:r>
      <w:r w:rsidR="00EB07FF" w:rsidRPr="00451957">
        <w:rPr>
          <w:spacing w:val="-4"/>
          <w:sz w:val="22"/>
          <w:szCs w:val="22"/>
        </w:rPr>
        <w:t>e ha registrato una</w:t>
      </w:r>
      <w:r w:rsidR="00EB07FF" w:rsidRPr="00EB07FF">
        <w:rPr>
          <w:spacing w:val="-4"/>
          <w:sz w:val="22"/>
          <w:szCs w:val="22"/>
        </w:rPr>
        <w:t xml:space="preserve"> contrazione simile</w:t>
      </w:r>
      <w:r w:rsidR="004E28D1">
        <w:rPr>
          <w:spacing w:val="-4"/>
          <w:sz w:val="22"/>
          <w:szCs w:val="22"/>
        </w:rPr>
        <w:t xml:space="preserve"> rispetto alla media a un anno</w:t>
      </w:r>
      <w:r w:rsidR="00EB07FF" w:rsidRPr="00EB07FF">
        <w:rPr>
          <w:spacing w:val="-4"/>
          <w:sz w:val="22"/>
          <w:szCs w:val="22"/>
        </w:rPr>
        <w:t>, -27,4%, mentre per le small-cap</w:t>
      </w:r>
      <w:r w:rsidR="001127D7">
        <w:rPr>
          <w:spacing w:val="-4"/>
          <w:sz w:val="22"/>
          <w:szCs w:val="22"/>
        </w:rPr>
        <w:t>s</w:t>
      </w:r>
      <w:r w:rsidR="00EB07FF" w:rsidRPr="00EB07FF">
        <w:rPr>
          <w:spacing w:val="-4"/>
          <w:sz w:val="22"/>
          <w:szCs w:val="22"/>
        </w:rPr>
        <w:t xml:space="preserve"> </w:t>
      </w:r>
      <w:r w:rsidR="00B86BE6">
        <w:rPr>
          <w:spacing w:val="-4"/>
          <w:sz w:val="22"/>
          <w:szCs w:val="22"/>
        </w:rPr>
        <w:t>la stessa metrica è diminuita</w:t>
      </w:r>
      <w:r w:rsidR="00EB07FF" w:rsidRPr="00EB07FF">
        <w:rPr>
          <w:spacing w:val="-4"/>
          <w:sz w:val="22"/>
          <w:szCs w:val="22"/>
        </w:rPr>
        <w:t xml:space="preserve"> del 25,6%. </w:t>
      </w:r>
    </w:p>
    <w:p w14:paraId="07BFAD9A" w14:textId="28FCE0B2" w:rsidR="003B2BFF" w:rsidRPr="00D15EA0" w:rsidRDefault="00D15EA0" w:rsidP="00D15EA0">
      <w:pPr>
        <w:pStyle w:val="Nessunaspaziatura"/>
        <w:numPr>
          <w:ilvl w:val="0"/>
          <w:numId w:val="14"/>
        </w:numPr>
        <w:jc w:val="both"/>
      </w:pPr>
      <w:r w:rsidRPr="00D15EA0">
        <w:rPr>
          <w:b/>
          <w:bCs/>
        </w:rPr>
        <w:t>Strategia di investimento.</w:t>
      </w:r>
      <w:r w:rsidR="00EB07FF">
        <w:rPr>
          <w:b/>
          <w:bCs/>
        </w:rPr>
        <w:t xml:space="preserve"> </w:t>
      </w:r>
      <w:r w:rsidR="00EB07FF" w:rsidRPr="00EB07FF">
        <w:t>Il 2023 è iniziato in modo molto positivo per il mercato italiano, soprattutto grazie a</w:t>
      </w:r>
      <w:r w:rsidR="0097614A">
        <w:t>i</w:t>
      </w:r>
      <w:r w:rsidR="00EB07FF" w:rsidRPr="00EB07FF">
        <w:t xml:space="preserve"> segnali </w:t>
      </w:r>
      <w:r w:rsidR="00FD4914">
        <w:t>di presunto raggiungimento del</w:t>
      </w:r>
      <w:r w:rsidR="00EB07FF" w:rsidRPr="00EB07FF">
        <w:t xml:space="preserve"> picco</w:t>
      </w:r>
      <w:r w:rsidR="00FD4914">
        <w:t xml:space="preserve"> inflattivo</w:t>
      </w:r>
      <w:r w:rsidR="00EB07FF" w:rsidRPr="00EB07FF">
        <w:t>. Tuttavia, nelle prossime settimane è possibile che nuov</w:t>
      </w:r>
      <w:r w:rsidR="00030E15">
        <w:t>e</w:t>
      </w:r>
      <w:r w:rsidR="00EB07FF" w:rsidRPr="00EB07FF">
        <w:t xml:space="preserve"> azioni restrittive e commenti delle Banche Centrali possano innescare una correzione. Detto questo, guardando</w:t>
      </w:r>
      <w:r w:rsidR="00CC3A1E">
        <w:t xml:space="preserve"> al</w:t>
      </w:r>
      <w:r w:rsidR="00EB07FF" w:rsidRPr="00EB07FF">
        <w:t xml:space="preserve"> 2023, vediamo motivi di ottimismo (i titoli italiani sono scambiati a valutazioni attraenti, la riapertura della Cina dovrebbe sostenere la domanda globale) e in particolare sovrappeseremmo le mid-small cap</w:t>
      </w:r>
      <w:r w:rsidR="001B3060">
        <w:t xml:space="preserve">s, </w:t>
      </w:r>
      <w:r w:rsidR="004E28D1">
        <w:t>poiché</w:t>
      </w:r>
      <w:r w:rsidR="00EB07FF" w:rsidRPr="00EB07FF">
        <w:t xml:space="preserve"> riteniamo che questa asset class possa invertire la sottoperformance </w:t>
      </w:r>
      <w:r w:rsidR="001B3060">
        <w:t>sofferta n</w:t>
      </w:r>
      <w:r w:rsidR="00EB07FF" w:rsidRPr="00EB07FF">
        <w:t xml:space="preserve">el 2022 (i titoli growth dovrebbero ritrovare slancio). In questo scenario, riteniamo che la direzione delle stime - che emergerà dai risultati trimestrali - rimarrà il principale fattore </w:t>
      </w:r>
      <w:r w:rsidR="00EB07FF" w:rsidRPr="00EB07FF">
        <w:lastRenderedPageBreak/>
        <w:t>discriminante per la selezione del portafoglio e quindi confermiamo la nostra preferenza per i titoli di qualità esposti a trend solidi, soprattutto nel settore IT. La liquidità rimane limitata, come confermano anche i flussi negativi registrati dai fondi PIR.</w:t>
      </w:r>
      <w:r w:rsidR="00A17451">
        <w:t xml:space="preserve"> </w:t>
      </w:r>
    </w:p>
    <w:p w14:paraId="1CEC77B2" w14:textId="77777777" w:rsidR="005E65FF" w:rsidRDefault="005E65FF" w:rsidP="007920F2">
      <w:pPr>
        <w:pStyle w:val="Nessunaspaziatura"/>
        <w:jc w:val="both"/>
        <w:rPr>
          <w:b/>
          <w:bCs/>
        </w:rPr>
      </w:pPr>
    </w:p>
    <w:p w14:paraId="39D16206" w14:textId="4552A211" w:rsidR="00AE26CB" w:rsidRPr="004718E7" w:rsidRDefault="00B624DC" w:rsidP="007920F2">
      <w:pPr>
        <w:pStyle w:val="Nessunaspaziatura"/>
        <w:jc w:val="both"/>
        <w:rPr>
          <w:b/>
          <w:bCs/>
          <w:color w:val="AEAAAA" w:themeColor="background2" w:themeShade="BF"/>
        </w:rPr>
      </w:pPr>
      <w:r w:rsidRPr="00FA0ABF">
        <w:rPr>
          <w:b/>
          <w:bCs/>
          <w:color w:val="AEAAAA" w:themeColor="background2" w:themeShade="BF"/>
        </w:rPr>
        <w:t>I deflussi di PIR sono proseguiti in ottobre e novembre</w:t>
      </w:r>
    </w:p>
    <w:p w14:paraId="64945437" w14:textId="473DF9E0" w:rsidR="00AE26CB" w:rsidRDefault="00AE26CB" w:rsidP="00A17451">
      <w:pPr>
        <w:pStyle w:val="Nessunaspaziatura"/>
        <w:jc w:val="both"/>
      </w:pPr>
      <w:r w:rsidRPr="00AE26CB">
        <w:t xml:space="preserve">Nella sua revisione trimestrale del 29 novembre 2022, </w:t>
      </w:r>
      <w:r w:rsidRPr="00D46EC2">
        <w:rPr>
          <w:b/>
          <w:bCs/>
        </w:rPr>
        <w:t xml:space="preserve">Assogestioni ha pubblicato i dati aggiornati sulla raccolta PIR del 3Q22. Nel </w:t>
      </w:r>
      <w:r w:rsidR="003E0508">
        <w:rPr>
          <w:b/>
          <w:bCs/>
        </w:rPr>
        <w:t xml:space="preserve">corso del </w:t>
      </w:r>
      <w:r w:rsidRPr="00D46EC2">
        <w:rPr>
          <w:b/>
          <w:bCs/>
        </w:rPr>
        <w:t>trimestre, i PIR ordinari hanno registrato deflussi per 330,3 milioni di euro, mentre i PIR alternativi hanno registrato afflussi per 14,5 milioni di euro.</w:t>
      </w:r>
      <w:r w:rsidR="00B017C0">
        <w:t xml:space="preserve"> </w:t>
      </w:r>
      <w:r w:rsidR="00B017C0" w:rsidRPr="00B017C0">
        <w:t>In termini di AuM, i PIR ordinari hanno gestito 16,5 miliardi di euro, mentre 1,4 miliardi di euro sono stati investiti in fondi PIR alternativi.</w:t>
      </w:r>
      <w:r w:rsidR="00B017C0">
        <w:t xml:space="preserve"> Per quanto riguarda i PIR ordinari, la raccolta netta trimestrale è </w:t>
      </w:r>
      <w:r w:rsidR="00B017C0" w:rsidRPr="00372558">
        <w:t xml:space="preserve">ulteriormente </w:t>
      </w:r>
      <w:r w:rsidR="003E0508" w:rsidRPr="00372558">
        <w:t>peggiorata</w:t>
      </w:r>
      <w:r w:rsidR="00B017C0" w:rsidRPr="00372558">
        <w:t xml:space="preserve"> su base sequenziale rispetto al 2° trimestre del 2022 e al 1° trimestre del 2022, quando </w:t>
      </w:r>
      <w:r w:rsidR="00895909" w:rsidRPr="00372558">
        <w:t>il dato</w:t>
      </w:r>
      <w:r w:rsidR="00B017C0" w:rsidRPr="00372558">
        <w:t xml:space="preserve"> era stat</w:t>
      </w:r>
      <w:r w:rsidR="00895909" w:rsidRPr="00372558">
        <w:t>o</w:t>
      </w:r>
      <w:r w:rsidR="00B017C0">
        <w:t xml:space="preserve"> rispettivamente di 96 milioni e 160 milioni di euro.</w:t>
      </w:r>
      <w:r w:rsidR="00A17451">
        <w:t xml:space="preserve"> Il saldo totale YtD si attesta quindi a 366 milioni di euro, mentre gli AuM si sono attestati a 16,5 miliardi di euro, in calo rispetto ai 17,5 miliardi di euro di fine giugno, a causa sia dei deflussi che dell’andamento del mercato. </w:t>
      </w:r>
    </w:p>
    <w:p w14:paraId="7A925F8B" w14:textId="3F52756E" w:rsidR="0086743B" w:rsidRPr="0086743B" w:rsidRDefault="003F221A" w:rsidP="0086743B">
      <w:pPr>
        <w:pStyle w:val="Nessunaspaziatura"/>
        <w:jc w:val="both"/>
      </w:pPr>
      <w:r>
        <w:t>Il dato di afflusso è peggiore di quello reso noto dall'Osservatorio PIR de Il Sole 24 Ore, che ha stimato 244 milioni di euro di deflussi nel 3Q22 (con luglio, agosto e settembre rispettivamente a 63 milioni di euro, 57 milioni di euro e 124 milioni di euro).</w:t>
      </w:r>
      <w:r w:rsidR="0086743B" w:rsidRPr="0086743B">
        <w:rPr>
          <w:b/>
          <w:bCs/>
        </w:rPr>
        <w:t xml:space="preserve"> </w:t>
      </w:r>
      <w:r w:rsidR="0086743B" w:rsidRPr="0086743B">
        <w:t xml:space="preserve">Secondo l'Osservatorio PIR, i deflussi sono proseguiti in ottobre con </w:t>
      </w:r>
      <w:r w:rsidR="006B1E08">
        <w:t>-</w:t>
      </w:r>
      <w:r w:rsidR="0086743B" w:rsidRPr="0086743B">
        <w:t>92,1 milioni di euro</w:t>
      </w:r>
      <w:r w:rsidR="006B1E08">
        <w:t xml:space="preserve"> </w:t>
      </w:r>
      <w:r w:rsidR="006B1E08" w:rsidRPr="00610027">
        <w:t xml:space="preserve">e in </w:t>
      </w:r>
      <w:r w:rsidR="00610027" w:rsidRPr="00610027">
        <w:t>n</w:t>
      </w:r>
      <w:r w:rsidR="006B1E08" w:rsidRPr="00610027">
        <w:t>ovembre con -102 milioni di euro</w:t>
      </w:r>
      <w:r w:rsidR="0086743B" w:rsidRPr="00610027">
        <w:t>.</w:t>
      </w:r>
    </w:p>
    <w:p w14:paraId="7E4DEA65" w14:textId="0E263083" w:rsidR="003F221A" w:rsidRDefault="003F221A" w:rsidP="003F221A">
      <w:pPr>
        <w:pStyle w:val="Nessunaspaziatura"/>
        <w:jc w:val="both"/>
      </w:pPr>
    </w:p>
    <w:p w14:paraId="6A1FC2F7" w14:textId="32AA6A83" w:rsidR="003F221A" w:rsidRDefault="003F221A" w:rsidP="003F221A">
      <w:pPr>
        <w:pStyle w:val="Nessunaspaziatura"/>
        <w:jc w:val="both"/>
      </w:pPr>
      <w:r w:rsidRPr="003F221A">
        <w:rPr>
          <w:b/>
          <w:bCs/>
        </w:rPr>
        <w:t>Per quanto riguarda i PIR alternativi, la raccolta nel 3</w:t>
      </w:r>
      <w:r>
        <w:rPr>
          <w:b/>
          <w:bCs/>
        </w:rPr>
        <w:t>Q</w:t>
      </w:r>
      <w:r w:rsidRPr="003F221A">
        <w:rPr>
          <w:b/>
          <w:bCs/>
        </w:rPr>
        <w:t>22 è stata di 14,5 milioni di euro</w:t>
      </w:r>
      <w:r w:rsidRPr="003F221A">
        <w:t>, in calo rispetto al 2</w:t>
      </w:r>
      <w:r>
        <w:t>Q</w:t>
      </w:r>
      <w:r w:rsidRPr="003F221A">
        <w:t>22 (153 milioni di euro) e al 1</w:t>
      </w:r>
      <w:r>
        <w:t>Q</w:t>
      </w:r>
      <w:r w:rsidRPr="003F221A">
        <w:t>22 (83 milioni di euro)</w:t>
      </w:r>
      <w:r>
        <w:t>,</w:t>
      </w:r>
      <w:r w:rsidRPr="003F221A">
        <w:t xml:space="preserve"> con il dato YtD a 251m</w:t>
      </w:r>
      <w:r>
        <w:t>l</w:t>
      </w:r>
      <w:r w:rsidRPr="003F221A">
        <w:t xml:space="preserve">n </w:t>
      </w:r>
      <w:r>
        <w:t xml:space="preserve">di euro </w:t>
      </w:r>
      <w:r w:rsidRPr="003F221A">
        <w:t>e AuM stabili a 1,44</w:t>
      </w:r>
      <w:r>
        <w:t xml:space="preserve"> </w:t>
      </w:r>
      <w:r w:rsidRPr="003F221A">
        <w:t xml:space="preserve">mld </w:t>
      </w:r>
      <w:r>
        <w:t xml:space="preserve">di euro </w:t>
      </w:r>
      <w:r w:rsidRPr="003F221A">
        <w:t>(stesso dato di fine giugno).</w:t>
      </w:r>
    </w:p>
    <w:p w14:paraId="31110E3B" w14:textId="3D0AFA1B" w:rsidR="00A00803" w:rsidRPr="00567214" w:rsidRDefault="00A00803" w:rsidP="00A00803">
      <w:pPr>
        <w:pStyle w:val="Nessunaspaziatura"/>
        <w:jc w:val="both"/>
      </w:pPr>
      <w:r w:rsidRPr="00567214">
        <w:t>Ricordiamo che le caratteristiche del PIR 3.0 sono le seguenti: almeno il 70% del fondo deve essere investito in titoli emessi da società quotate italiane o comunitarie con stabile organizzazione in Italia; di questo 70%, il 25% (cioè il 17,5% del totale del fondo) deve essere investito in titoli non presenti nell'indice principale (FTSE MIB nel caso di titoli quotati in Italia). La principale novità del nuovo regolamento è un investimento minimo obbligatorio del 5% del 70% (o del 3,5% del fondo totale) in small cap non quotate né nel FTSE</w:t>
      </w:r>
      <w:r>
        <w:t xml:space="preserve"> </w:t>
      </w:r>
      <w:r w:rsidRPr="00567214">
        <w:t>MIB né nel FTSE MID. Questa misura dovrebbe convogliare i flussi verso un universo di piccole imprese che si prevede possa</w:t>
      </w:r>
      <w:r>
        <w:t>no</w:t>
      </w:r>
      <w:r w:rsidRPr="00567214">
        <w:t xml:space="preserve"> trarre particolare beneficio dal rinnovato interesse degli investitori. La nuova normativa consente inoltre ai fondi pensione italiani di investire fino al 10% del loro patrimonio in fondi PIR. Il beneficio fiscale (invariato) riguarda ancora l'eliminazione dell'imposta sulle plusvalenze </w:t>
      </w:r>
      <w:r>
        <w:t>a condizione</w:t>
      </w:r>
      <w:r w:rsidRPr="00567214">
        <w:t xml:space="preserve"> che l'investimento </w:t>
      </w:r>
      <w:r>
        <w:t>sia</w:t>
      </w:r>
      <w:r w:rsidRPr="00567214">
        <w:t xml:space="preserve"> stato mantenuto nel fondo per almeno 5 anni.</w:t>
      </w:r>
    </w:p>
    <w:p w14:paraId="38EA6642" w14:textId="77777777" w:rsidR="00A00803" w:rsidRDefault="00A00803" w:rsidP="00A00803">
      <w:pPr>
        <w:pStyle w:val="Nessunaspaziatura"/>
        <w:jc w:val="both"/>
      </w:pPr>
      <w:r>
        <w:t>Il</w:t>
      </w:r>
      <w:r w:rsidRPr="00567214">
        <w:t xml:space="preserve"> PIR alternativo</w:t>
      </w:r>
      <w:r>
        <w:t>, d’altro canto,</w:t>
      </w:r>
      <w:r w:rsidRPr="00567214">
        <w:t xml:space="preserve"> è un </w:t>
      </w:r>
      <w:r>
        <w:t xml:space="preserve">wrapper </w:t>
      </w:r>
      <w:r w:rsidRPr="00567214">
        <w:t xml:space="preserve">con benefici fiscali simili a quelli del PIR (esenzione fiscale delle plusvalenze per gli investimenti detenuti per almeno 5 anni) e a sua volta è in grado di investire in ELTIF, fondi di private equity o fondi di private debt. A causa degli investimenti in attività illiquide (più vicine all'economia reale ma più rischiose), gli investitori </w:t>
      </w:r>
      <w:r>
        <w:t>affluent</w:t>
      </w:r>
      <w:r w:rsidRPr="00567214">
        <w:t xml:space="preserve"> sono i clienti target. L'importo massimo investibile all'anno è di 300.000 euro per persona (contro i 30.000 euro dei PIR) fino a un massimo cumulativo di 1,5 milioni di euro per persona. Inoltre, il limite di concentrazione (cioè il massimo investimento cumulativo in un singolo titolo) è stato fissato al 20% (il 10% è il limite per i normali fondi PIR).</w:t>
      </w:r>
    </w:p>
    <w:p w14:paraId="2A535CE9" w14:textId="77777777" w:rsidR="00A00803" w:rsidRPr="00567214" w:rsidRDefault="00A00803" w:rsidP="00A00803">
      <w:pPr>
        <w:pStyle w:val="Nessunaspaziatura"/>
        <w:jc w:val="both"/>
      </w:pPr>
      <w:r w:rsidRPr="00567214">
        <w:t xml:space="preserve">Questi strumenti alternativi sarebbero infatti adatti a superare la volatilità del mercato, dato il loro impegno a lungo termine, e sono complementari ai fondi PIR in senso più ampio (sono pensati per investitori semi-professionali piuttosto che retail). Riteniamo che l'introduzione dei PIR alternativi potrebbe anche rappresentare una soluzione intelligente all'attuale impasse a livello europeo sugli ELTIF, in quanto i nuovi PIR alternativi hanno il diritto di acquistare fondi ELTIF, beneficiando così indirettamente </w:t>
      </w:r>
      <w:r>
        <w:t>questi ultimi</w:t>
      </w:r>
      <w:r w:rsidRPr="00567214">
        <w:t>.</w:t>
      </w:r>
    </w:p>
    <w:p w14:paraId="4B8471D9" w14:textId="16CFBD30" w:rsidR="00A00803" w:rsidRDefault="00A00803" w:rsidP="003F221A">
      <w:pPr>
        <w:pStyle w:val="Nessunaspaziatura"/>
        <w:jc w:val="both"/>
      </w:pPr>
    </w:p>
    <w:p w14:paraId="63C85062" w14:textId="04F76D71" w:rsidR="002274FC" w:rsidRPr="00A00803" w:rsidRDefault="002274FC" w:rsidP="002274FC">
      <w:pPr>
        <w:pStyle w:val="Nessunaspaziatura"/>
        <w:jc w:val="both"/>
        <w:rPr>
          <w:b/>
          <w:bCs/>
          <w:color w:val="AEAAAA" w:themeColor="background2" w:themeShade="BF"/>
        </w:rPr>
      </w:pPr>
      <w:r w:rsidRPr="00A00803">
        <w:rPr>
          <w:b/>
          <w:bCs/>
          <w:color w:val="AEAAAA" w:themeColor="background2" w:themeShade="BF"/>
        </w:rPr>
        <w:t>Le nostre stime per i PIR ordinari</w:t>
      </w:r>
    </w:p>
    <w:p w14:paraId="7C6D4949" w14:textId="000DD551" w:rsidR="007C2763" w:rsidRDefault="00521F5A" w:rsidP="00C103E7">
      <w:pPr>
        <w:pStyle w:val="Nessunaspaziatura"/>
        <w:jc w:val="both"/>
      </w:pPr>
      <w:r w:rsidRPr="007C2763">
        <w:t xml:space="preserve">La recente volatilità e l'incertezza del mercato dovrebbero continuare, almeno nel breve periodo, e probabilmente limiteranno gli afflussi nei prossimi mesi. </w:t>
      </w:r>
      <w:r w:rsidR="007C2763" w:rsidRPr="007C2763">
        <w:t xml:space="preserve">Alla luce dell'attuale scenario e dei dati PIR del 3° trimestre </w:t>
      </w:r>
      <w:r w:rsidR="007066F1">
        <w:t>‘</w:t>
      </w:r>
      <w:r w:rsidR="007C2763" w:rsidRPr="007C2763">
        <w:t xml:space="preserve">22, abbiamo rivisto </w:t>
      </w:r>
      <w:r w:rsidR="007C2763">
        <w:t xml:space="preserve">al ribasso </w:t>
      </w:r>
      <w:r w:rsidR="007C2763" w:rsidRPr="007C2763">
        <w:t xml:space="preserve">le nostre ipotesi di afflusso al 2022 a </w:t>
      </w:r>
      <w:r w:rsidR="007066F1">
        <w:t>-</w:t>
      </w:r>
      <w:r w:rsidR="007C2763" w:rsidRPr="007C2763">
        <w:t xml:space="preserve">358 milioni di euro, rispetto a </w:t>
      </w:r>
      <w:r w:rsidR="007066F1">
        <w:t>-</w:t>
      </w:r>
      <w:r w:rsidR="007C2763" w:rsidRPr="007C2763">
        <w:t>159 milioni di euro</w:t>
      </w:r>
      <w:r w:rsidR="007C2763">
        <w:t xml:space="preserve"> </w:t>
      </w:r>
      <w:r w:rsidR="007C2763" w:rsidRPr="007C2763">
        <w:t>e notiamo che la visibilità rimane bassa, a causa sia del contesto generale di mercato sia della specifica transizione politica italiana post-elettorale</w:t>
      </w:r>
    </w:p>
    <w:p w14:paraId="775D9843" w14:textId="13CE95CE" w:rsidR="00C103E7" w:rsidRPr="007C2763" w:rsidRDefault="00C103E7" w:rsidP="00C103E7">
      <w:pPr>
        <w:pStyle w:val="Nessunaspaziatura"/>
        <w:jc w:val="both"/>
      </w:pPr>
      <w:r w:rsidRPr="007C2763">
        <w:lastRenderedPageBreak/>
        <w:t>Nel lungo termine, le nostre ipotesi si basano sull'aspettativa che l'interesse per questo prodotto rimanga piuttosto alto grazie al beneficio fiscale e, dal punto di vista del distributore, al fatto di poter contare su un impegno a lungo termine da parte dell'investitore.</w:t>
      </w:r>
    </w:p>
    <w:p w14:paraId="368D8563" w14:textId="5CA7270B" w:rsidR="007920F2" w:rsidRPr="00AE26CB" w:rsidRDefault="007920F2" w:rsidP="007920F2">
      <w:pPr>
        <w:pStyle w:val="Nessunaspaziatura"/>
        <w:jc w:val="both"/>
        <w:rPr>
          <w:highlight w:val="yellow"/>
        </w:rPr>
      </w:pPr>
    </w:p>
    <w:p w14:paraId="06490DA5" w14:textId="77777777" w:rsidR="00CF7A3A" w:rsidRPr="00767F3F" w:rsidRDefault="00CF7A3A" w:rsidP="00CF7A3A">
      <w:pPr>
        <w:pStyle w:val="Nessunaspaziatura"/>
        <w:jc w:val="both"/>
      </w:pPr>
      <w:r w:rsidRPr="00767F3F">
        <w:t>Le principali ipotesi alla base delle nostre attuali stime sono le seguenti:</w:t>
      </w:r>
    </w:p>
    <w:p w14:paraId="2005DFD0" w14:textId="4CEBA369" w:rsidR="001B5BCE" w:rsidRPr="006930C0" w:rsidRDefault="007920F2" w:rsidP="007920F2">
      <w:pPr>
        <w:pStyle w:val="Nessunaspaziatura"/>
        <w:numPr>
          <w:ilvl w:val="0"/>
          <w:numId w:val="16"/>
        </w:numPr>
        <w:jc w:val="both"/>
      </w:pPr>
      <w:r w:rsidRPr="006930C0">
        <w:t xml:space="preserve">Per il 2022, ipotizziamo una raccolta lorda </w:t>
      </w:r>
      <w:r w:rsidR="001B5BCE" w:rsidRPr="006930C0">
        <w:t xml:space="preserve">da parte dei nuovi sottoscrittori di PIR pari a </w:t>
      </w:r>
      <w:r w:rsidR="006A3686" w:rsidRPr="006930C0">
        <w:t>4</w:t>
      </w:r>
      <w:r w:rsidRPr="006930C0">
        <w:t>0 milioni di euro</w:t>
      </w:r>
      <w:r w:rsidR="006930C0">
        <w:t xml:space="preserve">; </w:t>
      </w:r>
      <w:r w:rsidRPr="006930C0">
        <w:t xml:space="preserve"> </w:t>
      </w:r>
    </w:p>
    <w:p w14:paraId="37449CFC" w14:textId="098BBB71" w:rsidR="007920F2" w:rsidRPr="00097692" w:rsidRDefault="001B5BCE" w:rsidP="001971C9">
      <w:pPr>
        <w:pStyle w:val="Nessunaspaziatura"/>
        <w:numPr>
          <w:ilvl w:val="0"/>
          <w:numId w:val="16"/>
        </w:numPr>
        <w:jc w:val="both"/>
      </w:pPr>
      <w:r w:rsidRPr="00097692">
        <w:t>Per quanti sottoscrivono Pir in modo continuativo</w:t>
      </w:r>
      <w:r w:rsidR="007920F2" w:rsidRPr="00097692">
        <w:t xml:space="preserve">, prevediamo che la raccolta complessiva nel secondo anno sarà pari a una parte della somma accantonata nel primo anno (dal 35% al 40% nel nostro modello); </w:t>
      </w:r>
      <w:r w:rsidR="001971C9" w:rsidRPr="00097692">
        <w:t>n</w:t>
      </w:r>
      <w:r w:rsidR="007920F2" w:rsidRPr="00097692">
        <w:t>ei restanti anni (cioè dal terzo al quinto anno)</w:t>
      </w:r>
      <w:r w:rsidR="00F42B63" w:rsidRPr="00097692">
        <w:t xml:space="preserve"> prevediamo una raccolta stabile</w:t>
      </w:r>
      <w:r w:rsidR="007920F2" w:rsidRPr="00097692">
        <w:t xml:space="preserve">, </w:t>
      </w:r>
      <w:r w:rsidR="00400358" w:rsidRPr="00097692">
        <w:t xml:space="preserve">pari in media al </w:t>
      </w:r>
      <w:r w:rsidR="00097692" w:rsidRPr="00097692">
        <w:t>5</w:t>
      </w:r>
      <w:r w:rsidR="00400358" w:rsidRPr="00097692">
        <w:t>0% degli investimenti effettuati nel secondo anno</w:t>
      </w:r>
      <w:r w:rsidR="007920F2" w:rsidRPr="00097692">
        <w:t xml:space="preserve">; </w:t>
      </w:r>
    </w:p>
    <w:p w14:paraId="1ACAC974" w14:textId="0473D2FA" w:rsidR="007920F2" w:rsidRPr="00E87468" w:rsidRDefault="007920F2" w:rsidP="00E57E9D">
      <w:pPr>
        <w:pStyle w:val="Nessunaspaziatura"/>
        <w:numPr>
          <w:ilvl w:val="0"/>
          <w:numId w:val="16"/>
        </w:numPr>
        <w:jc w:val="both"/>
      </w:pPr>
      <w:r w:rsidRPr="00E87468">
        <w:t>Infine, calcoliamo che l'ammontare del capitale che verrà ritirato dagli investitori che decideranno di uscire dal fondo prima del termine dei cinque anni (per qualsiasi motivo) sia pari al ~</w:t>
      </w:r>
      <w:r w:rsidR="00E87468" w:rsidRPr="00E87468">
        <w:t>5,3</w:t>
      </w:r>
      <w:r w:rsidRPr="00E87468">
        <w:t>% degli Assets under Management nel 2022 e oltre.</w:t>
      </w:r>
    </w:p>
    <w:p w14:paraId="46C5D8FD" w14:textId="77777777" w:rsidR="007920F2" w:rsidRPr="00E57E9D" w:rsidRDefault="007920F2" w:rsidP="00E57E9D">
      <w:pPr>
        <w:pStyle w:val="Nessunaspaziatura"/>
        <w:jc w:val="both"/>
      </w:pPr>
    </w:p>
    <w:p w14:paraId="75591D5D" w14:textId="77777777" w:rsidR="00DE2E14" w:rsidRDefault="00DE2E14" w:rsidP="00DE2E14">
      <w:pPr>
        <w:pStyle w:val="Nessunaspaziatura"/>
        <w:jc w:val="both"/>
      </w:pPr>
    </w:p>
    <w:p w14:paraId="76D7FD3F" w14:textId="77777777" w:rsidR="00E5199B" w:rsidRPr="002D3FC3" w:rsidRDefault="00E5199B" w:rsidP="00E5199B">
      <w:pPr>
        <w:spacing w:after="0" w:line="240" w:lineRule="auto"/>
        <w:ind w:right="-1"/>
        <w:jc w:val="both"/>
        <w:rPr>
          <w:rFonts w:cstheme="minorHAnsi"/>
          <w:b/>
          <w:bCs/>
          <w:i/>
          <w:iCs/>
          <w:spacing w:val="-2"/>
          <w:sz w:val="20"/>
          <w:szCs w:val="20"/>
          <w:u w:val="single"/>
        </w:rPr>
      </w:pPr>
      <w:r w:rsidRPr="002D3FC3">
        <w:rPr>
          <w:rFonts w:cstheme="minorHAnsi"/>
          <w:b/>
          <w:bCs/>
          <w:i/>
          <w:iCs/>
          <w:spacing w:val="-2"/>
          <w:sz w:val="20"/>
          <w:szCs w:val="20"/>
          <w:u w:val="single"/>
        </w:rPr>
        <w:t xml:space="preserve">INTERMONTE </w:t>
      </w:r>
    </w:p>
    <w:p w14:paraId="571B6062" w14:textId="1C108F9C" w:rsidR="00E5199B" w:rsidRPr="002825A4" w:rsidRDefault="00E5199B" w:rsidP="00E5199B">
      <w:pPr>
        <w:spacing w:before="120"/>
        <w:jc w:val="both"/>
        <w:rPr>
          <w:rFonts w:eastAsia="Calibri" w:cstheme="minorHAnsi"/>
          <w:color w:val="000000"/>
          <w:sz w:val="18"/>
        </w:rPr>
      </w:pPr>
      <w:r w:rsidRPr="002825A4">
        <w:rPr>
          <w:rFonts w:cstheme="minorHAnsi"/>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w:t>
      </w:r>
      <w:r w:rsidRPr="00291635">
        <w:rPr>
          <w:rFonts w:cstheme="minorHAnsi"/>
          <w:color w:val="000000"/>
          <w:sz w:val="18"/>
          <w:szCs w:val="18"/>
        </w:rPr>
        <w:t>Growth</w:t>
      </w:r>
      <w:r w:rsidRPr="002825A4">
        <w:rPr>
          <w:rFonts w:cstheme="minorHAnsi"/>
          <w:color w:val="000000"/>
          <w:sz w:val="18"/>
          <w:szCs w:val="18"/>
        </w:rPr>
        <w:t xml:space="preserve"> Milan di Borsa Italiana, presenta un modello di business diversificato su quattro linee di attività, “Investment Banking”, “Sales &amp; Trading”, Global Markets” e “Digital </w:t>
      </w:r>
      <w:r w:rsidRPr="00291635">
        <w:rPr>
          <w:rFonts w:cstheme="minorHAnsi"/>
          <w:color w:val="000000"/>
          <w:sz w:val="18"/>
          <w:szCs w:val="18"/>
        </w:rPr>
        <w:t>Division</w:t>
      </w:r>
      <w:r w:rsidRPr="002825A4">
        <w:rPr>
          <w:rFonts w:cstheme="minorHAnsi"/>
          <w:color w:val="000000"/>
          <w:sz w:val="18"/>
          <w:szCs w:val="18"/>
        </w:rPr>
        <w:t xml:space="preserve"> &amp; Advisory”. </w:t>
      </w:r>
      <w:r w:rsidRPr="002825A4">
        <w:rPr>
          <w:rFonts w:cstheme="minorHAnsi"/>
          <w:color w:val="000000"/>
          <w:sz w:val="18"/>
          <w:szCs w:val="18"/>
          <w:u w:val="single"/>
        </w:rPr>
        <w:t>L’Investment</w:t>
      </w:r>
      <w:r w:rsidRPr="002825A4">
        <w:rPr>
          <w:rFonts w:cstheme="minorHAnsi"/>
          <w:color w:val="000000"/>
          <w:sz w:val="18"/>
          <w:u w:val="single"/>
        </w:rPr>
        <w:t xml:space="preserve"> Banking</w:t>
      </w:r>
      <w:r w:rsidRPr="002825A4">
        <w:rPr>
          <w:rFonts w:cstheme="minorHAnsi"/>
          <w:color w:val="000000"/>
          <w:sz w:val="18"/>
          <w:szCs w:val="18"/>
        </w:rPr>
        <w:t xml:space="preserve"> offre servizi rivolti a imprese quotate e non quotate in operazioni straordinarie, incluse operazioni di Equity Capital Markets, M&amp;A e Debt Capital Markets. Le divisioni </w:t>
      </w:r>
      <w:r w:rsidRPr="002825A4">
        <w:rPr>
          <w:rFonts w:cstheme="minorHAnsi"/>
          <w:color w:val="000000"/>
          <w:sz w:val="18"/>
          <w:u w:val="single"/>
        </w:rPr>
        <w:t>Sales &amp; Trading e Global Markets</w:t>
      </w:r>
      <w:r w:rsidRPr="002825A4">
        <w:rPr>
          <w:rFonts w:cstheme="minorHAnsi"/>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2825A4">
        <w:rPr>
          <w:rFonts w:cstheme="minorHAnsi"/>
          <w:color w:val="000000"/>
          <w:sz w:val="18"/>
          <w:szCs w:val="18"/>
          <w:u w:val="single"/>
        </w:rPr>
        <w:t xml:space="preserve">La divisione “Digital </w:t>
      </w:r>
      <w:r w:rsidRPr="00291635">
        <w:rPr>
          <w:rFonts w:cstheme="minorHAnsi"/>
          <w:color w:val="000000"/>
          <w:sz w:val="18"/>
          <w:szCs w:val="18"/>
          <w:u w:val="single"/>
        </w:rPr>
        <w:t>Division</w:t>
      </w:r>
      <w:r w:rsidRPr="002825A4">
        <w:rPr>
          <w:rFonts w:cstheme="minorHAnsi"/>
          <w:color w:val="000000"/>
          <w:sz w:val="18"/>
          <w:szCs w:val="18"/>
          <w:u w:val="single"/>
        </w:rPr>
        <w:t xml:space="preserve"> &amp; Advisory”</w:t>
      </w:r>
      <w:r w:rsidRPr="002825A4">
        <w:rPr>
          <w:rFonts w:cstheme="minorHAnsi"/>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2825A4">
        <w:rPr>
          <w:rFonts w:eastAsia="Calibri" w:cstheme="minorHAnsi"/>
          <w:color w:val="000000"/>
          <w:sz w:val="18"/>
          <w:szCs w:val="18"/>
        </w:rPr>
        <w:t>.</w:t>
      </w:r>
    </w:p>
    <w:p w14:paraId="504D6B3D"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Contatti per la stampa: </w:t>
      </w:r>
    </w:p>
    <w:p w14:paraId="4517E29E"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BC Communication</w:t>
      </w:r>
    </w:p>
    <w:p w14:paraId="405DB0F9"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Beatrice Cagnoni </w:t>
      </w:r>
      <w:r w:rsidRPr="002D3FC3">
        <w:rPr>
          <w:rFonts w:cstheme="minorHAnsi"/>
          <w:bCs/>
          <w:i/>
          <w:sz w:val="20"/>
          <w:szCs w:val="20"/>
        </w:rPr>
        <w:t xml:space="preserve">– </w:t>
      </w:r>
      <w:hyperlink r:id="rId8" w:history="1">
        <w:r w:rsidRPr="002D3FC3">
          <w:rPr>
            <w:rStyle w:val="Collegamentoipertestuale"/>
            <w:rFonts w:cstheme="minorHAnsi"/>
            <w:i/>
            <w:sz w:val="20"/>
            <w:szCs w:val="20"/>
          </w:rPr>
          <w:t>beatrice.cagnoni@bc-communication.it</w:t>
        </w:r>
      </w:hyperlink>
      <w:r w:rsidRPr="002D3FC3">
        <w:rPr>
          <w:rStyle w:val="Collegamentoipertestuale"/>
          <w:rFonts w:cstheme="minorHAnsi"/>
          <w:i/>
          <w:sz w:val="20"/>
          <w:szCs w:val="20"/>
        </w:rPr>
        <w:t xml:space="preserve"> </w:t>
      </w:r>
      <w:r w:rsidRPr="002D3FC3">
        <w:rPr>
          <w:rFonts w:cstheme="minorHAnsi"/>
          <w:bCs/>
          <w:i/>
          <w:sz w:val="20"/>
          <w:szCs w:val="20"/>
        </w:rPr>
        <w:t xml:space="preserve">– </w:t>
      </w:r>
      <w:r w:rsidRPr="002D3FC3">
        <w:rPr>
          <w:rFonts w:cstheme="minorHAnsi"/>
          <w:b/>
          <w:i/>
          <w:sz w:val="20"/>
          <w:szCs w:val="20"/>
        </w:rPr>
        <w:t>+39 335 5635111</w:t>
      </w:r>
    </w:p>
    <w:p w14:paraId="565767DE" w14:textId="09B0AB0C" w:rsidR="001D1322" w:rsidRDefault="00E5199B" w:rsidP="00E5199B">
      <w:pPr>
        <w:pStyle w:val="Paragrafoelenco"/>
        <w:ind w:left="0"/>
        <w:jc w:val="both"/>
        <w:rPr>
          <w:rFonts w:cstheme="minorHAnsi"/>
          <w:b/>
          <w:i/>
          <w:sz w:val="20"/>
          <w:szCs w:val="20"/>
        </w:rPr>
      </w:pPr>
      <w:r>
        <w:rPr>
          <w:rFonts w:cstheme="minorHAnsi"/>
          <w:b/>
          <w:i/>
          <w:sz w:val="20"/>
          <w:szCs w:val="20"/>
        </w:rPr>
        <w:t xml:space="preserve">Giulia Franzoni </w:t>
      </w:r>
      <w:r w:rsidRPr="002D3FC3">
        <w:rPr>
          <w:rFonts w:cstheme="minorHAnsi"/>
          <w:bCs/>
          <w:i/>
          <w:sz w:val="20"/>
          <w:szCs w:val="20"/>
        </w:rPr>
        <w:t>–</w:t>
      </w:r>
      <w:r w:rsidRPr="00E56338">
        <w:rPr>
          <w:rStyle w:val="Collegamentoipertestuale"/>
          <w:rFonts w:cstheme="minorHAnsi"/>
          <w:i/>
          <w:sz w:val="20"/>
          <w:szCs w:val="20"/>
        </w:rPr>
        <w:t xml:space="preserve"> </w:t>
      </w:r>
      <w:r>
        <w:rPr>
          <w:rStyle w:val="Collegamentoipertestuale"/>
          <w:rFonts w:cstheme="minorHAnsi"/>
          <w:i/>
          <w:sz w:val="20"/>
          <w:szCs w:val="20"/>
        </w:rPr>
        <w:t>giulia</w:t>
      </w:r>
      <w:r w:rsidRPr="00E56338">
        <w:rPr>
          <w:rStyle w:val="Collegamentoipertestuale"/>
          <w:rFonts w:cstheme="minorHAnsi"/>
          <w:i/>
          <w:sz w:val="20"/>
          <w:szCs w:val="20"/>
        </w:rPr>
        <w:t>.</w:t>
      </w:r>
      <w:r>
        <w:rPr>
          <w:rStyle w:val="Collegamentoipertestuale"/>
          <w:rFonts w:cstheme="minorHAnsi"/>
          <w:i/>
          <w:sz w:val="20"/>
          <w:szCs w:val="20"/>
        </w:rPr>
        <w:t>franzoni</w:t>
      </w:r>
      <w:r w:rsidRPr="00E56338">
        <w:rPr>
          <w:rStyle w:val="Collegamentoipertestuale"/>
          <w:rFonts w:cstheme="minorHAnsi"/>
          <w:i/>
          <w:sz w:val="20"/>
          <w:szCs w:val="20"/>
        </w:rPr>
        <w:t>@bc-communication.it</w:t>
      </w:r>
      <w:r w:rsidRPr="00E56338">
        <w:rPr>
          <w:rFonts w:cstheme="minorHAnsi"/>
          <w:b/>
          <w:i/>
          <w:sz w:val="20"/>
          <w:szCs w:val="20"/>
        </w:rPr>
        <w:t xml:space="preserve"> </w:t>
      </w:r>
      <w:r w:rsidRPr="002D3FC3">
        <w:rPr>
          <w:rFonts w:cstheme="minorHAnsi"/>
          <w:bCs/>
          <w:i/>
          <w:sz w:val="20"/>
          <w:szCs w:val="20"/>
        </w:rPr>
        <w:t>–</w:t>
      </w:r>
      <w:r w:rsidRPr="00E56338">
        <w:rPr>
          <w:rFonts w:cstheme="minorHAnsi"/>
          <w:b/>
          <w:i/>
          <w:sz w:val="20"/>
          <w:szCs w:val="20"/>
        </w:rPr>
        <w:t xml:space="preserve"> +39 </w:t>
      </w:r>
      <w:r>
        <w:rPr>
          <w:rFonts w:cstheme="minorHAnsi"/>
          <w:b/>
          <w:i/>
          <w:sz w:val="20"/>
          <w:szCs w:val="20"/>
        </w:rPr>
        <w:t>334 3337756</w:t>
      </w:r>
    </w:p>
    <w:p w14:paraId="599E9A43" w14:textId="069AA1BA" w:rsidR="007920F2" w:rsidRDefault="007920F2" w:rsidP="00E5199B">
      <w:pPr>
        <w:pStyle w:val="Paragrafoelenco"/>
        <w:ind w:left="0"/>
        <w:jc w:val="both"/>
        <w:rPr>
          <w:rFonts w:cstheme="minorHAnsi"/>
          <w:b/>
          <w:i/>
          <w:sz w:val="20"/>
          <w:szCs w:val="20"/>
        </w:rPr>
      </w:pPr>
    </w:p>
    <w:p w14:paraId="6A551DD1" w14:textId="7C7E7655" w:rsidR="007920F2" w:rsidRPr="00E5199B" w:rsidRDefault="007920F2" w:rsidP="007920F2">
      <w:pPr>
        <w:pStyle w:val="Paragrafoelenco"/>
        <w:ind w:left="0"/>
        <w:jc w:val="both"/>
        <w:rPr>
          <w:rFonts w:cstheme="minorHAnsi"/>
          <w:b/>
          <w:i/>
          <w:sz w:val="20"/>
          <w:szCs w:val="20"/>
        </w:rPr>
      </w:pPr>
    </w:p>
    <w:sectPr w:rsidR="007920F2" w:rsidRPr="00E5199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2DF6" w14:textId="77777777" w:rsidR="003D5F3B" w:rsidRDefault="003D5F3B">
      <w:pPr>
        <w:spacing w:after="0" w:line="240" w:lineRule="auto"/>
      </w:pPr>
      <w:r>
        <w:separator/>
      </w:r>
    </w:p>
  </w:endnote>
  <w:endnote w:type="continuationSeparator" w:id="0">
    <w:p w14:paraId="0790697D" w14:textId="77777777" w:rsidR="003D5F3B" w:rsidRDefault="003D5F3B">
      <w:pPr>
        <w:spacing w:after="0" w:line="240" w:lineRule="auto"/>
      </w:pPr>
      <w:r>
        <w:continuationSeparator/>
      </w:r>
    </w:p>
  </w:endnote>
  <w:endnote w:type="continuationNotice" w:id="1">
    <w:p w14:paraId="05AFB350" w14:textId="77777777" w:rsidR="003D5F3B" w:rsidRDefault="003D5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7271"/>
      <w:docPartObj>
        <w:docPartGallery w:val="Page Numbers (Bottom of Page)"/>
        <w:docPartUnique/>
      </w:docPartObj>
    </w:sdtPr>
    <w:sdtContent>
      <w:p w14:paraId="1F0B891D" w14:textId="77777777" w:rsidR="005D788C"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5D788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B992" w14:textId="77777777" w:rsidR="003D5F3B" w:rsidRDefault="003D5F3B">
      <w:pPr>
        <w:spacing w:after="0" w:line="240" w:lineRule="auto"/>
      </w:pPr>
      <w:r>
        <w:separator/>
      </w:r>
    </w:p>
  </w:footnote>
  <w:footnote w:type="continuationSeparator" w:id="0">
    <w:p w14:paraId="05B7EC65" w14:textId="77777777" w:rsidR="003D5F3B" w:rsidRDefault="003D5F3B">
      <w:pPr>
        <w:spacing w:after="0" w:line="240" w:lineRule="auto"/>
      </w:pPr>
      <w:r>
        <w:continuationSeparator/>
      </w:r>
    </w:p>
  </w:footnote>
  <w:footnote w:type="continuationNotice" w:id="1">
    <w:p w14:paraId="6FAF77C4" w14:textId="77777777" w:rsidR="003D5F3B" w:rsidRDefault="003D5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D3C"/>
    <w:multiLevelType w:val="hybridMultilevel"/>
    <w:tmpl w:val="AE5C6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8"/>
  </w:num>
  <w:num w:numId="2" w16cid:durableId="1137602706">
    <w:abstractNumId w:val="1"/>
  </w:num>
  <w:num w:numId="3" w16cid:durableId="1481918223">
    <w:abstractNumId w:val="13"/>
  </w:num>
  <w:num w:numId="4" w16cid:durableId="136192562">
    <w:abstractNumId w:val="12"/>
  </w:num>
  <w:num w:numId="5" w16cid:durableId="770200441">
    <w:abstractNumId w:val="15"/>
  </w:num>
  <w:num w:numId="6" w16cid:durableId="1030649971">
    <w:abstractNumId w:val="2"/>
  </w:num>
  <w:num w:numId="7" w16cid:durableId="429745017">
    <w:abstractNumId w:val="11"/>
  </w:num>
  <w:num w:numId="8" w16cid:durableId="827480080">
    <w:abstractNumId w:val="6"/>
  </w:num>
  <w:num w:numId="9" w16cid:durableId="244609539">
    <w:abstractNumId w:val="7"/>
  </w:num>
  <w:num w:numId="10" w16cid:durableId="786853252">
    <w:abstractNumId w:val="9"/>
  </w:num>
  <w:num w:numId="11" w16cid:durableId="2062945117">
    <w:abstractNumId w:val="3"/>
  </w:num>
  <w:num w:numId="12" w16cid:durableId="1823810398">
    <w:abstractNumId w:val="5"/>
  </w:num>
  <w:num w:numId="13" w16cid:durableId="1699693606">
    <w:abstractNumId w:val="4"/>
  </w:num>
  <w:num w:numId="14" w16cid:durableId="270865012">
    <w:abstractNumId w:val="0"/>
  </w:num>
  <w:num w:numId="15" w16cid:durableId="409739443">
    <w:abstractNumId w:val="14"/>
  </w:num>
  <w:num w:numId="16" w16cid:durableId="1364476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CAA"/>
    <w:rsid w:val="0000512D"/>
    <w:rsid w:val="00022319"/>
    <w:rsid w:val="00030E15"/>
    <w:rsid w:val="00031E04"/>
    <w:rsid w:val="00032DBD"/>
    <w:rsid w:val="00033626"/>
    <w:rsid w:val="00034C25"/>
    <w:rsid w:val="00037AD8"/>
    <w:rsid w:val="00050C72"/>
    <w:rsid w:val="00071620"/>
    <w:rsid w:val="00083EA3"/>
    <w:rsid w:val="00097692"/>
    <w:rsid w:val="000A3582"/>
    <w:rsid w:val="000A437C"/>
    <w:rsid w:val="000A5600"/>
    <w:rsid w:val="000B323E"/>
    <w:rsid w:val="000B3978"/>
    <w:rsid w:val="000B5449"/>
    <w:rsid w:val="000B704C"/>
    <w:rsid w:val="000C263E"/>
    <w:rsid w:val="000D7E8E"/>
    <w:rsid w:val="000E3ED8"/>
    <w:rsid w:val="00104A78"/>
    <w:rsid w:val="001127D7"/>
    <w:rsid w:val="00114690"/>
    <w:rsid w:val="00121393"/>
    <w:rsid w:val="00136592"/>
    <w:rsid w:val="001441DF"/>
    <w:rsid w:val="0015283B"/>
    <w:rsid w:val="0015402B"/>
    <w:rsid w:val="00157C55"/>
    <w:rsid w:val="0016319B"/>
    <w:rsid w:val="0017227D"/>
    <w:rsid w:val="00193B92"/>
    <w:rsid w:val="001971C9"/>
    <w:rsid w:val="001A5662"/>
    <w:rsid w:val="001B21D1"/>
    <w:rsid w:val="001B3060"/>
    <w:rsid w:val="001B3CF9"/>
    <w:rsid w:val="001B5BCE"/>
    <w:rsid w:val="001D1322"/>
    <w:rsid w:val="001D30F7"/>
    <w:rsid w:val="001E080D"/>
    <w:rsid w:val="001E69FC"/>
    <w:rsid w:val="001E6A34"/>
    <w:rsid w:val="00200D08"/>
    <w:rsid w:val="0020242D"/>
    <w:rsid w:val="00202A6B"/>
    <w:rsid w:val="00226508"/>
    <w:rsid w:val="00226AE0"/>
    <w:rsid w:val="002274FC"/>
    <w:rsid w:val="00246961"/>
    <w:rsid w:val="00246D62"/>
    <w:rsid w:val="002479F3"/>
    <w:rsid w:val="00247A8D"/>
    <w:rsid w:val="0025326C"/>
    <w:rsid w:val="00256153"/>
    <w:rsid w:val="00256634"/>
    <w:rsid w:val="00265ABC"/>
    <w:rsid w:val="00276CC7"/>
    <w:rsid w:val="002848ED"/>
    <w:rsid w:val="00285790"/>
    <w:rsid w:val="0028670E"/>
    <w:rsid w:val="00291066"/>
    <w:rsid w:val="00292AF1"/>
    <w:rsid w:val="002D2DAB"/>
    <w:rsid w:val="002D4AE9"/>
    <w:rsid w:val="002E343F"/>
    <w:rsid w:val="002E39CD"/>
    <w:rsid w:val="002F66E6"/>
    <w:rsid w:val="00302B7C"/>
    <w:rsid w:val="00305FA0"/>
    <w:rsid w:val="0032421A"/>
    <w:rsid w:val="00325407"/>
    <w:rsid w:val="00333FE9"/>
    <w:rsid w:val="00351369"/>
    <w:rsid w:val="003613B8"/>
    <w:rsid w:val="00372558"/>
    <w:rsid w:val="00372D50"/>
    <w:rsid w:val="00376A13"/>
    <w:rsid w:val="0038118C"/>
    <w:rsid w:val="00384B97"/>
    <w:rsid w:val="00391203"/>
    <w:rsid w:val="003950F2"/>
    <w:rsid w:val="003A121B"/>
    <w:rsid w:val="003A2EF7"/>
    <w:rsid w:val="003B2BFF"/>
    <w:rsid w:val="003B2DC5"/>
    <w:rsid w:val="003B438B"/>
    <w:rsid w:val="003B5272"/>
    <w:rsid w:val="003B7D2C"/>
    <w:rsid w:val="003C05AF"/>
    <w:rsid w:val="003C0CC7"/>
    <w:rsid w:val="003C3535"/>
    <w:rsid w:val="003C5DDF"/>
    <w:rsid w:val="003C77F5"/>
    <w:rsid w:val="003D5F3B"/>
    <w:rsid w:val="003E0508"/>
    <w:rsid w:val="003E7136"/>
    <w:rsid w:val="003F0E09"/>
    <w:rsid w:val="003F221A"/>
    <w:rsid w:val="003F320D"/>
    <w:rsid w:val="003F70BB"/>
    <w:rsid w:val="00400358"/>
    <w:rsid w:val="00405C3B"/>
    <w:rsid w:val="004064BB"/>
    <w:rsid w:val="004116A5"/>
    <w:rsid w:val="0041517C"/>
    <w:rsid w:val="00424AB6"/>
    <w:rsid w:val="00427C8D"/>
    <w:rsid w:val="00442B98"/>
    <w:rsid w:val="00445E8D"/>
    <w:rsid w:val="00451957"/>
    <w:rsid w:val="00452BC0"/>
    <w:rsid w:val="004718E7"/>
    <w:rsid w:val="00472116"/>
    <w:rsid w:val="004823CA"/>
    <w:rsid w:val="00496192"/>
    <w:rsid w:val="004A223B"/>
    <w:rsid w:val="004A7D75"/>
    <w:rsid w:val="004B0D35"/>
    <w:rsid w:val="004B7ABD"/>
    <w:rsid w:val="004D0DEE"/>
    <w:rsid w:val="004E28D1"/>
    <w:rsid w:val="004F06D2"/>
    <w:rsid w:val="0050292B"/>
    <w:rsid w:val="00506615"/>
    <w:rsid w:val="005076EF"/>
    <w:rsid w:val="005131D7"/>
    <w:rsid w:val="00521AC7"/>
    <w:rsid w:val="00521F5A"/>
    <w:rsid w:val="00521FF1"/>
    <w:rsid w:val="005256F8"/>
    <w:rsid w:val="00526D1C"/>
    <w:rsid w:val="00527496"/>
    <w:rsid w:val="0054078F"/>
    <w:rsid w:val="00544B9F"/>
    <w:rsid w:val="0054729A"/>
    <w:rsid w:val="005545D8"/>
    <w:rsid w:val="00562FD1"/>
    <w:rsid w:val="00563B35"/>
    <w:rsid w:val="00563F19"/>
    <w:rsid w:val="00564C5A"/>
    <w:rsid w:val="00567214"/>
    <w:rsid w:val="005846B2"/>
    <w:rsid w:val="00592DA6"/>
    <w:rsid w:val="005B3D47"/>
    <w:rsid w:val="005C0C04"/>
    <w:rsid w:val="005D16BC"/>
    <w:rsid w:val="005D391C"/>
    <w:rsid w:val="005D5877"/>
    <w:rsid w:val="005E65FF"/>
    <w:rsid w:val="005F103A"/>
    <w:rsid w:val="005F325D"/>
    <w:rsid w:val="005F6143"/>
    <w:rsid w:val="00602404"/>
    <w:rsid w:val="00610027"/>
    <w:rsid w:val="00617B88"/>
    <w:rsid w:val="00625DC8"/>
    <w:rsid w:val="006270BC"/>
    <w:rsid w:val="006311ED"/>
    <w:rsid w:val="0064044D"/>
    <w:rsid w:val="00640ECA"/>
    <w:rsid w:val="00642E02"/>
    <w:rsid w:val="00644EFB"/>
    <w:rsid w:val="00646554"/>
    <w:rsid w:val="00653BD9"/>
    <w:rsid w:val="006707A6"/>
    <w:rsid w:val="0067082E"/>
    <w:rsid w:val="006738BE"/>
    <w:rsid w:val="00676BB9"/>
    <w:rsid w:val="00683E5E"/>
    <w:rsid w:val="00687805"/>
    <w:rsid w:val="00691C1A"/>
    <w:rsid w:val="006930C0"/>
    <w:rsid w:val="006967DB"/>
    <w:rsid w:val="006A203C"/>
    <w:rsid w:val="006A3686"/>
    <w:rsid w:val="006A61AE"/>
    <w:rsid w:val="006B1E08"/>
    <w:rsid w:val="006B68E0"/>
    <w:rsid w:val="006C6B8E"/>
    <w:rsid w:val="006D11BB"/>
    <w:rsid w:val="006D4C12"/>
    <w:rsid w:val="006F098D"/>
    <w:rsid w:val="006F6870"/>
    <w:rsid w:val="006F6B94"/>
    <w:rsid w:val="00705FFF"/>
    <w:rsid w:val="007066F1"/>
    <w:rsid w:val="00710531"/>
    <w:rsid w:val="007133D1"/>
    <w:rsid w:val="00725BF3"/>
    <w:rsid w:val="00730796"/>
    <w:rsid w:val="00733824"/>
    <w:rsid w:val="00743843"/>
    <w:rsid w:val="007447EB"/>
    <w:rsid w:val="00745E06"/>
    <w:rsid w:val="00753838"/>
    <w:rsid w:val="007629EB"/>
    <w:rsid w:val="00767F3F"/>
    <w:rsid w:val="0078247B"/>
    <w:rsid w:val="007920F2"/>
    <w:rsid w:val="00796010"/>
    <w:rsid w:val="007A3490"/>
    <w:rsid w:val="007A4435"/>
    <w:rsid w:val="007A51A0"/>
    <w:rsid w:val="007B0C1C"/>
    <w:rsid w:val="007B1BE4"/>
    <w:rsid w:val="007B2F16"/>
    <w:rsid w:val="007C0A9E"/>
    <w:rsid w:val="007C15F4"/>
    <w:rsid w:val="007C2763"/>
    <w:rsid w:val="007C5084"/>
    <w:rsid w:val="007C5A5B"/>
    <w:rsid w:val="007C5F51"/>
    <w:rsid w:val="007D1534"/>
    <w:rsid w:val="007D2194"/>
    <w:rsid w:val="007E2264"/>
    <w:rsid w:val="007F30B7"/>
    <w:rsid w:val="00801011"/>
    <w:rsid w:val="00803EF8"/>
    <w:rsid w:val="008104DC"/>
    <w:rsid w:val="00815C2D"/>
    <w:rsid w:val="00822653"/>
    <w:rsid w:val="00823849"/>
    <w:rsid w:val="008362BC"/>
    <w:rsid w:val="00861580"/>
    <w:rsid w:val="00861E97"/>
    <w:rsid w:val="0086743B"/>
    <w:rsid w:val="00885807"/>
    <w:rsid w:val="00895852"/>
    <w:rsid w:val="00895909"/>
    <w:rsid w:val="008B6B74"/>
    <w:rsid w:val="008C089C"/>
    <w:rsid w:val="008C17F1"/>
    <w:rsid w:val="008C2979"/>
    <w:rsid w:val="008C51BE"/>
    <w:rsid w:val="00917BAD"/>
    <w:rsid w:val="00917DEF"/>
    <w:rsid w:val="0092038B"/>
    <w:rsid w:val="009279C6"/>
    <w:rsid w:val="009314BD"/>
    <w:rsid w:val="00931A8A"/>
    <w:rsid w:val="00934FD9"/>
    <w:rsid w:val="0095667A"/>
    <w:rsid w:val="00961E1B"/>
    <w:rsid w:val="00967D68"/>
    <w:rsid w:val="00967FEE"/>
    <w:rsid w:val="009715C1"/>
    <w:rsid w:val="00973DC7"/>
    <w:rsid w:val="0097614A"/>
    <w:rsid w:val="00982FB0"/>
    <w:rsid w:val="00983ECB"/>
    <w:rsid w:val="0098554B"/>
    <w:rsid w:val="009B4AE8"/>
    <w:rsid w:val="009C53FB"/>
    <w:rsid w:val="009C64C8"/>
    <w:rsid w:val="009D2EA1"/>
    <w:rsid w:val="009D31D7"/>
    <w:rsid w:val="00A00803"/>
    <w:rsid w:val="00A11E78"/>
    <w:rsid w:val="00A16FE1"/>
    <w:rsid w:val="00A17451"/>
    <w:rsid w:val="00A3771B"/>
    <w:rsid w:val="00A42C8E"/>
    <w:rsid w:val="00A6298D"/>
    <w:rsid w:val="00A63362"/>
    <w:rsid w:val="00A709DB"/>
    <w:rsid w:val="00A820EE"/>
    <w:rsid w:val="00A82846"/>
    <w:rsid w:val="00AB01CA"/>
    <w:rsid w:val="00AB0C17"/>
    <w:rsid w:val="00AB1CD2"/>
    <w:rsid w:val="00AB1F43"/>
    <w:rsid w:val="00AB789B"/>
    <w:rsid w:val="00AC469B"/>
    <w:rsid w:val="00AC54CE"/>
    <w:rsid w:val="00AD0D9B"/>
    <w:rsid w:val="00AD7EB2"/>
    <w:rsid w:val="00AE26CB"/>
    <w:rsid w:val="00AE3288"/>
    <w:rsid w:val="00AF0563"/>
    <w:rsid w:val="00AF34A2"/>
    <w:rsid w:val="00B017C0"/>
    <w:rsid w:val="00B0601F"/>
    <w:rsid w:val="00B06379"/>
    <w:rsid w:val="00B12D1C"/>
    <w:rsid w:val="00B12E49"/>
    <w:rsid w:val="00B25869"/>
    <w:rsid w:val="00B30EBD"/>
    <w:rsid w:val="00B332DE"/>
    <w:rsid w:val="00B36B8F"/>
    <w:rsid w:val="00B51A15"/>
    <w:rsid w:val="00B6023F"/>
    <w:rsid w:val="00B624DC"/>
    <w:rsid w:val="00B674FC"/>
    <w:rsid w:val="00B71045"/>
    <w:rsid w:val="00B72099"/>
    <w:rsid w:val="00B85C36"/>
    <w:rsid w:val="00B86A08"/>
    <w:rsid w:val="00B86BE6"/>
    <w:rsid w:val="00BA45F1"/>
    <w:rsid w:val="00BC5DF4"/>
    <w:rsid w:val="00BD2505"/>
    <w:rsid w:val="00BE3150"/>
    <w:rsid w:val="00BE4CB1"/>
    <w:rsid w:val="00BF6969"/>
    <w:rsid w:val="00C013FB"/>
    <w:rsid w:val="00C02EC6"/>
    <w:rsid w:val="00C02F10"/>
    <w:rsid w:val="00C031CE"/>
    <w:rsid w:val="00C04BAC"/>
    <w:rsid w:val="00C04C76"/>
    <w:rsid w:val="00C103E7"/>
    <w:rsid w:val="00C33148"/>
    <w:rsid w:val="00C41108"/>
    <w:rsid w:val="00C444AD"/>
    <w:rsid w:val="00C509BA"/>
    <w:rsid w:val="00C56AD5"/>
    <w:rsid w:val="00C56F88"/>
    <w:rsid w:val="00C5772E"/>
    <w:rsid w:val="00C64F94"/>
    <w:rsid w:val="00C65388"/>
    <w:rsid w:val="00C818DF"/>
    <w:rsid w:val="00C82531"/>
    <w:rsid w:val="00C94260"/>
    <w:rsid w:val="00CA3BCB"/>
    <w:rsid w:val="00CA6286"/>
    <w:rsid w:val="00CC3A1E"/>
    <w:rsid w:val="00CC76BE"/>
    <w:rsid w:val="00CD0211"/>
    <w:rsid w:val="00CD2F82"/>
    <w:rsid w:val="00CE06E5"/>
    <w:rsid w:val="00CE5827"/>
    <w:rsid w:val="00CF052F"/>
    <w:rsid w:val="00CF4665"/>
    <w:rsid w:val="00CF6D56"/>
    <w:rsid w:val="00CF7A3A"/>
    <w:rsid w:val="00D14214"/>
    <w:rsid w:val="00D14ED4"/>
    <w:rsid w:val="00D15EA0"/>
    <w:rsid w:val="00D170AD"/>
    <w:rsid w:val="00D20CB4"/>
    <w:rsid w:val="00D22115"/>
    <w:rsid w:val="00D30F82"/>
    <w:rsid w:val="00D438B9"/>
    <w:rsid w:val="00D46EC2"/>
    <w:rsid w:val="00D51572"/>
    <w:rsid w:val="00D55FD2"/>
    <w:rsid w:val="00D65686"/>
    <w:rsid w:val="00D74F0D"/>
    <w:rsid w:val="00D815FE"/>
    <w:rsid w:val="00D81913"/>
    <w:rsid w:val="00DB21B4"/>
    <w:rsid w:val="00DB4B22"/>
    <w:rsid w:val="00DB6372"/>
    <w:rsid w:val="00DC0BA7"/>
    <w:rsid w:val="00DC1D2F"/>
    <w:rsid w:val="00DD0357"/>
    <w:rsid w:val="00DD3667"/>
    <w:rsid w:val="00DD7CBE"/>
    <w:rsid w:val="00DE04C8"/>
    <w:rsid w:val="00DE1FA2"/>
    <w:rsid w:val="00DE2862"/>
    <w:rsid w:val="00DE2E14"/>
    <w:rsid w:val="00DF241E"/>
    <w:rsid w:val="00DF2A75"/>
    <w:rsid w:val="00E02542"/>
    <w:rsid w:val="00E51303"/>
    <w:rsid w:val="00E5199B"/>
    <w:rsid w:val="00E52B3B"/>
    <w:rsid w:val="00E542BA"/>
    <w:rsid w:val="00E57E9D"/>
    <w:rsid w:val="00E6740B"/>
    <w:rsid w:val="00E71C8F"/>
    <w:rsid w:val="00E74332"/>
    <w:rsid w:val="00E861C8"/>
    <w:rsid w:val="00E87468"/>
    <w:rsid w:val="00E91CE7"/>
    <w:rsid w:val="00EB07FF"/>
    <w:rsid w:val="00EB1997"/>
    <w:rsid w:val="00EB3C05"/>
    <w:rsid w:val="00EB570C"/>
    <w:rsid w:val="00EB576B"/>
    <w:rsid w:val="00EB6164"/>
    <w:rsid w:val="00EB7E19"/>
    <w:rsid w:val="00EC49A8"/>
    <w:rsid w:val="00ED0753"/>
    <w:rsid w:val="00EF0F83"/>
    <w:rsid w:val="00EF1922"/>
    <w:rsid w:val="00EF2B6F"/>
    <w:rsid w:val="00EF3AC6"/>
    <w:rsid w:val="00EF7FAA"/>
    <w:rsid w:val="00F00270"/>
    <w:rsid w:val="00F02831"/>
    <w:rsid w:val="00F2306C"/>
    <w:rsid w:val="00F2435A"/>
    <w:rsid w:val="00F254DC"/>
    <w:rsid w:val="00F42B63"/>
    <w:rsid w:val="00F45FCB"/>
    <w:rsid w:val="00F50151"/>
    <w:rsid w:val="00F51944"/>
    <w:rsid w:val="00F5587F"/>
    <w:rsid w:val="00F55C08"/>
    <w:rsid w:val="00F579EE"/>
    <w:rsid w:val="00F650B3"/>
    <w:rsid w:val="00F73AE9"/>
    <w:rsid w:val="00F84A7F"/>
    <w:rsid w:val="00F9529F"/>
    <w:rsid w:val="00F97FE3"/>
    <w:rsid w:val="00FA0ABF"/>
    <w:rsid w:val="00FA15F3"/>
    <w:rsid w:val="00FD04B6"/>
    <w:rsid w:val="00FD4914"/>
    <w:rsid w:val="00FE07EE"/>
    <w:rsid w:val="00FE488D"/>
    <w:rsid w:val="00FE7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1621</Words>
  <Characters>9242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Giulia Franzoni</cp:lastModifiedBy>
  <cp:revision>5</cp:revision>
  <dcterms:created xsi:type="dcterms:W3CDTF">2023-01-24T15:08:00Z</dcterms:created>
  <dcterms:modified xsi:type="dcterms:W3CDTF">2023-01-30T08:35:00Z</dcterms:modified>
</cp:coreProperties>
</file>