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9416" w14:textId="32719086" w:rsidR="00FA233F" w:rsidRDefault="003373D4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SCHEDA STAMPA</w:t>
      </w:r>
    </w:p>
    <w:p w14:paraId="013B106C" w14:textId="77777777" w:rsidR="00FA233F" w:rsidRDefault="00FA2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</w:p>
    <w:p w14:paraId="32F33107" w14:textId="6682E49A" w:rsidR="00E14515" w:rsidRDefault="009618E1" w:rsidP="0096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I numeri di un </w:t>
      </w:r>
      <w:r w:rsidR="00C32763">
        <w:rPr>
          <w:rFonts w:ascii="Verdana" w:eastAsia="Verdana" w:hAnsi="Verdana" w:cs="Verdana"/>
          <w:b/>
          <w:color w:val="000000"/>
          <w:sz w:val="24"/>
          <w:szCs w:val="24"/>
        </w:rPr>
        <w:t xml:space="preserve">anno di guerra </w:t>
      </w:r>
      <w:r w:rsidR="002C451E" w:rsidRPr="00037DAB">
        <w:rPr>
          <w:rFonts w:ascii="Verdana" w:eastAsia="Verdana" w:hAnsi="Verdana" w:cs="Verdana"/>
          <w:b/>
          <w:color w:val="000000"/>
          <w:sz w:val="24"/>
          <w:szCs w:val="24"/>
        </w:rPr>
        <w:t>in Ucraina</w:t>
      </w:r>
      <w:r w:rsidR="003E4C3D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14:paraId="16412E0B" w14:textId="77777777" w:rsidR="00FA233F" w:rsidRDefault="00FA2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43223B35" w14:textId="6E2795A5" w:rsidR="00FE2B7A" w:rsidRDefault="005F041A" w:rsidP="009618E1">
      <w:pPr>
        <w:spacing w:line="240" w:lineRule="auto"/>
        <w:jc w:val="right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30 </w:t>
      </w:r>
      <w:r w:rsidR="00A55934">
        <w:rPr>
          <w:rFonts w:ascii="Verdana" w:eastAsia="Verdana" w:hAnsi="Verdana" w:cs="Verdana"/>
          <w:i/>
          <w:sz w:val="20"/>
          <w:szCs w:val="20"/>
        </w:rPr>
        <w:t>Gennaio</w:t>
      </w:r>
      <w:r w:rsidR="009618E1">
        <w:rPr>
          <w:rFonts w:ascii="Verdana" w:eastAsia="Verdana" w:hAnsi="Verdana" w:cs="Verdana"/>
          <w:i/>
          <w:sz w:val="20"/>
          <w:szCs w:val="20"/>
        </w:rPr>
        <w:t xml:space="preserve"> 2023</w:t>
      </w:r>
    </w:p>
    <w:p w14:paraId="45098B5E" w14:textId="77777777" w:rsidR="009D192C" w:rsidRDefault="009D192C" w:rsidP="009618E1">
      <w:pPr>
        <w:spacing w:line="240" w:lineRule="auto"/>
        <w:jc w:val="right"/>
        <w:rPr>
          <w:rFonts w:ascii="Verdana" w:eastAsia="Verdana" w:hAnsi="Verdana" w:cs="Verdana"/>
          <w:i/>
          <w:sz w:val="20"/>
          <w:szCs w:val="20"/>
        </w:rPr>
      </w:pPr>
    </w:p>
    <w:p w14:paraId="2372DCA1" w14:textId="237EA70E" w:rsidR="00A14C47" w:rsidRDefault="009B7466" w:rsidP="009B7466">
      <w:pPr>
        <w:spacing w:line="240" w:lineRule="auto"/>
        <w:jc w:val="both"/>
        <w:rPr>
          <w:rFonts w:ascii="Verdana" w:eastAsia="Verdana" w:hAnsi="Verdana" w:cs="Verdana"/>
          <w:iCs/>
          <w:sz w:val="20"/>
          <w:szCs w:val="20"/>
        </w:rPr>
      </w:pPr>
      <w:r>
        <w:rPr>
          <w:rFonts w:ascii="Verdana" w:eastAsia="Verdana" w:hAnsi="Verdana" w:cs="Verdana"/>
          <w:iCs/>
          <w:sz w:val="20"/>
          <w:szCs w:val="20"/>
        </w:rPr>
        <w:t xml:space="preserve">Il 24 febbraio 2022 le forze armate russe </w:t>
      </w:r>
      <w:r w:rsidR="00EA6D93">
        <w:rPr>
          <w:rFonts w:ascii="Verdana" w:eastAsia="Verdana" w:hAnsi="Verdana" w:cs="Verdana"/>
          <w:iCs/>
          <w:sz w:val="20"/>
          <w:szCs w:val="20"/>
        </w:rPr>
        <w:t xml:space="preserve">superavano </w:t>
      </w:r>
      <w:r>
        <w:rPr>
          <w:rFonts w:ascii="Verdana" w:eastAsia="Verdana" w:hAnsi="Verdana" w:cs="Verdana"/>
          <w:iCs/>
          <w:sz w:val="20"/>
          <w:szCs w:val="20"/>
        </w:rPr>
        <w:t xml:space="preserve">i confini dell’Ucraina, </w:t>
      </w:r>
      <w:r w:rsidR="00AF0BB0">
        <w:rPr>
          <w:rFonts w:ascii="Verdana" w:eastAsia="Verdana" w:hAnsi="Verdana" w:cs="Verdana"/>
          <w:iCs/>
          <w:sz w:val="20"/>
          <w:szCs w:val="20"/>
        </w:rPr>
        <w:t>entrando ne</w:t>
      </w:r>
      <w:r>
        <w:rPr>
          <w:rFonts w:ascii="Verdana" w:eastAsia="Verdana" w:hAnsi="Verdana" w:cs="Verdana"/>
          <w:iCs/>
          <w:sz w:val="20"/>
          <w:szCs w:val="20"/>
        </w:rPr>
        <w:t>l</w:t>
      </w:r>
      <w:r w:rsidR="00DC16F9">
        <w:rPr>
          <w:rFonts w:ascii="Verdana" w:eastAsia="Verdana" w:hAnsi="Verdana" w:cs="Verdana"/>
          <w:iCs/>
          <w:sz w:val="20"/>
          <w:szCs w:val="20"/>
        </w:rPr>
        <w:t>l’ex Repubblica sovietica</w:t>
      </w:r>
      <w:r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AF0BB0">
        <w:rPr>
          <w:rFonts w:ascii="Verdana" w:eastAsia="Verdana" w:hAnsi="Verdana" w:cs="Verdana"/>
          <w:iCs/>
          <w:sz w:val="20"/>
          <w:szCs w:val="20"/>
        </w:rPr>
        <w:t xml:space="preserve">in quella che Mosca definì </w:t>
      </w:r>
      <w:r w:rsidR="00E86503">
        <w:rPr>
          <w:rFonts w:ascii="Verdana" w:eastAsia="Verdana" w:hAnsi="Verdana" w:cs="Verdana"/>
          <w:iCs/>
          <w:sz w:val="20"/>
          <w:szCs w:val="20"/>
        </w:rPr>
        <w:t>“operazione militare speciale” e Kiev</w:t>
      </w:r>
      <w:r w:rsidR="00FA2CC6"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E86503">
        <w:rPr>
          <w:rFonts w:ascii="Verdana" w:eastAsia="Verdana" w:hAnsi="Verdana" w:cs="Verdana"/>
          <w:iCs/>
          <w:sz w:val="20"/>
          <w:szCs w:val="20"/>
        </w:rPr>
        <w:t xml:space="preserve">“invasione”. </w:t>
      </w:r>
      <w:r w:rsidR="00A14AB1">
        <w:rPr>
          <w:rFonts w:ascii="Verdana" w:eastAsia="Verdana" w:hAnsi="Verdana" w:cs="Verdana"/>
          <w:iCs/>
          <w:sz w:val="20"/>
          <w:szCs w:val="20"/>
        </w:rPr>
        <w:t>Lo scontro diplomatico che durava da tempo tra i due Paesi</w:t>
      </w:r>
      <w:r w:rsidR="00FA2CC6">
        <w:rPr>
          <w:rFonts w:ascii="Verdana" w:eastAsia="Verdana" w:hAnsi="Verdana" w:cs="Verdana"/>
          <w:iCs/>
          <w:sz w:val="20"/>
          <w:szCs w:val="20"/>
        </w:rPr>
        <w:t>,</w:t>
      </w:r>
      <w:r w:rsidR="00131003">
        <w:rPr>
          <w:rFonts w:ascii="Verdana" w:eastAsia="Verdana" w:hAnsi="Verdana" w:cs="Verdana"/>
          <w:iCs/>
          <w:sz w:val="20"/>
          <w:szCs w:val="20"/>
        </w:rPr>
        <w:t xml:space="preserve"> con i picchi legati al conflitto nel Donbass e </w:t>
      </w:r>
      <w:r w:rsidR="001B7B8B">
        <w:rPr>
          <w:rFonts w:ascii="Verdana" w:eastAsia="Verdana" w:hAnsi="Verdana" w:cs="Verdana"/>
          <w:iCs/>
          <w:sz w:val="20"/>
          <w:szCs w:val="20"/>
        </w:rPr>
        <w:t>al</w:t>
      </w:r>
      <w:r w:rsidR="00131003">
        <w:rPr>
          <w:rFonts w:ascii="Verdana" w:eastAsia="Verdana" w:hAnsi="Verdana" w:cs="Verdana"/>
          <w:iCs/>
          <w:sz w:val="20"/>
          <w:szCs w:val="20"/>
        </w:rPr>
        <w:t xml:space="preserve">l’annessione </w:t>
      </w:r>
      <w:r w:rsidR="001B7B8B">
        <w:rPr>
          <w:rFonts w:ascii="Verdana" w:eastAsia="Verdana" w:hAnsi="Verdana" w:cs="Verdana"/>
          <w:iCs/>
          <w:sz w:val="20"/>
          <w:szCs w:val="20"/>
        </w:rPr>
        <w:t>unilaterale</w:t>
      </w:r>
      <w:r w:rsidR="00081B7A">
        <w:rPr>
          <w:rFonts w:ascii="Verdana" w:eastAsia="Verdana" w:hAnsi="Verdana" w:cs="Verdana"/>
          <w:iCs/>
          <w:sz w:val="20"/>
          <w:szCs w:val="20"/>
        </w:rPr>
        <w:t xml:space="preserve"> russa</w:t>
      </w:r>
      <w:r w:rsidR="001B7B8B"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131003">
        <w:rPr>
          <w:rFonts w:ascii="Verdana" w:eastAsia="Verdana" w:hAnsi="Verdana" w:cs="Verdana"/>
          <w:iCs/>
          <w:sz w:val="20"/>
          <w:szCs w:val="20"/>
        </w:rPr>
        <w:t>della Crimea,</w:t>
      </w:r>
      <w:r w:rsidR="00A14AB1">
        <w:rPr>
          <w:rFonts w:ascii="Verdana" w:eastAsia="Verdana" w:hAnsi="Verdana" w:cs="Verdana"/>
          <w:iCs/>
          <w:sz w:val="20"/>
          <w:szCs w:val="20"/>
        </w:rPr>
        <w:t xml:space="preserve"> sfociava così in una </w:t>
      </w:r>
      <w:r w:rsidR="001B7B8B">
        <w:rPr>
          <w:rFonts w:ascii="Verdana" w:eastAsia="Verdana" w:hAnsi="Verdana" w:cs="Verdana"/>
          <w:iCs/>
          <w:sz w:val="20"/>
          <w:szCs w:val="20"/>
        </w:rPr>
        <w:t xml:space="preserve">vera e propria guerra </w:t>
      </w:r>
      <w:r w:rsidR="00A14AB1">
        <w:rPr>
          <w:rFonts w:ascii="Verdana" w:eastAsia="Verdana" w:hAnsi="Verdana" w:cs="Verdana"/>
          <w:iCs/>
          <w:sz w:val="20"/>
          <w:szCs w:val="20"/>
        </w:rPr>
        <w:t xml:space="preserve">nel cuore dell’Europa. </w:t>
      </w:r>
      <w:r w:rsidR="001B7B8B">
        <w:rPr>
          <w:rFonts w:ascii="Verdana" w:eastAsia="Verdana" w:hAnsi="Verdana" w:cs="Verdana"/>
          <w:iCs/>
          <w:sz w:val="20"/>
          <w:szCs w:val="20"/>
        </w:rPr>
        <w:t>In un anno</w:t>
      </w:r>
      <w:r w:rsidR="006B4B2B">
        <w:rPr>
          <w:rFonts w:ascii="Verdana" w:eastAsia="Verdana" w:hAnsi="Verdana" w:cs="Verdana"/>
          <w:iCs/>
          <w:sz w:val="20"/>
          <w:szCs w:val="20"/>
        </w:rPr>
        <w:t>, il bilancio di distruzione, vittime</w:t>
      </w:r>
      <w:r w:rsidR="00F827DD">
        <w:rPr>
          <w:rFonts w:ascii="Verdana" w:eastAsia="Verdana" w:hAnsi="Verdana" w:cs="Verdana"/>
          <w:iCs/>
          <w:sz w:val="20"/>
          <w:szCs w:val="20"/>
        </w:rPr>
        <w:t>,</w:t>
      </w:r>
      <w:r w:rsidR="006B4B2B">
        <w:rPr>
          <w:rFonts w:ascii="Verdana" w:eastAsia="Verdana" w:hAnsi="Verdana" w:cs="Verdana"/>
          <w:iCs/>
          <w:sz w:val="20"/>
          <w:szCs w:val="20"/>
        </w:rPr>
        <w:t xml:space="preserve"> sfollati</w:t>
      </w:r>
      <w:r w:rsidR="00F827DD">
        <w:rPr>
          <w:rFonts w:ascii="Verdana" w:eastAsia="Verdana" w:hAnsi="Verdana" w:cs="Verdana"/>
          <w:iCs/>
          <w:sz w:val="20"/>
          <w:szCs w:val="20"/>
        </w:rPr>
        <w:t xml:space="preserve"> e drammi umanitari</w:t>
      </w:r>
      <w:r w:rsidR="00DB76A1">
        <w:rPr>
          <w:rFonts w:ascii="Verdana" w:eastAsia="Verdana" w:hAnsi="Verdana" w:cs="Verdana"/>
          <w:iCs/>
          <w:sz w:val="20"/>
          <w:szCs w:val="20"/>
        </w:rPr>
        <w:t xml:space="preserve"> non ha cessato di </w:t>
      </w:r>
      <w:r w:rsidR="00F827DD">
        <w:rPr>
          <w:rFonts w:ascii="Verdana" w:eastAsia="Verdana" w:hAnsi="Verdana" w:cs="Verdana"/>
          <w:iCs/>
          <w:sz w:val="20"/>
          <w:szCs w:val="20"/>
        </w:rPr>
        <w:t>aggravarsi</w:t>
      </w:r>
      <w:r w:rsidR="00DB76A1">
        <w:rPr>
          <w:rFonts w:ascii="Verdana" w:eastAsia="Verdana" w:hAnsi="Verdana" w:cs="Verdana"/>
          <w:iCs/>
          <w:sz w:val="20"/>
          <w:szCs w:val="20"/>
        </w:rPr>
        <w:t>, così come non si è allentata la tensione sui temi economici ed energetici</w:t>
      </w:r>
      <w:r w:rsidR="00F827DD">
        <w:rPr>
          <w:rFonts w:ascii="Verdana" w:eastAsia="Verdana" w:hAnsi="Verdana" w:cs="Verdana"/>
          <w:iCs/>
          <w:sz w:val="20"/>
          <w:szCs w:val="20"/>
        </w:rPr>
        <w:t xml:space="preserve">. Ecco alcuni dati. </w:t>
      </w:r>
    </w:p>
    <w:p w14:paraId="495F6188" w14:textId="3F22DF2B" w:rsidR="00CB1684" w:rsidRDefault="00A20546" w:rsidP="00CB1684">
      <w:pPr>
        <w:spacing w:line="240" w:lineRule="auto"/>
        <w:jc w:val="both"/>
        <w:rPr>
          <w:rFonts w:ascii="Verdana" w:eastAsia="Verdana" w:hAnsi="Verdana" w:cs="Verdana"/>
          <w:iCs/>
          <w:sz w:val="20"/>
          <w:szCs w:val="20"/>
        </w:rPr>
      </w:pPr>
      <w:r w:rsidRPr="00F250DC">
        <w:rPr>
          <w:rFonts w:ascii="Verdana" w:eastAsia="Verdana" w:hAnsi="Verdana" w:cs="Verdana"/>
          <w:b/>
          <w:bCs/>
          <w:iCs/>
          <w:sz w:val="20"/>
          <w:szCs w:val="20"/>
        </w:rPr>
        <w:t>VITTIME</w:t>
      </w:r>
      <w:r>
        <w:rPr>
          <w:rFonts w:ascii="Verdana" w:eastAsia="Verdana" w:hAnsi="Verdana" w:cs="Verdana"/>
          <w:iCs/>
          <w:sz w:val="20"/>
          <w:szCs w:val="20"/>
        </w:rPr>
        <w:t xml:space="preserve">. Il bilancio delle vittime civili, secondo le elaborazioni dell’Alto commissariato delle Nazioni unite per i diritti umani (Ohchr), al </w:t>
      </w:r>
      <w:r w:rsidR="00E36672">
        <w:rPr>
          <w:rFonts w:ascii="Verdana" w:eastAsia="Verdana" w:hAnsi="Verdana" w:cs="Verdana"/>
          <w:iCs/>
          <w:sz w:val="20"/>
          <w:szCs w:val="20"/>
        </w:rPr>
        <w:t>23</w:t>
      </w:r>
      <w:r>
        <w:rPr>
          <w:rFonts w:ascii="Verdana" w:eastAsia="Verdana" w:hAnsi="Verdana" w:cs="Verdana"/>
          <w:iCs/>
          <w:sz w:val="20"/>
          <w:szCs w:val="20"/>
        </w:rPr>
        <w:t xml:space="preserve"> gennaio 2023 </w:t>
      </w:r>
      <w:r w:rsidR="00653578">
        <w:rPr>
          <w:rFonts w:ascii="Verdana" w:eastAsia="Verdana" w:hAnsi="Verdana" w:cs="Verdana"/>
          <w:iCs/>
          <w:sz w:val="20"/>
          <w:szCs w:val="20"/>
        </w:rPr>
        <w:t>è</w:t>
      </w:r>
      <w:r>
        <w:rPr>
          <w:rFonts w:ascii="Verdana" w:eastAsia="Verdana" w:hAnsi="Verdana" w:cs="Verdana"/>
          <w:iCs/>
          <w:sz w:val="20"/>
          <w:szCs w:val="20"/>
        </w:rPr>
        <w:t xml:space="preserve"> di </w:t>
      </w:r>
      <w:r w:rsidR="00E15061" w:rsidRPr="00E15061">
        <w:rPr>
          <w:rFonts w:ascii="Verdana" w:eastAsia="Verdana" w:hAnsi="Verdana" w:cs="Verdana"/>
          <w:iCs/>
          <w:sz w:val="20"/>
          <w:szCs w:val="20"/>
        </w:rPr>
        <w:t>18</w:t>
      </w:r>
      <w:r w:rsidR="00E15061">
        <w:rPr>
          <w:rFonts w:ascii="Verdana" w:eastAsia="Verdana" w:hAnsi="Verdana" w:cs="Verdana"/>
          <w:iCs/>
          <w:sz w:val="20"/>
          <w:szCs w:val="20"/>
        </w:rPr>
        <w:t>.</w:t>
      </w:r>
      <w:r w:rsidR="00E15061" w:rsidRPr="00E15061">
        <w:rPr>
          <w:rFonts w:ascii="Verdana" w:eastAsia="Verdana" w:hAnsi="Verdana" w:cs="Verdana"/>
          <w:iCs/>
          <w:sz w:val="20"/>
          <w:szCs w:val="20"/>
        </w:rPr>
        <w:t xml:space="preserve">483 </w:t>
      </w:r>
      <w:r>
        <w:rPr>
          <w:rFonts w:ascii="Verdana" w:eastAsia="Verdana" w:hAnsi="Verdana" w:cs="Verdana"/>
          <w:iCs/>
          <w:sz w:val="20"/>
          <w:szCs w:val="20"/>
        </w:rPr>
        <w:t xml:space="preserve">persone colpite: </w:t>
      </w:r>
      <w:r w:rsidR="008162C9">
        <w:rPr>
          <w:rFonts w:ascii="Verdana" w:eastAsia="Verdana" w:hAnsi="Verdana" w:cs="Verdana"/>
          <w:iCs/>
          <w:sz w:val="20"/>
          <w:szCs w:val="20"/>
        </w:rPr>
        <w:t>7.0</w:t>
      </w:r>
      <w:r w:rsidR="00E15061">
        <w:rPr>
          <w:rFonts w:ascii="Verdana" w:eastAsia="Verdana" w:hAnsi="Verdana" w:cs="Verdana"/>
          <w:iCs/>
          <w:sz w:val="20"/>
          <w:szCs w:val="20"/>
        </w:rPr>
        <w:t>68</w:t>
      </w:r>
      <w:r>
        <w:rPr>
          <w:rFonts w:ascii="Verdana" w:eastAsia="Verdana" w:hAnsi="Verdana" w:cs="Verdana"/>
          <w:iCs/>
          <w:sz w:val="20"/>
          <w:szCs w:val="20"/>
        </w:rPr>
        <w:t xml:space="preserve"> uccise e 11.</w:t>
      </w:r>
      <w:r w:rsidR="00E15061">
        <w:rPr>
          <w:rFonts w:ascii="Verdana" w:eastAsia="Verdana" w:hAnsi="Verdana" w:cs="Verdana"/>
          <w:iCs/>
          <w:sz w:val="20"/>
          <w:szCs w:val="20"/>
        </w:rPr>
        <w:t>415</w:t>
      </w:r>
      <w:r>
        <w:rPr>
          <w:rFonts w:ascii="Verdana" w:eastAsia="Verdana" w:hAnsi="Verdana" w:cs="Verdana"/>
          <w:iCs/>
          <w:sz w:val="20"/>
          <w:szCs w:val="20"/>
        </w:rPr>
        <w:t xml:space="preserve"> ferite</w:t>
      </w:r>
      <w:r w:rsidRPr="00144464">
        <w:rPr>
          <w:vertAlign w:val="superscript"/>
        </w:rPr>
        <w:footnoteReference w:id="2"/>
      </w:r>
      <w:r>
        <w:rPr>
          <w:rFonts w:ascii="Verdana" w:eastAsia="Verdana" w:hAnsi="Verdana" w:cs="Verdana"/>
          <w:iCs/>
          <w:sz w:val="20"/>
          <w:szCs w:val="20"/>
        </w:rPr>
        <w:t xml:space="preserve">. </w:t>
      </w:r>
      <w:r w:rsidR="00F34A57">
        <w:rPr>
          <w:rFonts w:ascii="Verdana" w:eastAsia="Verdana" w:hAnsi="Verdana" w:cs="Verdana"/>
          <w:iCs/>
          <w:sz w:val="20"/>
          <w:szCs w:val="20"/>
        </w:rPr>
        <w:t xml:space="preserve">Ci sono </w:t>
      </w:r>
      <w:r w:rsidR="00ED7D6E">
        <w:rPr>
          <w:rFonts w:ascii="Verdana" w:eastAsia="Verdana" w:hAnsi="Verdana" w:cs="Verdana"/>
          <w:iCs/>
          <w:sz w:val="20"/>
          <w:szCs w:val="20"/>
        </w:rPr>
        <w:t>403</w:t>
      </w:r>
      <w:r w:rsidR="00F8016F">
        <w:rPr>
          <w:rFonts w:ascii="Verdana" w:eastAsia="Verdana" w:hAnsi="Verdana" w:cs="Verdana"/>
          <w:iCs/>
          <w:sz w:val="20"/>
          <w:szCs w:val="20"/>
        </w:rPr>
        <w:t xml:space="preserve"> bambine e bambini tra le persone uccise, </w:t>
      </w:r>
      <w:r w:rsidR="000266F8">
        <w:rPr>
          <w:rFonts w:ascii="Verdana" w:eastAsia="Verdana" w:hAnsi="Verdana" w:cs="Verdana"/>
          <w:iCs/>
          <w:sz w:val="20"/>
          <w:szCs w:val="20"/>
        </w:rPr>
        <w:t>5</w:t>
      </w:r>
      <w:r w:rsidR="00B13E50">
        <w:rPr>
          <w:rFonts w:ascii="Verdana" w:eastAsia="Verdana" w:hAnsi="Verdana" w:cs="Verdana"/>
          <w:iCs/>
          <w:sz w:val="20"/>
          <w:szCs w:val="20"/>
        </w:rPr>
        <w:t>71</w:t>
      </w:r>
      <w:r>
        <w:rPr>
          <w:rFonts w:ascii="Verdana" w:eastAsia="Verdana" w:hAnsi="Verdana" w:cs="Verdana"/>
          <w:iCs/>
          <w:sz w:val="20"/>
          <w:szCs w:val="20"/>
        </w:rPr>
        <w:t xml:space="preserve"> tra </w:t>
      </w:r>
      <w:r w:rsidR="000266F8">
        <w:rPr>
          <w:rFonts w:ascii="Verdana" w:eastAsia="Verdana" w:hAnsi="Verdana" w:cs="Verdana"/>
          <w:iCs/>
          <w:sz w:val="20"/>
          <w:szCs w:val="20"/>
        </w:rPr>
        <w:t>quelle</w:t>
      </w:r>
      <w:r>
        <w:rPr>
          <w:rFonts w:ascii="Verdana" w:eastAsia="Verdana" w:hAnsi="Verdana" w:cs="Verdana"/>
          <w:iCs/>
          <w:sz w:val="20"/>
          <w:szCs w:val="20"/>
        </w:rPr>
        <w:t xml:space="preserve"> ferit</w:t>
      </w:r>
      <w:r w:rsidR="000266F8">
        <w:rPr>
          <w:rFonts w:ascii="Verdana" w:eastAsia="Verdana" w:hAnsi="Verdana" w:cs="Verdana"/>
          <w:iCs/>
          <w:sz w:val="20"/>
          <w:szCs w:val="20"/>
        </w:rPr>
        <w:t>e</w:t>
      </w:r>
      <w:r>
        <w:rPr>
          <w:rFonts w:ascii="Verdana" w:eastAsia="Verdana" w:hAnsi="Verdana" w:cs="Verdana"/>
          <w:iCs/>
          <w:sz w:val="20"/>
          <w:szCs w:val="20"/>
        </w:rPr>
        <w:t xml:space="preserve">. </w:t>
      </w:r>
      <w:r w:rsidRPr="00007D45">
        <w:rPr>
          <w:rFonts w:ascii="Verdana" w:eastAsia="Verdana" w:hAnsi="Verdana" w:cs="Verdana"/>
          <w:iCs/>
          <w:sz w:val="20"/>
          <w:szCs w:val="20"/>
        </w:rPr>
        <w:t xml:space="preserve">Sempre </w:t>
      </w:r>
      <w:r>
        <w:rPr>
          <w:rFonts w:ascii="Verdana" w:eastAsia="Verdana" w:hAnsi="Verdana" w:cs="Verdana"/>
          <w:iCs/>
          <w:sz w:val="20"/>
          <w:szCs w:val="20"/>
        </w:rPr>
        <w:t xml:space="preserve">secondo l’Ohchr, la maggior parte </w:t>
      </w:r>
      <w:r w:rsidR="00556660">
        <w:rPr>
          <w:rFonts w:ascii="Verdana" w:eastAsia="Verdana" w:hAnsi="Verdana" w:cs="Verdana"/>
          <w:iCs/>
          <w:sz w:val="20"/>
          <w:szCs w:val="20"/>
        </w:rPr>
        <w:t>delle vittime</w:t>
      </w:r>
      <w:r>
        <w:rPr>
          <w:rFonts w:ascii="Verdana" w:eastAsia="Verdana" w:hAnsi="Verdana" w:cs="Verdana"/>
          <w:iCs/>
          <w:sz w:val="20"/>
          <w:szCs w:val="20"/>
        </w:rPr>
        <w:t xml:space="preserve"> è stata causata da armi esplosive con effetto d’ampio raggio, tra cui bombardamenti d’artiglieria, sistemi lanciarazzo multipli, missili e attacchi aerei. </w:t>
      </w:r>
      <w:r w:rsidR="00F34A57">
        <w:rPr>
          <w:rFonts w:ascii="Verdana" w:eastAsia="Verdana" w:hAnsi="Verdana" w:cs="Verdana"/>
          <w:iCs/>
          <w:sz w:val="20"/>
          <w:szCs w:val="20"/>
        </w:rPr>
        <w:t>L</w:t>
      </w:r>
      <w:r>
        <w:rPr>
          <w:rFonts w:ascii="Verdana" w:eastAsia="Verdana" w:hAnsi="Verdana" w:cs="Verdana"/>
          <w:iCs/>
          <w:sz w:val="20"/>
          <w:szCs w:val="20"/>
        </w:rPr>
        <w:t xml:space="preserve">’agenzia Onu ritiene che i </w:t>
      </w:r>
      <w:r w:rsidR="00F34A57">
        <w:rPr>
          <w:rFonts w:ascii="Verdana" w:eastAsia="Verdana" w:hAnsi="Verdana" w:cs="Verdana"/>
          <w:iCs/>
          <w:sz w:val="20"/>
          <w:szCs w:val="20"/>
        </w:rPr>
        <w:t xml:space="preserve">numeri </w:t>
      </w:r>
      <w:r w:rsidR="00575D86">
        <w:rPr>
          <w:rFonts w:ascii="Verdana" w:eastAsia="Verdana" w:hAnsi="Verdana" w:cs="Verdana"/>
          <w:iCs/>
          <w:sz w:val="20"/>
          <w:szCs w:val="20"/>
        </w:rPr>
        <w:t>r</w:t>
      </w:r>
      <w:r>
        <w:rPr>
          <w:rFonts w:ascii="Verdana" w:eastAsia="Verdana" w:hAnsi="Verdana" w:cs="Verdana"/>
          <w:iCs/>
          <w:sz w:val="20"/>
          <w:szCs w:val="20"/>
        </w:rPr>
        <w:t xml:space="preserve">eali siano “considerevolmente più elevati”, </w:t>
      </w:r>
      <w:r w:rsidR="000F5EB4">
        <w:rPr>
          <w:rFonts w:ascii="Verdana" w:eastAsia="Verdana" w:hAnsi="Verdana" w:cs="Verdana"/>
          <w:iCs/>
          <w:sz w:val="20"/>
          <w:szCs w:val="20"/>
        </w:rPr>
        <w:t xml:space="preserve">vista la difficoltà di verificare le </w:t>
      </w:r>
      <w:r w:rsidR="00556660">
        <w:rPr>
          <w:rFonts w:ascii="Verdana" w:eastAsia="Verdana" w:hAnsi="Verdana" w:cs="Verdana"/>
          <w:iCs/>
          <w:sz w:val="20"/>
          <w:szCs w:val="20"/>
        </w:rPr>
        <w:t>informazioni</w:t>
      </w:r>
      <w:r w:rsidR="000F5EB4"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210823">
        <w:rPr>
          <w:rFonts w:ascii="Verdana" w:eastAsia="Verdana" w:hAnsi="Verdana" w:cs="Verdana"/>
          <w:iCs/>
          <w:sz w:val="20"/>
          <w:szCs w:val="20"/>
        </w:rPr>
        <w:t>e l’inaccessibilità d</w:t>
      </w:r>
      <w:r w:rsidR="00575D86">
        <w:rPr>
          <w:rFonts w:ascii="Verdana" w:eastAsia="Verdana" w:hAnsi="Verdana" w:cs="Verdana"/>
          <w:iCs/>
          <w:sz w:val="20"/>
          <w:szCs w:val="20"/>
        </w:rPr>
        <w:t>elle</w:t>
      </w:r>
      <w:r w:rsidR="00210823">
        <w:rPr>
          <w:rFonts w:ascii="Verdana" w:eastAsia="Verdana" w:hAnsi="Verdana" w:cs="Verdana"/>
          <w:iCs/>
          <w:sz w:val="20"/>
          <w:szCs w:val="20"/>
        </w:rPr>
        <w:t xml:space="preserve"> aree dove sono in corso combattimenti</w:t>
      </w:r>
      <w:r w:rsidR="000F5EB4">
        <w:rPr>
          <w:rFonts w:ascii="Verdana" w:eastAsia="Verdana" w:hAnsi="Verdana" w:cs="Verdana"/>
          <w:iCs/>
          <w:sz w:val="20"/>
          <w:szCs w:val="20"/>
        </w:rPr>
        <w:t>.</w:t>
      </w:r>
      <w:r w:rsidR="00097773">
        <w:rPr>
          <w:rFonts w:ascii="Verdana" w:eastAsia="Verdana" w:hAnsi="Verdana" w:cs="Verdana"/>
          <w:iCs/>
          <w:sz w:val="20"/>
          <w:szCs w:val="20"/>
        </w:rPr>
        <w:t xml:space="preserve"> L’Ucraina</w:t>
      </w:r>
      <w:r w:rsidR="00406C41">
        <w:rPr>
          <w:rFonts w:ascii="Verdana" w:eastAsia="Verdana" w:hAnsi="Verdana" w:cs="Verdana"/>
          <w:iCs/>
          <w:sz w:val="20"/>
          <w:szCs w:val="20"/>
        </w:rPr>
        <w:t xml:space="preserve"> stima che i civili uccisi possano </w:t>
      </w:r>
      <w:r w:rsidR="00575D86">
        <w:rPr>
          <w:rFonts w:ascii="Verdana" w:eastAsia="Verdana" w:hAnsi="Verdana" w:cs="Verdana"/>
          <w:iCs/>
          <w:sz w:val="20"/>
          <w:szCs w:val="20"/>
        </w:rPr>
        <w:t>essere</w:t>
      </w:r>
      <w:r w:rsidR="00406C41">
        <w:rPr>
          <w:rFonts w:ascii="Verdana" w:eastAsia="Verdana" w:hAnsi="Verdana" w:cs="Verdana"/>
          <w:iCs/>
          <w:sz w:val="20"/>
          <w:szCs w:val="20"/>
        </w:rPr>
        <w:t xml:space="preserve"> decine di migliaia, mentre sia Kiev sia Mosca negano di prendere di mira la popolazione</w:t>
      </w:r>
      <w:r w:rsidR="00CB1684" w:rsidRPr="00CB1684">
        <w:rPr>
          <w:rFonts w:ascii="Verdana" w:eastAsia="Verdana" w:hAnsi="Verdana" w:cs="Verdana"/>
          <w:iCs/>
          <w:sz w:val="20"/>
          <w:szCs w:val="20"/>
        </w:rPr>
        <w:t>.</w:t>
      </w:r>
    </w:p>
    <w:p w14:paraId="61B1E14B" w14:textId="5E5FC351" w:rsidR="005D2405" w:rsidRDefault="0079624B" w:rsidP="009B7466">
      <w:pPr>
        <w:spacing w:line="240" w:lineRule="auto"/>
        <w:jc w:val="both"/>
        <w:rPr>
          <w:rFonts w:ascii="Verdana" w:eastAsia="Verdana" w:hAnsi="Verdana" w:cs="Verdana"/>
          <w:iCs/>
          <w:sz w:val="20"/>
          <w:szCs w:val="20"/>
        </w:rPr>
      </w:pPr>
      <w:r w:rsidRPr="00F250DC">
        <w:rPr>
          <w:rFonts w:ascii="Verdana" w:eastAsia="Verdana" w:hAnsi="Verdana" w:cs="Verdana"/>
          <w:b/>
          <w:bCs/>
          <w:iCs/>
          <w:sz w:val="20"/>
          <w:szCs w:val="20"/>
        </w:rPr>
        <w:t>RIFUGIATI E SFOLLATI</w:t>
      </w:r>
      <w:r>
        <w:rPr>
          <w:rFonts w:ascii="Verdana" w:eastAsia="Verdana" w:hAnsi="Verdana" w:cs="Verdana"/>
          <w:iCs/>
          <w:sz w:val="20"/>
          <w:szCs w:val="20"/>
        </w:rPr>
        <w:t xml:space="preserve">. </w:t>
      </w:r>
      <w:r w:rsidR="00BC32FB">
        <w:rPr>
          <w:rFonts w:ascii="Verdana" w:eastAsia="Verdana" w:hAnsi="Verdana" w:cs="Verdana"/>
          <w:iCs/>
          <w:sz w:val="20"/>
          <w:szCs w:val="20"/>
        </w:rPr>
        <w:t xml:space="preserve">L’Alto commissariato delle Nazioni unite per i rifugiati (Unhcr) stima che </w:t>
      </w:r>
      <w:r w:rsidR="00C56C24">
        <w:rPr>
          <w:rFonts w:ascii="Verdana" w:eastAsia="Verdana" w:hAnsi="Verdana" w:cs="Verdana"/>
          <w:iCs/>
          <w:sz w:val="20"/>
          <w:szCs w:val="20"/>
        </w:rPr>
        <w:t>8</w:t>
      </w:r>
      <w:r w:rsidR="00275862">
        <w:rPr>
          <w:rFonts w:ascii="Verdana" w:eastAsia="Verdana" w:hAnsi="Verdana" w:cs="Verdana"/>
          <w:iCs/>
          <w:sz w:val="20"/>
          <w:szCs w:val="20"/>
        </w:rPr>
        <w:t xml:space="preserve"> m</w:t>
      </w:r>
      <w:r w:rsidR="00BC32FB">
        <w:rPr>
          <w:rFonts w:ascii="Verdana" w:eastAsia="Verdana" w:hAnsi="Verdana" w:cs="Verdana"/>
          <w:iCs/>
          <w:sz w:val="20"/>
          <w:szCs w:val="20"/>
        </w:rPr>
        <w:t xml:space="preserve">ilioni di persone </w:t>
      </w:r>
      <w:r w:rsidR="00503649">
        <w:rPr>
          <w:rFonts w:ascii="Verdana" w:eastAsia="Verdana" w:hAnsi="Verdana" w:cs="Verdana"/>
          <w:iCs/>
          <w:sz w:val="20"/>
          <w:szCs w:val="20"/>
        </w:rPr>
        <w:t>siano fuggi</w:t>
      </w:r>
      <w:r w:rsidR="003D3AEF">
        <w:rPr>
          <w:rFonts w:ascii="Verdana" w:eastAsia="Verdana" w:hAnsi="Verdana" w:cs="Verdana"/>
          <w:iCs/>
          <w:sz w:val="20"/>
          <w:szCs w:val="20"/>
        </w:rPr>
        <w:t>t</w:t>
      </w:r>
      <w:r w:rsidR="00503649">
        <w:rPr>
          <w:rFonts w:ascii="Verdana" w:eastAsia="Verdana" w:hAnsi="Verdana" w:cs="Verdana"/>
          <w:iCs/>
          <w:sz w:val="20"/>
          <w:szCs w:val="20"/>
        </w:rPr>
        <w:t>e dal</w:t>
      </w:r>
      <w:r w:rsidR="00BC32FB">
        <w:rPr>
          <w:rFonts w:ascii="Verdana" w:eastAsia="Verdana" w:hAnsi="Verdana" w:cs="Verdana"/>
          <w:iCs/>
          <w:sz w:val="20"/>
          <w:szCs w:val="20"/>
        </w:rPr>
        <w:t>l’Ucraina</w:t>
      </w:r>
      <w:r w:rsidR="004E49A7"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BC32FB">
        <w:rPr>
          <w:rFonts w:ascii="Verdana" w:eastAsia="Verdana" w:hAnsi="Verdana" w:cs="Verdana"/>
          <w:iCs/>
          <w:sz w:val="20"/>
          <w:szCs w:val="20"/>
        </w:rPr>
        <w:t xml:space="preserve">in altri Paesi europei, mentre gli sfollati interni sarebbero </w:t>
      </w:r>
      <w:r w:rsidR="00503649">
        <w:rPr>
          <w:rFonts w:ascii="Verdana" w:eastAsia="Verdana" w:hAnsi="Verdana" w:cs="Verdana"/>
          <w:iCs/>
          <w:sz w:val="20"/>
          <w:szCs w:val="20"/>
        </w:rPr>
        <w:t>6,</w:t>
      </w:r>
      <w:r w:rsidR="0088623A">
        <w:rPr>
          <w:rFonts w:ascii="Verdana" w:eastAsia="Verdana" w:hAnsi="Verdana" w:cs="Verdana"/>
          <w:iCs/>
          <w:sz w:val="20"/>
          <w:szCs w:val="20"/>
        </w:rPr>
        <w:t>5</w:t>
      </w:r>
      <w:r w:rsidR="00BC32FB">
        <w:rPr>
          <w:rFonts w:ascii="Verdana" w:eastAsia="Verdana" w:hAnsi="Verdana" w:cs="Verdana"/>
          <w:iCs/>
          <w:sz w:val="20"/>
          <w:szCs w:val="20"/>
        </w:rPr>
        <w:t xml:space="preserve"> milioni</w:t>
      </w:r>
      <w:r w:rsidR="00A116B4">
        <w:rPr>
          <w:rStyle w:val="Rimandonotaapidipagina"/>
          <w:rFonts w:ascii="Verdana" w:eastAsia="Verdana" w:hAnsi="Verdana" w:cs="Verdana"/>
          <w:iCs/>
          <w:sz w:val="20"/>
          <w:szCs w:val="20"/>
        </w:rPr>
        <w:footnoteReference w:id="3"/>
      </w:r>
      <w:r w:rsidR="00BC32FB">
        <w:rPr>
          <w:rFonts w:ascii="Verdana" w:eastAsia="Verdana" w:hAnsi="Verdana" w:cs="Verdana"/>
          <w:iCs/>
          <w:sz w:val="20"/>
          <w:szCs w:val="20"/>
        </w:rPr>
        <w:t>. È la più grave crisi umanitari</w:t>
      </w:r>
      <w:r w:rsidR="004E49A7">
        <w:rPr>
          <w:rFonts w:ascii="Verdana" w:eastAsia="Verdana" w:hAnsi="Verdana" w:cs="Verdana"/>
          <w:iCs/>
          <w:sz w:val="20"/>
          <w:szCs w:val="20"/>
        </w:rPr>
        <w:t>a</w:t>
      </w:r>
      <w:r w:rsidR="00BC32FB">
        <w:rPr>
          <w:rFonts w:ascii="Verdana" w:eastAsia="Verdana" w:hAnsi="Verdana" w:cs="Verdana"/>
          <w:iCs/>
          <w:sz w:val="20"/>
          <w:szCs w:val="20"/>
        </w:rPr>
        <w:t xml:space="preserve"> nel continente dalla Seconda guerra mondiale.</w:t>
      </w:r>
      <w:r w:rsidR="00644570"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E7550C">
        <w:rPr>
          <w:rFonts w:ascii="Verdana" w:eastAsia="Verdana" w:hAnsi="Verdana" w:cs="Verdana"/>
          <w:iCs/>
          <w:sz w:val="20"/>
          <w:szCs w:val="20"/>
        </w:rPr>
        <w:t xml:space="preserve">L’Italia ha registrato </w:t>
      </w:r>
      <w:r w:rsidR="00FB2B7D">
        <w:rPr>
          <w:rFonts w:ascii="Verdana" w:eastAsia="Verdana" w:hAnsi="Verdana" w:cs="Verdana"/>
          <w:iCs/>
          <w:sz w:val="20"/>
          <w:szCs w:val="20"/>
        </w:rPr>
        <w:t xml:space="preserve">sul territorio </w:t>
      </w:r>
      <w:r w:rsidR="00B1533F">
        <w:rPr>
          <w:rFonts w:ascii="Verdana" w:eastAsia="Verdana" w:hAnsi="Verdana" w:cs="Verdana"/>
          <w:iCs/>
          <w:sz w:val="20"/>
          <w:szCs w:val="20"/>
        </w:rPr>
        <w:t>169</w:t>
      </w:r>
      <w:r w:rsidR="00E7550C">
        <w:rPr>
          <w:rFonts w:ascii="Verdana" w:eastAsia="Verdana" w:hAnsi="Verdana" w:cs="Verdana"/>
          <w:iCs/>
          <w:sz w:val="20"/>
          <w:szCs w:val="20"/>
        </w:rPr>
        <w:t>mila cittadine e cittadini</w:t>
      </w:r>
      <w:r w:rsidR="005F20FA">
        <w:rPr>
          <w:rFonts w:ascii="Verdana" w:eastAsia="Verdana" w:hAnsi="Verdana" w:cs="Verdana"/>
          <w:iCs/>
          <w:sz w:val="20"/>
          <w:szCs w:val="20"/>
        </w:rPr>
        <w:t xml:space="preserve"> ucraini</w:t>
      </w:r>
      <w:r w:rsidR="00135174">
        <w:rPr>
          <w:rFonts w:ascii="Verdana" w:eastAsia="Verdana" w:hAnsi="Verdana" w:cs="Verdana"/>
          <w:iCs/>
          <w:sz w:val="20"/>
          <w:szCs w:val="20"/>
        </w:rPr>
        <w:t xml:space="preserve">, mentre </w:t>
      </w:r>
      <w:r w:rsidR="006E739E">
        <w:rPr>
          <w:rFonts w:ascii="Verdana" w:eastAsia="Verdana" w:hAnsi="Verdana" w:cs="Verdana"/>
          <w:iCs/>
          <w:sz w:val="20"/>
          <w:szCs w:val="20"/>
        </w:rPr>
        <w:t xml:space="preserve">Germania </w:t>
      </w:r>
      <w:r w:rsidR="00E52570">
        <w:rPr>
          <w:rFonts w:ascii="Verdana" w:eastAsia="Verdana" w:hAnsi="Verdana" w:cs="Verdana"/>
          <w:iCs/>
          <w:sz w:val="20"/>
          <w:szCs w:val="20"/>
        </w:rPr>
        <w:t xml:space="preserve">e Polonia </w:t>
      </w:r>
      <w:r w:rsidR="006E739E">
        <w:rPr>
          <w:rFonts w:ascii="Verdana" w:eastAsia="Verdana" w:hAnsi="Verdana" w:cs="Verdana"/>
          <w:iCs/>
          <w:sz w:val="20"/>
          <w:szCs w:val="20"/>
        </w:rPr>
        <w:t>oltre un milione</w:t>
      </w:r>
      <w:r w:rsidR="008E03A9">
        <w:rPr>
          <w:rFonts w:ascii="Verdana" w:eastAsia="Verdana" w:hAnsi="Verdana" w:cs="Verdana"/>
          <w:iCs/>
          <w:sz w:val="20"/>
          <w:szCs w:val="20"/>
        </w:rPr>
        <w:t xml:space="preserve"> ciascuna</w:t>
      </w:r>
      <w:r w:rsidR="00E52570">
        <w:rPr>
          <w:rFonts w:ascii="Verdana" w:eastAsia="Verdana" w:hAnsi="Verdana" w:cs="Verdana"/>
          <w:iCs/>
          <w:sz w:val="20"/>
          <w:szCs w:val="20"/>
        </w:rPr>
        <w:t xml:space="preserve"> (</w:t>
      </w:r>
      <w:r w:rsidR="006E739E">
        <w:rPr>
          <w:rFonts w:ascii="Verdana" w:eastAsia="Verdana" w:hAnsi="Verdana" w:cs="Verdana"/>
          <w:iCs/>
          <w:sz w:val="20"/>
          <w:szCs w:val="20"/>
        </w:rPr>
        <w:t xml:space="preserve">Spagna 161mila, </w:t>
      </w:r>
      <w:r w:rsidR="00213250">
        <w:rPr>
          <w:rFonts w:ascii="Verdana" w:eastAsia="Verdana" w:hAnsi="Verdana" w:cs="Verdana"/>
          <w:iCs/>
          <w:sz w:val="20"/>
          <w:szCs w:val="20"/>
        </w:rPr>
        <w:t>Francia 118mila</w:t>
      </w:r>
      <w:r w:rsidR="00E52570">
        <w:rPr>
          <w:rFonts w:ascii="Verdana" w:eastAsia="Verdana" w:hAnsi="Verdana" w:cs="Verdana"/>
          <w:iCs/>
          <w:sz w:val="20"/>
          <w:szCs w:val="20"/>
        </w:rPr>
        <w:t xml:space="preserve">, </w:t>
      </w:r>
      <w:r w:rsidR="00C434C8">
        <w:rPr>
          <w:rFonts w:ascii="Verdana" w:eastAsia="Verdana" w:hAnsi="Verdana" w:cs="Verdana"/>
          <w:iCs/>
          <w:sz w:val="20"/>
          <w:szCs w:val="20"/>
        </w:rPr>
        <w:t xml:space="preserve">gli altri Paesi europei meno di 100mila). </w:t>
      </w:r>
      <w:r w:rsidR="008E03A9">
        <w:rPr>
          <w:rFonts w:ascii="Verdana" w:eastAsia="Verdana" w:hAnsi="Verdana" w:cs="Verdana"/>
          <w:iCs/>
          <w:sz w:val="20"/>
          <w:szCs w:val="20"/>
        </w:rPr>
        <w:t>In Russia, a ottobre erano oltre 2,8 milioni gli ucraini entrati nel Paese.</w:t>
      </w:r>
    </w:p>
    <w:p w14:paraId="027F6EC6" w14:textId="7DB3B874" w:rsidR="0079189B" w:rsidRDefault="0079624B" w:rsidP="005B3FA5">
      <w:pPr>
        <w:spacing w:line="240" w:lineRule="auto"/>
        <w:jc w:val="both"/>
        <w:rPr>
          <w:rFonts w:ascii="Verdana" w:eastAsia="Verdana" w:hAnsi="Verdana" w:cs="Verdana"/>
          <w:iCs/>
          <w:sz w:val="20"/>
          <w:szCs w:val="20"/>
        </w:rPr>
      </w:pPr>
      <w:r w:rsidRPr="00F250DC">
        <w:rPr>
          <w:rFonts w:ascii="Verdana" w:eastAsia="Verdana" w:hAnsi="Verdana" w:cs="Verdana"/>
          <w:b/>
          <w:bCs/>
          <w:iCs/>
          <w:sz w:val="20"/>
          <w:szCs w:val="20"/>
        </w:rPr>
        <w:t>CONDIZIONI DI VITA</w:t>
      </w:r>
      <w:r>
        <w:rPr>
          <w:rFonts w:ascii="Verdana" w:eastAsia="Verdana" w:hAnsi="Verdana" w:cs="Verdana"/>
          <w:iCs/>
          <w:sz w:val="20"/>
          <w:szCs w:val="20"/>
        </w:rPr>
        <w:t xml:space="preserve">. </w:t>
      </w:r>
      <w:r w:rsidR="007A03C0">
        <w:rPr>
          <w:rFonts w:ascii="Verdana" w:eastAsia="Verdana" w:hAnsi="Verdana" w:cs="Verdana"/>
          <w:iCs/>
          <w:sz w:val="20"/>
          <w:szCs w:val="20"/>
        </w:rPr>
        <w:t xml:space="preserve">Le rigide temperature invernali hanno </w:t>
      </w:r>
      <w:r w:rsidR="001553A3">
        <w:rPr>
          <w:rFonts w:ascii="Verdana" w:eastAsia="Verdana" w:hAnsi="Verdana" w:cs="Verdana"/>
          <w:iCs/>
          <w:sz w:val="20"/>
          <w:szCs w:val="20"/>
        </w:rPr>
        <w:t>reso ancora più urgenti</w:t>
      </w:r>
      <w:r w:rsidR="007A03C0">
        <w:rPr>
          <w:rFonts w:ascii="Verdana" w:eastAsia="Verdana" w:hAnsi="Verdana" w:cs="Verdana"/>
          <w:iCs/>
          <w:sz w:val="20"/>
          <w:szCs w:val="20"/>
        </w:rPr>
        <w:t xml:space="preserve"> i bisogni umanitari della popolazione, che necessita d</w:t>
      </w:r>
      <w:r w:rsidR="001A2A73">
        <w:rPr>
          <w:rFonts w:ascii="Verdana" w:eastAsia="Verdana" w:hAnsi="Verdana" w:cs="Verdana"/>
          <w:iCs/>
          <w:sz w:val="20"/>
          <w:szCs w:val="20"/>
        </w:rPr>
        <w:t>i</w:t>
      </w:r>
      <w:r w:rsidR="007A03C0">
        <w:rPr>
          <w:rFonts w:ascii="Verdana" w:eastAsia="Verdana" w:hAnsi="Verdana" w:cs="Verdana"/>
          <w:iCs/>
          <w:sz w:val="20"/>
          <w:szCs w:val="20"/>
        </w:rPr>
        <w:t xml:space="preserve"> protezione e assistenza di base, dal</w:t>
      </w:r>
      <w:r w:rsidR="001A2A73">
        <w:rPr>
          <w:rFonts w:ascii="Verdana" w:eastAsia="Verdana" w:hAnsi="Verdana" w:cs="Verdana"/>
          <w:iCs/>
          <w:sz w:val="20"/>
          <w:szCs w:val="20"/>
        </w:rPr>
        <w:t>la fornitura di</w:t>
      </w:r>
      <w:r w:rsidR="007A03C0">
        <w:rPr>
          <w:rFonts w:ascii="Verdana" w:eastAsia="Verdana" w:hAnsi="Verdana" w:cs="Verdana"/>
          <w:iCs/>
          <w:sz w:val="20"/>
          <w:szCs w:val="20"/>
        </w:rPr>
        <w:t xml:space="preserve"> cibo</w:t>
      </w:r>
      <w:r w:rsidR="001A2A73">
        <w:rPr>
          <w:rFonts w:ascii="Verdana" w:eastAsia="Verdana" w:hAnsi="Verdana" w:cs="Verdana"/>
          <w:iCs/>
          <w:sz w:val="20"/>
          <w:szCs w:val="20"/>
        </w:rPr>
        <w:t>, alle cure mediche</w:t>
      </w:r>
      <w:r w:rsidR="007A03C0">
        <w:rPr>
          <w:rFonts w:ascii="Verdana" w:eastAsia="Verdana" w:hAnsi="Verdana" w:cs="Verdana"/>
          <w:iCs/>
          <w:sz w:val="20"/>
          <w:szCs w:val="20"/>
        </w:rPr>
        <w:t xml:space="preserve"> ai luoghi riscaldati.</w:t>
      </w:r>
      <w:r w:rsidR="001A2A73">
        <w:rPr>
          <w:rFonts w:ascii="Verdana" w:eastAsia="Verdana" w:hAnsi="Verdana" w:cs="Verdana"/>
          <w:iCs/>
          <w:sz w:val="20"/>
          <w:szCs w:val="20"/>
        </w:rPr>
        <w:t xml:space="preserve"> A</w:t>
      </w:r>
      <w:r w:rsidR="0021706E">
        <w:rPr>
          <w:rFonts w:ascii="Verdana" w:eastAsia="Verdana" w:hAnsi="Verdana" w:cs="Verdana"/>
          <w:iCs/>
          <w:sz w:val="20"/>
          <w:szCs w:val="20"/>
        </w:rPr>
        <w:t xml:space="preserve">ll’origine, </w:t>
      </w:r>
      <w:r w:rsidR="001A2A73">
        <w:rPr>
          <w:rFonts w:ascii="Verdana" w:eastAsia="Verdana" w:hAnsi="Verdana" w:cs="Verdana"/>
          <w:iCs/>
          <w:sz w:val="20"/>
          <w:szCs w:val="20"/>
        </w:rPr>
        <w:t>i</w:t>
      </w:r>
      <w:r w:rsidR="009D5959">
        <w:rPr>
          <w:rFonts w:ascii="Verdana" w:eastAsia="Verdana" w:hAnsi="Verdana" w:cs="Verdana"/>
          <w:iCs/>
          <w:sz w:val="20"/>
          <w:szCs w:val="20"/>
        </w:rPr>
        <w:t xml:space="preserve"> danni </w:t>
      </w:r>
      <w:r w:rsidR="001A2A73">
        <w:rPr>
          <w:rFonts w:ascii="Verdana" w:eastAsia="Verdana" w:hAnsi="Verdana" w:cs="Verdana"/>
          <w:iCs/>
          <w:sz w:val="20"/>
          <w:szCs w:val="20"/>
        </w:rPr>
        <w:t xml:space="preserve">causati dagli attacchi militari </w:t>
      </w:r>
      <w:r w:rsidR="009D5959">
        <w:rPr>
          <w:rFonts w:ascii="Verdana" w:eastAsia="Verdana" w:hAnsi="Verdana" w:cs="Verdana"/>
          <w:iCs/>
          <w:sz w:val="20"/>
          <w:szCs w:val="20"/>
        </w:rPr>
        <w:t>alle abitazioni, l</w:t>
      </w:r>
      <w:r w:rsidR="00B375F1">
        <w:rPr>
          <w:rFonts w:ascii="Verdana" w:eastAsia="Verdana" w:hAnsi="Verdana" w:cs="Verdana"/>
          <w:iCs/>
          <w:sz w:val="20"/>
          <w:szCs w:val="20"/>
        </w:rPr>
        <w:t>’assenza di</w:t>
      </w:r>
      <w:r w:rsidR="009D5959">
        <w:rPr>
          <w:rFonts w:ascii="Verdana" w:eastAsia="Verdana" w:hAnsi="Verdana" w:cs="Verdana"/>
          <w:iCs/>
          <w:sz w:val="20"/>
          <w:szCs w:val="20"/>
        </w:rPr>
        <w:t xml:space="preserve"> lavoro, l’interruzione delle forniture di energia</w:t>
      </w:r>
      <w:r w:rsidR="001A2A73">
        <w:rPr>
          <w:rFonts w:ascii="Verdana" w:eastAsia="Verdana" w:hAnsi="Verdana" w:cs="Verdana"/>
          <w:iCs/>
          <w:sz w:val="20"/>
          <w:szCs w:val="20"/>
        </w:rPr>
        <w:t xml:space="preserve">. </w:t>
      </w:r>
      <w:r w:rsidR="0079189B">
        <w:rPr>
          <w:rFonts w:ascii="Verdana" w:eastAsia="Verdana" w:hAnsi="Verdana" w:cs="Verdana"/>
          <w:iCs/>
          <w:sz w:val="20"/>
          <w:szCs w:val="20"/>
        </w:rPr>
        <w:t xml:space="preserve">L’Onu ha stimato a dicembre che il 50% </w:t>
      </w:r>
      <w:r w:rsidR="001B1501">
        <w:rPr>
          <w:rFonts w:ascii="Verdana" w:eastAsia="Verdana" w:hAnsi="Verdana" w:cs="Verdana"/>
          <w:iCs/>
          <w:sz w:val="20"/>
          <w:szCs w:val="20"/>
        </w:rPr>
        <w:t>dell’infrastruttura energetica sia stata distrutta o danneggiata dagli attacchi russi, mettendo milioni di persone a rischio di malattie e morte</w:t>
      </w:r>
      <w:r w:rsidR="00CC7DBC">
        <w:rPr>
          <w:rFonts w:ascii="Verdana" w:eastAsia="Verdana" w:hAnsi="Verdana" w:cs="Verdana"/>
          <w:iCs/>
          <w:sz w:val="20"/>
          <w:szCs w:val="20"/>
        </w:rPr>
        <w:t>,</w:t>
      </w:r>
      <w:r w:rsidR="001B1501">
        <w:rPr>
          <w:rFonts w:ascii="Verdana" w:eastAsia="Verdana" w:hAnsi="Verdana" w:cs="Verdana"/>
          <w:iCs/>
          <w:sz w:val="20"/>
          <w:szCs w:val="20"/>
        </w:rPr>
        <w:t xml:space="preserve"> con temperature in calo fino a -20°. </w:t>
      </w:r>
      <w:r w:rsidR="00346923">
        <w:rPr>
          <w:rFonts w:ascii="Verdana" w:eastAsia="Verdana" w:hAnsi="Verdana" w:cs="Verdana"/>
          <w:iCs/>
          <w:sz w:val="20"/>
          <w:szCs w:val="20"/>
        </w:rPr>
        <w:t xml:space="preserve">La situazione è particolarmente </w:t>
      </w:r>
      <w:r w:rsidR="00CC7DBC">
        <w:rPr>
          <w:rFonts w:ascii="Verdana" w:eastAsia="Verdana" w:hAnsi="Verdana" w:cs="Verdana"/>
          <w:iCs/>
          <w:sz w:val="20"/>
          <w:szCs w:val="20"/>
        </w:rPr>
        <w:t>difficile</w:t>
      </w:r>
      <w:r w:rsidR="00346923"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F75EF6">
        <w:rPr>
          <w:rFonts w:ascii="Verdana" w:eastAsia="Verdana" w:hAnsi="Verdana" w:cs="Verdana"/>
          <w:iCs/>
          <w:sz w:val="20"/>
          <w:szCs w:val="20"/>
        </w:rPr>
        <w:t xml:space="preserve">per oltre 10 milioni di persone che vivono vicino alla linea del fronte, dove mancano acqua, riscaldamento, elettricità. </w:t>
      </w:r>
      <w:r w:rsidR="00996FD9" w:rsidRPr="00996FD9">
        <w:rPr>
          <w:rFonts w:ascii="Verdana" w:eastAsia="Verdana" w:hAnsi="Verdana" w:cs="Verdana"/>
          <w:iCs/>
          <w:sz w:val="20"/>
          <w:szCs w:val="20"/>
        </w:rPr>
        <w:t xml:space="preserve">Jaco Cilliers, </w:t>
      </w:r>
      <w:r w:rsidR="00996FD9">
        <w:rPr>
          <w:rFonts w:ascii="Verdana" w:eastAsia="Verdana" w:hAnsi="Verdana" w:cs="Verdana"/>
          <w:iCs/>
          <w:sz w:val="20"/>
          <w:szCs w:val="20"/>
        </w:rPr>
        <w:t>rappresentante permanente del Programma di sviluppo Onu in Ucraina</w:t>
      </w:r>
      <w:r w:rsidR="00996FD9" w:rsidRPr="00996FD9">
        <w:rPr>
          <w:rFonts w:ascii="Verdana" w:eastAsia="Verdana" w:hAnsi="Verdana" w:cs="Verdana"/>
          <w:iCs/>
          <w:sz w:val="20"/>
          <w:szCs w:val="20"/>
        </w:rPr>
        <w:t>,</w:t>
      </w:r>
      <w:r w:rsidR="00996FD9">
        <w:rPr>
          <w:rFonts w:ascii="Verdana" w:eastAsia="Verdana" w:hAnsi="Verdana" w:cs="Verdana"/>
          <w:iCs/>
          <w:sz w:val="20"/>
          <w:szCs w:val="20"/>
        </w:rPr>
        <w:t xml:space="preserve"> ha stimato c</w:t>
      </w:r>
      <w:r w:rsidR="00E837AB">
        <w:rPr>
          <w:rFonts w:ascii="Verdana" w:eastAsia="Verdana" w:hAnsi="Verdana" w:cs="Verdana"/>
          <w:iCs/>
          <w:sz w:val="20"/>
          <w:szCs w:val="20"/>
        </w:rPr>
        <w:t xml:space="preserve">he 18 milioni di </w:t>
      </w:r>
      <w:r w:rsidR="00CC7DBC">
        <w:rPr>
          <w:rFonts w:ascii="Verdana" w:eastAsia="Verdana" w:hAnsi="Verdana" w:cs="Verdana"/>
          <w:iCs/>
          <w:sz w:val="20"/>
          <w:szCs w:val="20"/>
        </w:rPr>
        <w:t>persone</w:t>
      </w:r>
      <w:r w:rsidR="00E837AB">
        <w:rPr>
          <w:rFonts w:ascii="Verdana" w:eastAsia="Verdana" w:hAnsi="Verdana" w:cs="Verdana"/>
          <w:iCs/>
          <w:sz w:val="20"/>
          <w:szCs w:val="20"/>
        </w:rPr>
        <w:t xml:space="preserve"> (</w:t>
      </w:r>
      <w:r w:rsidR="00CC7DBC">
        <w:rPr>
          <w:rFonts w:ascii="Verdana" w:eastAsia="Verdana" w:hAnsi="Verdana" w:cs="Verdana"/>
          <w:iCs/>
          <w:sz w:val="20"/>
          <w:szCs w:val="20"/>
        </w:rPr>
        <w:t>i</w:t>
      </w:r>
      <w:r w:rsidR="00E837AB">
        <w:rPr>
          <w:rFonts w:ascii="Verdana" w:eastAsia="Verdana" w:hAnsi="Verdana" w:cs="Verdana"/>
          <w:iCs/>
          <w:sz w:val="20"/>
          <w:szCs w:val="20"/>
        </w:rPr>
        <w:t xml:space="preserve">l 40% della popolazione) abbiano bisogno di aiuti umanitari. </w:t>
      </w:r>
    </w:p>
    <w:p w14:paraId="2AAE2684" w14:textId="67AFC7DF" w:rsidR="005111FF" w:rsidRDefault="00810585" w:rsidP="005111FF">
      <w:pPr>
        <w:spacing w:line="240" w:lineRule="auto"/>
        <w:jc w:val="both"/>
        <w:rPr>
          <w:rFonts w:ascii="Georgia" w:hAnsi="Georgia"/>
          <w:color w:val="222F3A"/>
          <w:shd w:val="clear" w:color="auto" w:fill="FFFFFF"/>
        </w:rPr>
      </w:pPr>
      <w:r w:rsidRPr="00F250DC">
        <w:rPr>
          <w:rFonts w:ascii="Verdana" w:eastAsia="Verdana" w:hAnsi="Verdana" w:cs="Verdana"/>
          <w:b/>
          <w:bCs/>
          <w:iCs/>
          <w:sz w:val="20"/>
          <w:szCs w:val="20"/>
        </w:rPr>
        <w:t>DISTRUZIONE</w:t>
      </w:r>
      <w:r w:rsidR="00007846" w:rsidRPr="00F250DC">
        <w:rPr>
          <w:rFonts w:ascii="Verdana" w:eastAsia="Verdana" w:hAnsi="Verdana" w:cs="Verdana"/>
          <w:b/>
          <w:bCs/>
          <w:iCs/>
          <w:sz w:val="20"/>
          <w:szCs w:val="20"/>
        </w:rPr>
        <w:t xml:space="preserve"> E DANNI ECONOMICI</w:t>
      </w:r>
      <w:r>
        <w:rPr>
          <w:rFonts w:ascii="Verdana" w:eastAsia="Verdana" w:hAnsi="Verdana" w:cs="Verdana"/>
          <w:iCs/>
          <w:sz w:val="20"/>
          <w:szCs w:val="20"/>
        </w:rPr>
        <w:t xml:space="preserve">. </w:t>
      </w:r>
      <w:r w:rsidR="007E66FD">
        <w:rPr>
          <w:rFonts w:ascii="Verdana" w:eastAsia="Verdana" w:hAnsi="Verdana" w:cs="Verdana"/>
          <w:iCs/>
          <w:sz w:val="20"/>
          <w:szCs w:val="20"/>
        </w:rPr>
        <w:t>L’Organizzazione mondiale della sanità (Oms) ha riferito che almeno 715 ospedali e strutture sanitarie sono stat</w:t>
      </w:r>
      <w:r w:rsidR="00C87015">
        <w:rPr>
          <w:rFonts w:ascii="Verdana" w:eastAsia="Verdana" w:hAnsi="Verdana" w:cs="Verdana"/>
          <w:iCs/>
          <w:sz w:val="20"/>
          <w:szCs w:val="20"/>
        </w:rPr>
        <w:t xml:space="preserve">i </w:t>
      </w:r>
      <w:r w:rsidR="007E66FD">
        <w:rPr>
          <w:rFonts w:ascii="Verdana" w:eastAsia="Verdana" w:hAnsi="Verdana" w:cs="Verdana"/>
          <w:iCs/>
          <w:sz w:val="20"/>
          <w:szCs w:val="20"/>
        </w:rPr>
        <w:t>distrutt</w:t>
      </w:r>
      <w:r w:rsidR="00C87015">
        <w:rPr>
          <w:rFonts w:ascii="Verdana" w:eastAsia="Verdana" w:hAnsi="Verdana" w:cs="Verdana"/>
          <w:iCs/>
          <w:sz w:val="20"/>
          <w:szCs w:val="20"/>
        </w:rPr>
        <w:t>i</w:t>
      </w:r>
      <w:r w:rsidR="007E66FD">
        <w:rPr>
          <w:rFonts w:ascii="Verdana" w:eastAsia="Verdana" w:hAnsi="Verdana" w:cs="Verdana"/>
          <w:iCs/>
          <w:sz w:val="20"/>
          <w:szCs w:val="20"/>
        </w:rPr>
        <w:t xml:space="preserve"> o danneggia</w:t>
      </w:r>
      <w:r w:rsidR="00C87015">
        <w:rPr>
          <w:rFonts w:ascii="Verdana" w:eastAsia="Verdana" w:hAnsi="Verdana" w:cs="Verdana"/>
          <w:iCs/>
          <w:sz w:val="20"/>
          <w:szCs w:val="20"/>
        </w:rPr>
        <w:t>ti dagli attacchi russi</w:t>
      </w:r>
      <w:r w:rsidR="007E66FD">
        <w:rPr>
          <w:rFonts w:ascii="Verdana" w:eastAsia="Verdana" w:hAnsi="Verdana" w:cs="Verdana"/>
          <w:iCs/>
          <w:sz w:val="20"/>
          <w:szCs w:val="20"/>
        </w:rPr>
        <w:t>, mettendo</w:t>
      </w:r>
      <w:r w:rsidR="004960F8">
        <w:rPr>
          <w:rFonts w:ascii="Verdana" w:eastAsia="Verdana" w:hAnsi="Verdana" w:cs="Verdana"/>
          <w:iCs/>
          <w:sz w:val="20"/>
          <w:szCs w:val="20"/>
        </w:rPr>
        <w:t xml:space="preserve"> così</w:t>
      </w:r>
      <w:r w:rsidR="007E66FD">
        <w:rPr>
          <w:rFonts w:ascii="Verdana" w:eastAsia="Verdana" w:hAnsi="Verdana" w:cs="Verdana"/>
          <w:iCs/>
          <w:sz w:val="20"/>
          <w:szCs w:val="20"/>
        </w:rPr>
        <w:t xml:space="preserve"> a rischio la possibilità di curarsi</w:t>
      </w:r>
      <w:r w:rsidR="007E66FD">
        <w:rPr>
          <w:rStyle w:val="Rimandonotaapidipagina"/>
          <w:rFonts w:ascii="Verdana" w:eastAsia="Verdana" w:hAnsi="Verdana" w:cs="Verdana"/>
          <w:iCs/>
          <w:sz w:val="20"/>
          <w:szCs w:val="20"/>
        </w:rPr>
        <w:footnoteReference w:id="4"/>
      </w:r>
      <w:r w:rsidR="007E66FD">
        <w:rPr>
          <w:rFonts w:ascii="Verdana" w:eastAsia="Verdana" w:hAnsi="Verdana" w:cs="Verdana"/>
          <w:iCs/>
          <w:sz w:val="20"/>
          <w:szCs w:val="20"/>
        </w:rPr>
        <w:t xml:space="preserve">. </w:t>
      </w:r>
      <w:r w:rsidR="004F6E3B">
        <w:rPr>
          <w:rFonts w:ascii="Verdana" w:eastAsia="Verdana" w:hAnsi="Verdana" w:cs="Verdana"/>
          <w:iCs/>
          <w:sz w:val="20"/>
          <w:szCs w:val="20"/>
        </w:rPr>
        <w:t>La piatt</w:t>
      </w:r>
      <w:r w:rsidR="00FE7A9C">
        <w:rPr>
          <w:rFonts w:ascii="Verdana" w:eastAsia="Verdana" w:hAnsi="Verdana" w:cs="Verdana"/>
          <w:iCs/>
          <w:sz w:val="20"/>
          <w:szCs w:val="20"/>
        </w:rPr>
        <w:t xml:space="preserve">aforma </w:t>
      </w:r>
      <w:r w:rsidR="003E4388">
        <w:rPr>
          <w:rFonts w:ascii="Verdana" w:eastAsia="Verdana" w:hAnsi="Verdana" w:cs="Verdana"/>
          <w:iCs/>
          <w:sz w:val="20"/>
          <w:szCs w:val="20"/>
        </w:rPr>
        <w:t>S</w:t>
      </w:r>
      <w:r w:rsidR="00FE7A9C">
        <w:rPr>
          <w:rFonts w:ascii="Verdana" w:eastAsia="Verdana" w:hAnsi="Verdana" w:cs="Verdana"/>
          <w:iCs/>
          <w:sz w:val="20"/>
          <w:szCs w:val="20"/>
        </w:rPr>
        <w:t xml:space="preserve">tatista ha </w:t>
      </w:r>
      <w:r w:rsidR="007F4529">
        <w:rPr>
          <w:rFonts w:ascii="Verdana" w:eastAsia="Verdana" w:hAnsi="Verdana" w:cs="Verdana"/>
          <w:iCs/>
          <w:sz w:val="20"/>
          <w:szCs w:val="20"/>
        </w:rPr>
        <w:t xml:space="preserve">inoltre </w:t>
      </w:r>
      <w:r w:rsidR="004960F8">
        <w:rPr>
          <w:rFonts w:ascii="Verdana" w:eastAsia="Verdana" w:hAnsi="Verdana" w:cs="Verdana"/>
          <w:iCs/>
          <w:sz w:val="20"/>
          <w:szCs w:val="20"/>
        </w:rPr>
        <w:t>elaborato una stima economica de</w:t>
      </w:r>
      <w:r w:rsidR="00FE7A9C">
        <w:rPr>
          <w:rFonts w:ascii="Verdana" w:eastAsia="Verdana" w:hAnsi="Verdana" w:cs="Verdana"/>
          <w:iCs/>
          <w:sz w:val="20"/>
          <w:szCs w:val="20"/>
        </w:rPr>
        <w:t xml:space="preserve">i </w:t>
      </w:r>
      <w:r w:rsidR="009D526A">
        <w:rPr>
          <w:rFonts w:ascii="Verdana" w:eastAsia="Verdana" w:hAnsi="Verdana" w:cs="Verdana"/>
          <w:iCs/>
          <w:sz w:val="20"/>
          <w:szCs w:val="20"/>
        </w:rPr>
        <w:t xml:space="preserve">danni alle infrastrutture in Ucraina, </w:t>
      </w:r>
      <w:r w:rsidR="004960F8">
        <w:rPr>
          <w:rFonts w:ascii="Verdana" w:eastAsia="Verdana" w:hAnsi="Verdana" w:cs="Verdana"/>
          <w:iCs/>
          <w:sz w:val="20"/>
          <w:szCs w:val="20"/>
        </w:rPr>
        <w:t xml:space="preserve">paria </w:t>
      </w:r>
      <w:r w:rsidR="00DB15BD">
        <w:rPr>
          <w:rFonts w:ascii="Verdana" w:eastAsia="Verdana" w:hAnsi="Verdana" w:cs="Verdana"/>
          <w:iCs/>
          <w:sz w:val="20"/>
          <w:szCs w:val="20"/>
        </w:rPr>
        <w:t xml:space="preserve">a 127 miliardi di dollari. In particolare, </w:t>
      </w:r>
      <w:r w:rsidR="009D526A">
        <w:rPr>
          <w:rFonts w:ascii="Verdana" w:eastAsia="Verdana" w:hAnsi="Verdana" w:cs="Verdana"/>
          <w:iCs/>
          <w:sz w:val="20"/>
          <w:szCs w:val="20"/>
        </w:rPr>
        <w:t xml:space="preserve">quelli agli edifici residenziali a oltre 50 miliardi di dollari, </w:t>
      </w:r>
      <w:r w:rsidR="00044B7C">
        <w:rPr>
          <w:rFonts w:ascii="Verdana" w:eastAsia="Verdana" w:hAnsi="Verdana" w:cs="Verdana"/>
          <w:iCs/>
          <w:sz w:val="20"/>
          <w:szCs w:val="20"/>
        </w:rPr>
        <w:t xml:space="preserve">alle infrastrutture </w:t>
      </w:r>
      <w:r w:rsidR="00044B7C">
        <w:rPr>
          <w:rFonts w:ascii="Verdana" w:eastAsia="Verdana" w:hAnsi="Verdana" w:cs="Verdana"/>
          <w:iCs/>
          <w:sz w:val="20"/>
          <w:szCs w:val="20"/>
        </w:rPr>
        <w:lastRenderedPageBreak/>
        <w:t xml:space="preserve">dei trasporti a oltre 35 miliardi, </w:t>
      </w:r>
      <w:r w:rsidR="00BA673A">
        <w:rPr>
          <w:rFonts w:ascii="Verdana" w:eastAsia="Verdana" w:hAnsi="Verdana" w:cs="Verdana"/>
          <w:iCs/>
          <w:sz w:val="20"/>
          <w:szCs w:val="20"/>
        </w:rPr>
        <w:t>all’apparato industriale circa 10 miliardi, alle strutture educative 7 miliardi</w:t>
      </w:r>
      <w:r w:rsidR="00AA6492">
        <w:rPr>
          <w:rFonts w:ascii="Verdana" w:eastAsia="Verdana" w:hAnsi="Verdana" w:cs="Verdana"/>
          <w:iCs/>
          <w:sz w:val="20"/>
          <w:szCs w:val="20"/>
        </w:rPr>
        <w:t xml:space="preserve"> e al settore agricolo 6,6 miliardi</w:t>
      </w:r>
      <w:r w:rsidR="00AA6492" w:rsidRPr="003E4388">
        <w:rPr>
          <w:vertAlign w:val="superscript"/>
        </w:rPr>
        <w:footnoteReference w:id="5"/>
      </w:r>
      <w:r w:rsidR="00AA6492">
        <w:rPr>
          <w:rFonts w:ascii="Verdana" w:eastAsia="Verdana" w:hAnsi="Verdana" w:cs="Verdana"/>
          <w:iCs/>
          <w:sz w:val="20"/>
          <w:szCs w:val="20"/>
        </w:rPr>
        <w:t>.</w:t>
      </w:r>
    </w:p>
    <w:p w14:paraId="71F57E05" w14:textId="7F6F4322" w:rsidR="00967F10" w:rsidRDefault="007E66FD" w:rsidP="00967F10">
      <w:pPr>
        <w:spacing w:line="240" w:lineRule="auto"/>
        <w:jc w:val="both"/>
        <w:rPr>
          <w:rFonts w:ascii="Verdana" w:eastAsia="Verdana" w:hAnsi="Verdana" w:cs="Verdana"/>
          <w:iCs/>
          <w:sz w:val="20"/>
          <w:szCs w:val="20"/>
        </w:rPr>
      </w:pPr>
      <w:r>
        <w:rPr>
          <w:rFonts w:ascii="Verdana" w:eastAsia="Verdana" w:hAnsi="Verdana" w:cs="Verdana"/>
          <w:iCs/>
          <w:sz w:val="20"/>
          <w:szCs w:val="20"/>
        </w:rPr>
        <w:t>I</w:t>
      </w:r>
      <w:r w:rsidR="00B17F7F">
        <w:rPr>
          <w:rFonts w:ascii="Verdana" w:eastAsia="Verdana" w:hAnsi="Verdana" w:cs="Verdana"/>
          <w:iCs/>
          <w:sz w:val="20"/>
          <w:szCs w:val="20"/>
        </w:rPr>
        <w:t xml:space="preserve">l Pil è calato </w:t>
      </w:r>
      <w:r w:rsidR="00A443F0">
        <w:rPr>
          <w:rFonts w:ascii="Verdana" w:eastAsia="Verdana" w:hAnsi="Verdana" w:cs="Verdana"/>
          <w:iCs/>
          <w:sz w:val="20"/>
          <w:szCs w:val="20"/>
        </w:rPr>
        <w:t xml:space="preserve">del 30,4% nel 2022, secondo </w:t>
      </w:r>
      <w:r>
        <w:rPr>
          <w:rFonts w:ascii="Verdana" w:eastAsia="Verdana" w:hAnsi="Verdana" w:cs="Verdana"/>
          <w:iCs/>
          <w:sz w:val="20"/>
          <w:szCs w:val="20"/>
        </w:rPr>
        <w:t>il</w:t>
      </w:r>
      <w:r w:rsidR="00A443F0">
        <w:rPr>
          <w:rFonts w:ascii="Verdana" w:eastAsia="Verdana" w:hAnsi="Verdana" w:cs="Verdana"/>
          <w:iCs/>
          <w:sz w:val="20"/>
          <w:szCs w:val="20"/>
        </w:rPr>
        <w:t xml:space="preserve"> ministero dell’Economia di Kiev, dato che coincide con le stime preliminari del governo. </w:t>
      </w:r>
      <w:r w:rsidR="006516DB">
        <w:rPr>
          <w:rFonts w:ascii="Verdana" w:eastAsia="Verdana" w:hAnsi="Verdana" w:cs="Verdana"/>
          <w:iCs/>
          <w:sz w:val="20"/>
          <w:szCs w:val="20"/>
        </w:rPr>
        <w:t>«</w:t>
      </w:r>
      <w:r w:rsidR="00A443F0" w:rsidRPr="00A443F0">
        <w:rPr>
          <w:rFonts w:ascii="Verdana" w:eastAsia="Verdana" w:hAnsi="Verdana" w:cs="Verdana"/>
          <w:iCs/>
          <w:sz w:val="20"/>
          <w:szCs w:val="20"/>
        </w:rPr>
        <w:t>Nel 2022, l’economia ucraina ha subito le maggiori perdite e</w:t>
      </w:r>
      <w:r w:rsidR="00A443F0">
        <w:rPr>
          <w:rFonts w:ascii="Verdana" w:eastAsia="Verdana" w:hAnsi="Verdana" w:cs="Verdana"/>
          <w:iCs/>
          <w:sz w:val="20"/>
          <w:szCs w:val="20"/>
        </w:rPr>
        <w:t xml:space="preserve"> i maggiori</w:t>
      </w:r>
      <w:r w:rsidR="00A443F0" w:rsidRPr="00A443F0">
        <w:rPr>
          <w:rFonts w:ascii="Verdana" w:eastAsia="Verdana" w:hAnsi="Verdana" w:cs="Verdana"/>
          <w:iCs/>
          <w:sz w:val="20"/>
          <w:szCs w:val="20"/>
        </w:rPr>
        <w:t xml:space="preserve"> danni nella sua storia di indipendenza, causati dalla Federazione Russa</w:t>
      </w:r>
      <w:r w:rsidR="006516DB">
        <w:rPr>
          <w:rFonts w:ascii="Verdana" w:eastAsia="Verdana" w:hAnsi="Verdana" w:cs="Verdana"/>
          <w:iCs/>
          <w:sz w:val="20"/>
          <w:szCs w:val="20"/>
        </w:rPr>
        <w:t>»</w:t>
      </w:r>
      <w:r w:rsidR="00A443F0">
        <w:rPr>
          <w:rFonts w:ascii="Verdana" w:eastAsia="Verdana" w:hAnsi="Verdana" w:cs="Verdana"/>
          <w:iCs/>
          <w:sz w:val="20"/>
          <w:szCs w:val="20"/>
        </w:rPr>
        <w:t xml:space="preserve">, ha commentato la ministra dell’Economia di Kiev, </w:t>
      </w:r>
      <w:r w:rsidR="00BB4EBB" w:rsidRPr="00BB4EBB">
        <w:rPr>
          <w:rFonts w:ascii="Verdana" w:eastAsia="Verdana" w:hAnsi="Verdana" w:cs="Verdana"/>
          <w:iCs/>
          <w:sz w:val="20"/>
          <w:szCs w:val="20"/>
        </w:rPr>
        <w:t>Julija Svyrydenko</w:t>
      </w:r>
      <w:r w:rsidR="00BB4EBB">
        <w:rPr>
          <w:rFonts w:ascii="Verdana" w:eastAsia="Verdana" w:hAnsi="Verdana" w:cs="Verdana"/>
          <w:iCs/>
          <w:sz w:val="20"/>
          <w:szCs w:val="20"/>
        </w:rPr>
        <w:t>.</w:t>
      </w:r>
      <w:bookmarkStart w:id="0" w:name="_gjdgxs" w:colFirst="0" w:colLast="0"/>
      <w:bookmarkEnd w:id="0"/>
      <w:r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2B7248">
        <w:rPr>
          <w:rFonts w:ascii="Verdana" w:eastAsia="Verdana" w:hAnsi="Verdana" w:cs="Verdana"/>
          <w:iCs/>
          <w:sz w:val="20"/>
          <w:szCs w:val="20"/>
        </w:rPr>
        <w:t>Nel frattempo, almeno 335 compagnie straniere hanno lasciato del tutto la Russia, mentre 500 hanno sospeso temporaneamente o del tutto le loro operazioni nel Paese</w:t>
      </w:r>
      <w:r w:rsidR="00FB1523">
        <w:rPr>
          <w:rStyle w:val="Rimandonotaapidipagina"/>
          <w:rFonts w:ascii="Verdana" w:eastAsia="Verdana" w:hAnsi="Verdana" w:cs="Verdana"/>
          <w:iCs/>
          <w:sz w:val="20"/>
          <w:szCs w:val="20"/>
        </w:rPr>
        <w:footnoteReference w:id="6"/>
      </w:r>
      <w:r w:rsidR="00D0538B">
        <w:rPr>
          <w:rFonts w:ascii="Verdana" w:eastAsia="Verdana" w:hAnsi="Verdana" w:cs="Verdana"/>
          <w:iCs/>
          <w:sz w:val="20"/>
          <w:szCs w:val="20"/>
        </w:rPr>
        <w:t xml:space="preserve">. Per quanto riguarda le sanzioni internazionali, </w:t>
      </w:r>
      <w:r w:rsidR="002A6E8D">
        <w:rPr>
          <w:rFonts w:ascii="Verdana" w:eastAsia="Verdana" w:hAnsi="Verdana" w:cs="Verdana"/>
          <w:iCs/>
          <w:sz w:val="20"/>
          <w:szCs w:val="20"/>
        </w:rPr>
        <w:t>dal 2014 a Mosca sono state imposte 2.778 sanzioni, di cui 1.827 decise dopo l’invas</w:t>
      </w:r>
      <w:r w:rsidR="00967F10">
        <w:rPr>
          <w:rFonts w:ascii="Verdana" w:eastAsia="Verdana" w:hAnsi="Verdana" w:cs="Verdana"/>
          <w:iCs/>
          <w:sz w:val="20"/>
          <w:szCs w:val="20"/>
        </w:rPr>
        <w:t xml:space="preserve">ione. L’Unione europea ne ha imposte </w:t>
      </w:r>
      <w:r w:rsidR="004E1480">
        <w:rPr>
          <w:rFonts w:ascii="Verdana" w:eastAsia="Verdana" w:hAnsi="Verdana" w:cs="Verdana"/>
          <w:iCs/>
          <w:sz w:val="20"/>
          <w:szCs w:val="20"/>
        </w:rPr>
        <w:t>1.444, di cui 1.196 nell’ultimo anno</w:t>
      </w:r>
      <w:r w:rsidR="004E1480">
        <w:rPr>
          <w:rStyle w:val="Rimandonotaapidipagina"/>
          <w:rFonts w:ascii="Verdana" w:eastAsia="Verdana" w:hAnsi="Verdana" w:cs="Verdana"/>
          <w:iCs/>
          <w:sz w:val="20"/>
          <w:szCs w:val="20"/>
        </w:rPr>
        <w:footnoteReference w:id="7"/>
      </w:r>
      <w:r w:rsidR="004E1480">
        <w:rPr>
          <w:rFonts w:ascii="Verdana" w:eastAsia="Verdana" w:hAnsi="Verdana" w:cs="Verdana"/>
          <w:iCs/>
          <w:sz w:val="20"/>
          <w:szCs w:val="20"/>
        </w:rPr>
        <w:t xml:space="preserve">. </w:t>
      </w:r>
    </w:p>
    <w:p w14:paraId="36E8E493" w14:textId="2AA5F584" w:rsidR="002B7248" w:rsidRDefault="00F250DC" w:rsidP="00BB4EBB">
      <w:pPr>
        <w:spacing w:line="240" w:lineRule="auto"/>
        <w:jc w:val="both"/>
        <w:rPr>
          <w:rFonts w:ascii="Verdana" w:eastAsia="Verdana" w:hAnsi="Verdana" w:cs="Verdana"/>
          <w:iCs/>
          <w:sz w:val="20"/>
          <w:szCs w:val="20"/>
        </w:rPr>
      </w:pPr>
      <w:r w:rsidRPr="00F250DC">
        <w:rPr>
          <w:rFonts w:ascii="Verdana" w:eastAsia="Verdana" w:hAnsi="Verdana" w:cs="Verdana"/>
          <w:b/>
          <w:bCs/>
          <w:iCs/>
          <w:sz w:val="20"/>
          <w:szCs w:val="20"/>
        </w:rPr>
        <w:t>MINE E NUCLEARE</w:t>
      </w:r>
      <w:r>
        <w:rPr>
          <w:rFonts w:ascii="Verdana" w:eastAsia="Verdana" w:hAnsi="Verdana" w:cs="Verdana"/>
          <w:iCs/>
          <w:sz w:val="20"/>
          <w:szCs w:val="20"/>
        </w:rPr>
        <w:t xml:space="preserve">. </w:t>
      </w:r>
      <w:r w:rsidR="008B3813">
        <w:rPr>
          <w:rFonts w:ascii="Verdana" w:eastAsia="Verdana" w:hAnsi="Verdana" w:cs="Verdana"/>
          <w:iCs/>
          <w:sz w:val="20"/>
          <w:szCs w:val="20"/>
        </w:rPr>
        <w:t xml:space="preserve">Il premier ucraino, Denys Shmyhal, ha denunciato che </w:t>
      </w:r>
      <w:r w:rsidR="007575D2">
        <w:rPr>
          <w:rFonts w:ascii="Verdana" w:eastAsia="Verdana" w:hAnsi="Verdana" w:cs="Verdana"/>
          <w:iCs/>
          <w:sz w:val="20"/>
          <w:szCs w:val="20"/>
        </w:rPr>
        <w:t>250mila chilometri quadrati di territorio sono minati</w:t>
      </w:r>
      <w:r w:rsidR="00300CC9">
        <w:rPr>
          <w:rFonts w:ascii="Verdana" w:eastAsia="Verdana" w:hAnsi="Verdana" w:cs="Verdana"/>
          <w:iCs/>
          <w:sz w:val="20"/>
          <w:szCs w:val="20"/>
        </w:rPr>
        <w:t>, descr</w:t>
      </w:r>
      <w:r w:rsidR="003E4388">
        <w:rPr>
          <w:rFonts w:ascii="Verdana" w:eastAsia="Verdana" w:hAnsi="Verdana" w:cs="Verdana"/>
          <w:iCs/>
          <w:sz w:val="20"/>
          <w:szCs w:val="20"/>
        </w:rPr>
        <w:t xml:space="preserve">ivendo l’area </w:t>
      </w:r>
      <w:r w:rsidR="00300CC9">
        <w:rPr>
          <w:rFonts w:ascii="Verdana" w:eastAsia="Verdana" w:hAnsi="Verdana" w:cs="Verdana"/>
          <w:iCs/>
          <w:sz w:val="20"/>
          <w:szCs w:val="20"/>
        </w:rPr>
        <w:t>come oltre il 40% delle zone aperte</w:t>
      </w:r>
      <w:r w:rsidR="007575D2">
        <w:rPr>
          <w:rFonts w:ascii="Verdana" w:eastAsia="Verdana" w:hAnsi="Verdana" w:cs="Verdana"/>
          <w:iCs/>
          <w:sz w:val="20"/>
          <w:szCs w:val="20"/>
        </w:rPr>
        <w:t xml:space="preserve">: </w:t>
      </w:r>
      <w:r w:rsidR="006516DB">
        <w:rPr>
          <w:rFonts w:ascii="Verdana" w:eastAsia="Verdana" w:hAnsi="Verdana" w:cs="Verdana"/>
          <w:iCs/>
          <w:sz w:val="20"/>
          <w:szCs w:val="20"/>
        </w:rPr>
        <w:t>«</w:t>
      </w:r>
      <w:r w:rsidR="007575D2">
        <w:rPr>
          <w:rFonts w:ascii="Verdana" w:eastAsia="Verdana" w:hAnsi="Verdana" w:cs="Verdana"/>
          <w:iCs/>
          <w:sz w:val="20"/>
          <w:szCs w:val="20"/>
        </w:rPr>
        <w:t>E’ il più grande campo minato del mondo</w:t>
      </w:r>
      <w:r w:rsidR="006516DB">
        <w:rPr>
          <w:rFonts w:ascii="Verdana" w:eastAsia="Verdana" w:hAnsi="Verdana" w:cs="Verdana"/>
          <w:iCs/>
          <w:sz w:val="20"/>
          <w:szCs w:val="20"/>
        </w:rPr>
        <w:t>»</w:t>
      </w:r>
      <w:r w:rsidR="007575D2">
        <w:rPr>
          <w:rFonts w:ascii="Verdana" w:eastAsia="Verdana" w:hAnsi="Verdana" w:cs="Verdana"/>
          <w:iCs/>
          <w:sz w:val="20"/>
          <w:szCs w:val="20"/>
        </w:rPr>
        <w:t>, ha detto all’agenzia Yonhap</w:t>
      </w:r>
      <w:r w:rsidR="00300CC9">
        <w:rPr>
          <w:rFonts w:ascii="Verdana" w:eastAsia="Verdana" w:hAnsi="Verdana" w:cs="Verdana"/>
          <w:iCs/>
          <w:sz w:val="20"/>
          <w:szCs w:val="20"/>
        </w:rPr>
        <w:t xml:space="preserve"> l’8 gennaio. </w:t>
      </w:r>
      <w:r w:rsidR="00F3326E">
        <w:rPr>
          <w:rFonts w:ascii="Verdana" w:eastAsia="Verdana" w:hAnsi="Verdana" w:cs="Verdana"/>
          <w:iCs/>
          <w:sz w:val="20"/>
          <w:szCs w:val="20"/>
        </w:rPr>
        <w:t xml:space="preserve">Situazione, ha denunciato, che non solo rende difficili e rischiosi gli spostamenti, ma ostacola anche l’agricoltura e l’allevamento, tra i settori </w:t>
      </w:r>
      <w:r w:rsidR="00C6442D">
        <w:rPr>
          <w:rFonts w:ascii="Verdana" w:eastAsia="Verdana" w:hAnsi="Verdana" w:cs="Verdana"/>
          <w:iCs/>
          <w:sz w:val="20"/>
          <w:szCs w:val="20"/>
        </w:rPr>
        <w:t xml:space="preserve">economici principali. </w:t>
      </w:r>
    </w:p>
    <w:p w14:paraId="377818A8" w14:textId="4F3C9C3D" w:rsidR="00574277" w:rsidRPr="00D31242" w:rsidRDefault="00890F6B" w:rsidP="00D31242">
      <w:pPr>
        <w:spacing w:line="240" w:lineRule="auto"/>
        <w:jc w:val="both"/>
        <w:rPr>
          <w:rFonts w:ascii="Verdana" w:eastAsia="Verdana" w:hAnsi="Verdana" w:cs="Verdana"/>
          <w:iCs/>
          <w:sz w:val="20"/>
          <w:szCs w:val="20"/>
        </w:rPr>
      </w:pPr>
      <w:r>
        <w:rPr>
          <w:rFonts w:ascii="Verdana" w:eastAsia="Verdana" w:hAnsi="Verdana" w:cs="Verdana"/>
          <w:iCs/>
          <w:sz w:val="20"/>
          <w:szCs w:val="20"/>
        </w:rPr>
        <w:t>L</w:t>
      </w:r>
      <w:r w:rsidR="00574277">
        <w:rPr>
          <w:rFonts w:ascii="Verdana" w:eastAsia="Verdana" w:hAnsi="Verdana" w:cs="Verdana"/>
          <w:iCs/>
          <w:sz w:val="20"/>
          <w:szCs w:val="20"/>
        </w:rPr>
        <w:t xml:space="preserve">’Agenzia internazionale per l’energia atomica (Aiea) ha annunciato </w:t>
      </w:r>
      <w:r w:rsidR="00914AB1">
        <w:rPr>
          <w:rFonts w:ascii="Verdana" w:eastAsia="Verdana" w:hAnsi="Verdana" w:cs="Verdana"/>
          <w:iCs/>
          <w:sz w:val="20"/>
          <w:szCs w:val="20"/>
        </w:rPr>
        <w:t>il rafforzamento del</w:t>
      </w:r>
      <w:r w:rsidR="008F1D45">
        <w:rPr>
          <w:rFonts w:ascii="Verdana" w:eastAsia="Verdana" w:hAnsi="Verdana" w:cs="Verdana"/>
          <w:iCs/>
          <w:sz w:val="20"/>
          <w:szCs w:val="20"/>
        </w:rPr>
        <w:t>la sua presenza in Ucraina,</w:t>
      </w:r>
      <w:r w:rsidR="0048098A">
        <w:rPr>
          <w:rFonts w:ascii="Verdana" w:eastAsia="Verdana" w:hAnsi="Verdana" w:cs="Verdana"/>
          <w:iCs/>
          <w:sz w:val="20"/>
          <w:szCs w:val="20"/>
        </w:rPr>
        <w:t xml:space="preserve"> dispiega</w:t>
      </w:r>
      <w:r>
        <w:rPr>
          <w:rFonts w:ascii="Verdana" w:eastAsia="Verdana" w:hAnsi="Verdana" w:cs="Verdana"/>
          <w:iCs/>
          <w:sz w:val="20"/>
          <w:szCs w:val="20"/>
        </w:rPr>
        <w:t>ndo</w:t>
      </w:r>
      <w:r w:rsidR="0048098A">
        <w:rPr>
          <w:rFonts w:ascii="Verdana" w:eastAsia="Verdana" w:hAnsi="Verdana" w:cs="Verdana"/>
          <w:iCs/>
          <w:sz w:val="20"/>
          <w:szCs w:val="20"/>
        </w:rPr>
        <w:t xml:space="preserve"> in via</w:t>
      </w:r>
      <w:r w:rsidR="008F1D45">
        <w:rPr>
          <w:rFonts w:ascii="Verdana" w:eastAsia="Verdana" w:hAnsi="Verdana" w:cs="Verdana"/>
          <w:iCs/>
          <w:sz w:val="20"/>
          <w:szCs w:val="20"/>
        </w:rPr>
        <w:t xml:space="preserve"> permanente esperti in tutte le </w:t>
      </w:r>
      <w:r w:rsidR="0048098A">
        <w:rPr>
          <w:rFonts w:ascii="Verdana" w:eastAsia="Verdana" w:hAnsi="Verdana" w:cs="Verdana"/>
          <w:iCs/>
          <w:sz w:val="20"/>
          <w:szCs w:val="20"/>
        </w:rPr>
        <w:t xml:space="preserve">cinque </w:t>
      </w:r>
      <w:r w:rsidR="00D32F24">
        <w:rPr>
          <w:rFonts w:ascii="Verdana" w:eastAsia="Verdana" w:hAnsi="Verdana" w:cs="Verdana"/>
          <w:iCs/>
          <w:sz w:val="20"/>
          <w:szCs w:val="20"/>
        </w:rPr>
        <w:t>centrali</w:t>
      </w:r>
      <w:r w:rsidR="00D31242">
        <w:rPr>
          <w:rFonts w:ascii="Verdana" w:eastAsia="Verdana" w:hAnsi="Verdana" w:cs="Verdana"/>
          <w:iCs/>
          <w:sz w:val="20"/>
          <w:szCs w:val="20"/>
        </w:rPr>
        <w:t>, per evitare incident</w:t>
      </w:r>
      <w:r w:rsidR="00BB2B1A">
        <w:rPr>
          <w:rFonts w:ascii="Verdana" w:eastAsia="Verdana" w:hAnsi="Verdana" w:cs="Verdana"/>
          <w:iCs/>
          <w:sz w:val="20"/>
          <w:szCs w:val="20"/>
        </w:rPr>
        <w:t>i</w:t>
      </w:r>
      <w:r w:rsidR="00D31242">
        <w:rPr>
          <w:rFonts w:ascii="Verdana" w:eastAsia="Verdana" w:hAnsi="Verdana" w:cs="Verdana"/>
          <w:iCs/>
          <w:sz w:val="20"/>
          <w:szCs w:val="20"/>
        </w:rPr>
        <w:t xml:space="preserve"> nuclear</w:t>
      </w:r>
      <w:r w:rsidR="00BB2B1A">
        <w:rPr>
          <w:rFonts w:ascii="Verdana" w:eastAsia="Verdana" w:hAnsi="Verdana" w:cs="Verdana"/>
          <w:iCs/>
          <w:sz w:val="20"/>
          <w:szCs w:val="20"/>
        </w:rPr>
        <w:t>i</w:t>
      </w:r>
      <w:r w:rsidR="00D31242">
        <w:rPr>
          <w:rFonts w:ascii="Verdana" w:eastAsia="Verdana" w:hAnsi="Verdana" w:cs="Verdana"/>
          <w:iCs/>
          <w:sz w:val="20"/>
          <w:szCs w:val="20"/>
        </w:rPr>
        <w:t xml:space="preserve"> nell’attuale conflitto militare.</w:t>
      </w:r>
      <w:r w:rsidR="00FE1CE6"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DE1CA2">
        <w:rPr>
          <w:rFonts w:ascii="Verdana" w:eastAsia="Verdana" w:hAnsi="Verdana" w:cs="Verdana"/>
          <w:iCs/>
          <w:sz w:val="20"/>
          <w:szCs w:val="20"/>
        </w:rPr>
        <w:t xml:space="preserve">Ha lanciato l’allarme, </w:t>
      </w:r>
      <w:r w:rsidR="00BB2B1A">
        <w:rPr>
          <w:rFonts w:ascii="Verdana" w:eastAsia="Verdana" w:hAnsi="Verdana" w:cs="Verdana"/>
          <w:iCs/>
          <w:sz w:val="20"/>
          <w:szCs w:val="20"/>
        </w:rPr>
        <w:t>in particolare</w:t>
      </w:r>
      <w:r w:rsidR="00DE1CA2">
        <w:rPr>
          <w:rFonts w:ascii="Verdana" w:eastAsia="Verdana" w:hAnsi="Verdana" w:cs="Verdana"/>
          <w:iCs/>
          <w:sz w:val="20"/>
          <w:szCs w:val="20"/>
        </w:rPr>
        <w:t>, sull’</w:t>
      </w:r>
      <w:r w:rsidR="00D32F24">
        <w:rPr>
          <w:rFonts w:ascii="Verdana" w:eastAsia="Verdana" w:hAnsi="Verdana" w:cs="Verdana"/>
          <w:iCs/>
          <w:sz w:val="20"/>
          <w:szCs w:val="20"/>
        </w:rPr>
        <w:t xml:space="preserve">impianto </w:t>
      </w:r>
      <w:r w:rsidR="00D31242">
        <w:rPr>
          <w:rFonts w:ascii="Verdana" w:eastAsia="Verdana" w:hAnsi="Verdana" w:cs="Verdana"/>
          <w:iCs/>
          <w:sz w:val="20"/>
          <w:szCs w:val="20"/>
        </w:rPr>
        <w:t>di Zaporizh</w:t>
      </w:r>
      <w:r w:rsidR="00F76002">
        <w:rPr>
          <w:rFonts w:ascii="Verdana" w:eastAsia="Verdana" w:hAnsi="Verdana" w:cs="Verdana"/>
          <w:iCs/>
          <w:sz w:val="20"/>
          <w:szCs w:val="20"/>
        </w:rPr>
        <w:t>zhya, controllat</w:t>
      </w:r>
      <w:r w:rsidR="00D32F24">
        <w:rPr>
          <w:rFonts w:ascii="Verdana" w:eastAsia="Verdana" w:hAnsi="Verdana" w:cs="Verdana"/>
          <w:iCs/>
          <w:sz w:val="20"/>
          <w:szCs w:val="20"/>
        </w:rPr>
        <w:t>o</w:t>
      </w:r>
      <w:r w:rsidR="00F76002">
        <w:rPr>
          <w:rFonts w:ascii="Verdana" w:eastAsia="Verdana" w:hAnsi="Verdana" w:cs="Verdana"/>
          <w:iCs/>
          <w:sz w:val="20"/>
          <w:szCs w:val="20"/>
        </w:rPr>
        <w:t xml:space="preserve"> dalla Russia</w:t>
      </w:r>
      <w:r w:rsidR="00DE1CA2">
        <w:rPr>
          <w:rFonts w:ascii="Verdana" w:eastAsia="Verdana" w:hAnsi="Verdana" w:cs="Verdana"/>
          <w:iCs/>
          <w:sz w:val="20"/>
          <w:szCs w:val="20"/>
        </w:rPr>
        <w:t xml:space="preserve">: </w:t>
      </w:r>
      <w:r w:rsidR="00EC15C6">
        <w:rPr>
          <w:rFonts w:ascii="Verdana" w:eastAsia="Verdana" w:hAnsi="Verdana" w:cs="Verdana"/>
          <w:iCs/>
          <w:sz w:val="20"/>
          <w:szCs w:val="20"/>
        </w:rPr>
        <w:t xml:space="preserve">potenti esplosioni sono nuovamente state rilevate </w:t>
      </w:r>
      <w:r w:rsidR="00BB2B1A">
        <w:rPr>
          <w:rFonts w:ascii="Verdana" w:eastAsia="Verdana" w:hAnsi="Verdana" w:cs="Verdana"/>
          <w:iCs/>
          <w:sz w:val="20"/>
          <w:szCs w:val="20"/>
        </w:rPr>
        <w:t xml:space="preserve">negli ultimi giorni di gennaio </w:t>
      </w:r>
      <w:r w:rsidR="00EC15C6">
        <w:rPr>
          <w:rFonts w:ascii="Verdana" w:eastAsia="Verdana" w:hAnsi="Verdana" w:cs="Verdana"/>
          <w:iCs/>
          <w:sz w:val="20"/>
          <w:szCs w:val="20"/>
        </w:rPr>
        <w:t xml:space="preserve">dagli operatori dell’Aiea </w:t>
      </w:r>
      <w:r w:rsidR="00F76FA6">
        <w:rPr>
          <w:rFonts w:ascii="Verdana" w:eastAsia="Verdana" w:hAnsi="Verdana" w:cs="Verdana"/>
          <w:iCs/>
          <w:sz w:val="20"/>
          <w:szCs w:val="20"/>
        </w:rPr>
        <w:t>sul posto, indicando scontri militari nei pressi della centrale</w:t>
      </w:r>
      <w:r w:rsidR="00DD72AE">
        <w:rPr>
          <w:rStyle w:val="Rimandonotaapidipagina"/>
          <w:rFonts w:ascii="Verdana" w:eastAsia="Verdana" w:hAnsi="Verdana" w:cs="Verdana"/>
          <w:iCs/>
          <w:sz w:val="20"/>
          <w:szCs w:val="20"/>
        </w:rPr>
        <w:footnoteReference w:id="8"/>
      </w:r>
      <w:r w:rsidR="00751CC2">
        <w:rPr>
          <w:rFonts w:ascii="Verdana" w:eastAsia="Verdana" w:hAnsi="Verdana" w:cs="Verdana"/>
          <w:iCs/>
          <w:sz w:val="20"/>
          <w:szCs w:val="20"/>
        </w:rPr>
        <w:t>. Il direttore generale</w:t>
      </w:r>
      <w:r w:rsidR="009D192C">
        <w:rPr>
          <w:rFonts w:ascii="Verdana" w:eastAsia="Verdana" w:hAnsi="Verdana" w:cs="Verdana"/>
          <w:iCs/>
          <w:sz w:val="20"/>
          <w:szCs w:val="20"/>
        </w:rPr>
        <w:t xml:space="preserve"> dell’agenzia</w:t>
      </w:r>
      <w:r w:rsidR="00751CC2">
        <w:rPr>
          <w:rFonts w:ascii="Verdana" w:eastAsia="Verdana" w:hAnsi="Verdana" w:cs="Verdana"/>
          <w:iCs/>
          <w:sz w:val="20"/>
          <w:szCs w:val="20"/>
        </w:rPr>
        <w:t xml:space="preserve">, </w:t>
      </w:r>
      <w:r w:rsidR="00E43492">
        <w:rPr>
          <w:rFonts w:ascii="Verdana" w:eastAsia="Verdana" w:hAnsi="Verdana" w:cs="Verdana"/>
          <w:iCs/>
          <w:sz w:val="20"/>
          <w:szCs w:val="20"/>
        </w:rPr>
        <w:t xml:space="preserve">Rafael Mariano Grossi, ha </w:t>
      </w:r>
      <w:r w:rsidR="009D192C">
        <w:rPr>
          <w:rFonts w:ascii="Verdana" w:eastAsia="Verdana" w:hAnsi="Verdana" w:cs="Verdana"/>
          <w:iCs/>
          <w:sz w:val="20"/>
          <w:szCs w:val="20"/>
        </w:rPr>
        <w:t>esortato al</w:t>
      </w:r>
      <w:r w:rsidR="00E43492">
        <w:rPr>
          <w:rFonts w:ascii="Verdana" w:eastAsia="Verdana" w:hAnsi="Verdana" w:cs="Verdana"/>
          <w:iCs/>
          <w:sz w:val="20"/>
          <w:szCs w:val="20"/>
        </w:rPr>
        <w:t xml:space="preserve">la creazione di una </w:t>
      </w:r>
      <w:r w:rsidR="00E43492" w:rsidRPr="00E43492">
        <w:rPr>
          <w:rFonts w:ascii="Verdana" w:eastAsia="Verdana" w:hAnsi="Verdana" w:cs="Verdana"/>
          <w:iCs/>
          <w:sz w:val="20"/>
          <w:szCs w:val="20"/>
        </w:rPr>
        <w:t>Nuclear Safety and Security Protection Zone</w:t>
      </w:r>
      <w:r w:rsidR="00E43492">
        <w:rPr>
          <w:rFonts w:ascii="Verdana" w:eastAsia="Verdana" w:hAnsi="Verdana" w:cs="Verdana"/>
          <w:iCs/>
          <w:sz w:val="20"/>
          <w:szCs w:val="20"/>
        </w:rPr>
        <w:t xml:space="preserve"> attorno all</w:t>
      </w:r>
      <w:r w:rsidR="00BB2B1A">
        <w:rPr>
          <w:rFonts w:ascii="Verdana" w:eastAsia="Verdana" w:hAnsi="Verdana" w:cs="Verdana"/>
          <w:iCs/>
          <w:sz w:val="20"/>
          <w:szCs w:val="20"/>
        </w:rPr>
        <w:t>’impianto</w:t>
      </w:r>
      <w:r w:rsidR="00254F02">
        <w:rPr>
          <w:rFonts w:ascii="Verdana" w:eastAsia="Verdana" w:hAnsi="Verdana" w:cs="Verdana"/>
          <w:iCs/>
          <w:sz w:val="20"/>
          <w:szCs w:val="20"/>
        </w:rPr>
        <w:t>, sottolineando la complessità dei negoziati con Kiev e Mosca</w:t>
      </w:r>
      <w:r w:rsidR="00ED133F">
        <w:rPr>
          <w:rFonts w:ascii="Verdana" w:eastAsia="Verdana" w:hAnsi="Verdana" w:cs="Verdana"/>
          <w:iCs/>
          <w:sz w:val="20"/>
          <w:szCs w:val="20"/>
        </w:rPr>
        <w:t xml:space="preserve">. </w:t>
      </w:r>
    </w:p>
    <w:p w14:paraId="27DB482F" w14:textId="77777777" w:rsidR="00473DA2" w:rsidRPr="009D192C" w:rsidRDefault="00473DA2" w:rsidP="00254F02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227A9340" w14:textId="536FB7DE" w:rsidR="002C0EF9" w:rsidRPr="009D192C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3D8A6256" w14:textId="77777777" w:rsidR="00FA233F" w:rsidRPr="00254F02" w:rsidRDefault="00616BB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254F02">
        <w:rPr>
          <w:rFonts w:ascii="Verdana" w:eastAsia="Verdana" w:hAnsi="Verdana" w:cs="Verdana"/>
          <w:sz w:val="20"/>
          <w:szCs w:val="20"/>
        </w:rPr>
        <w:t>Per informazioni:</w:t>
      </w:r>
    </w:p>
    <w:p w14:paraId="00EB4CAC" w14:textId="77777777" w:rsidR="00FA233F" w:rsidRPr="00254F02" w:rsidRDefault="00616BBA" w:rsidP="00254F02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254F02">
        <w:rPr>
          <w:rFonts w:ascii="Verdana" w:eastAsia="Verdana" w:hAnsi="Verdana" w:cs="Verdana"/>
          <w:b/>
          <w:bCs/>
          <w:iCs/>
          <w:sz w:val="20"/>
          <w:szCs w:val="20"/>
        </w:rPr>
        <w:t>Ufficio Stampa Atlantis Company</w:t>
      </w:r>
    </w:p>
    <w:p w14:paraId="4F55EE8F" w14:textId="77777777" w:rsidR="00FA233F" w:rsidRPr="00254F02" w:rsidRDefault="00616BBA" w:rsidP="00254F02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254F02">
        <w:rPr>
          <w:rFonts w:ascii="Verdana" w:eastAsia="Verdana" w:hAnsi="Verdana" w:cs="Verdana"/>
          <w:b/>
          <w:bCs/>
          <w:iCs/>
          <w:sz w:val="20"/>
          <w:szCs w:val="20"/>
        </w:rPr>
        <w:t xml:space="preserve">Agnese Gazzera: 375.6654841 – </w:t>
      </w:r>
      <w:hyperlink r:id="rId10">
        <w:r w:rsidRPr="00254F02">
          <w:rPr>
            <w:rFonts w:ascii="Verdana" w:eastAsia="Verdana" w:hAnsi="Verdana" w:cs="Verdana"/>
            <w:b/>
            <w:bCs/>
            <w:iCs/>
            <w:sz w:val="20"/>
            <w:szCs w:val="20"/>
          </w:rPr>
          <w:t>agnese.gazzera@atlantiscompany.it</w:t>
        </w:r>
      </w:hyperlink>
      <w:r w:rsidRPr="00254F02">
        <w:rPr>
          <w:rFonts w:ascii="Verdana" w:eastAsia="Verdana" w:hAnsi="Verdana" w:cs="Verdana"/>
          <w:b/>
          <w:bCs/>
          <w:iCs/>
          <w:sz w:val="20"/>
          <w:szCs w:val="20"/>
        </w:rPr>
        <w:t xml:space="preserve"> </w:t>
      </w:r>
    </w:p>
    <w:p w14:paraId="2EADD64B" w14:textId="77777777" w:rsidR="00FA233F" w:rsidRPr="00254F02" w:rsidRDefault="00616BBA" w:rsidP="00254F02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254F02">
        <w:rPr>
          <w:rFonts w:ascii="Verdana" w:eastAsia="Verdana" w:hAnsi="Verdana" w:cs="Verdana"/>
          <w:b/>
          <w:bCs/>
          <w:iCs/>
          <w:sz w:val="20"/>
          <w:szCs w:val="20"/>
        </w:rPr>
        <w:t xml:space="preserve">Maria Chiara Zilli: 375.5637748 – </w:t>
      </w:r>
      <w:hyperlink r:id="rId11">
        <w:r w:rsidRPr="00254F02">
          <w:rPr>
            <w:rFonts w:ascii="Verdana" w:eastAsia="Verdana" w:hAnsi="Verdana" w:cs="Verdana"/>
            <w:b/>
            <w:bCs/>
            <w:iCs/>
            <w:sz w:val="20"/>
            <w:szCs w:val="20"/>
          </w:rPr>
          <w:t>mariachiara.zilli@atlantiscompany.it</w:t>
        </w:r>
      </w:hyperlink>
      <w:r w:rsidRPr="00254F02">
        <w:rPr>
          <w:rFonts w:ascii="Verdana" w:eastAsia="Verdana" w:hAnsi="Verdana" w:cs="Verdana"/>
          <w:b/>
          <w:bCs/>
          <w:iCs/>
          <w:sz w:val="20"/>
          <w:szCs w:val="20"/>
        </w:rPr>
        <w:t xml:space="preserve"> </w:t>
      </w:r>
    </w:p>
    <w:sectPr w:rsidR="00FA233F" w:rsidRPr="00254F02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6ECD" w14:textId="77777777" w:rsidR="00164369" w:rsidRDefault="00164369">
      <w:pPr>
        <w:spacing w:after="0" w:line="240" w:lineRule="auto"/>
      </w:pPr>
      <w:r>
        <w:separator/>
      </w:r>
    </w:p>
  </w:endnote>
  <w:endnote w:type="continuationSeparator" w:id="0">
    <w:p w14:paraId="3FB1306A" w14:textId="77777777" w:rsidR="00164369" w:rsidRDefault="00164369">
      <w:pPr>
        <w:spacing w:after="0" w:line="240" w:lineRule="auto"/>
      </w:pPr>
      <w:r>
        <w:continuationSeparator/>
      </w:r>
    </w:p>
  </w:endnote>
  <w:endnote w:type="continuationNotice" w:id="1">
    <w:p w14:paraId="3772D682" w14:textId="77777777" w:rsidR="00A7434C" w:rsidRDefault="00A74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6E9B" w14:textId="77777777" w:rsidR="00FA233F" w:rsidRDefault="00FA233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18"/>
        <w:szCs w:val="18"/>
      </w:rPr>
    </w:pPr>
  </w:p>
  <w:p w14:paraId="463BF9AA" w14:textId="77777777" w:rsidR="00FA233F" w:rsidRDefault="00616BB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Cesvi – Fondazione di partecipazione e ONG</w:t>
    </w:r>
    <w:r>
      <w:rPr>
        <w:b/>
        <w:color w:val="000000"/>
        <w:sz w:val="18"/>
        <w:szCs w:val="18"/>
      </w:rPr>
      <w:br/>
    </w:r>
    <w:r>
      <w:rPr>
        <w:color w:val="000000"/>
        <w:sz w:val="18"/>
        <w:szCs w:val="18"/>
      </w:rPr>
      <w:t>24128 Bergamo, via Broseta 68/a -</w:t>
    </w:r>
    <w:r>
      <w:rPr>
        <w:b/>
        <w:color w:val="000000"/>
        <w:sz w:val="18"/>
        <w:szCs w:val="18"/>
      </w:rPr>
      <w:t xml:space="preserve"> </w:t>
    </w:r>
    <w:hyperlink r:id="rId1">
      <w:r>
        <w:rPr>
          <w:color w:val="0000FF"/>
          <w:sz w:val="18"/>
          <w:szCs w:val="18"/>
          <w:u w:val="single"/>
        </w:rPr>
        <w:t>www.cesvi.org</w:t>
      </w:r>
    </w:hyperlink>
    <w:r>
      <w:rPr>
        <w:color w:val="000000"/>
        <w:sz w:val="18"/>
        <w:szCs w:val="18"/>
      </w:rPr>
      <w:br/>
      <w:t xml:space="preserve">tel. +39 035 2058058 – fax +39 035 260958 – e-mail: </w:t>
    </w:r>
    <w:hyperlink r:id="rId2">
      <w:r>
        <w:rPr>
          <w:color w:val="0000FF"/>
          <w:sz w:val="18"/>
          <w:szCs w:val="18"/>
          <w:u w:val="single"/>
        </w:rPr>
        <w:t>cesvi@cesvi.org</w:t>
      </w:r>
    </w:hyperlink>
    <w:r>
      <w:rPr>
        <w:color w:val="000000"/>
        <w:sz w:val="18"/>
        <w:szCs w:val="18"/>
      </w:rPr>
      <w:t xml:space="preserve"> - Codice Fiscale: 9500 873 0160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2E17" w14:textId="77777777" w:rsidR="00164369" w:rsidRDefault="00164369">
      <w:pPr>
        <w:spacing w:after="0" w:line="240" w:lineRule="auto"/>
      </w:pPr>
      <w:r>
        <w:separator/>
      </w:r>
    </w:p>
  </w:footnote>
  <w:footnote w:type="continuationSeparator" w:id="0">
    <w:p w14:paraId="1F1A779F" w14:textId="77777777" w:rsidR="00164369" w:rsidRDefault="00164369">
      <w:pPr>
        <w:spacing w:after="0" w:line="240" w:lineRule="auto"/>
      </w:pPr>
      <w:r>
        <w:continuationSeparator/>
      </w:r>
    </w:p>
  </w:footnote>
  <w:footnote w:type="continuationNotice" w:id="1">
    <w:p w14:paraId="5B33CBB5" w14:textId="77777777" w:rsidR="00A7434C" w:rsidRDefault="00A7434C">
      <w:pPr>
        <w:spacing w:after="0" w:line="240" w:lineRule="auto"/>
      </w:pPr>
    </w:p>
  </w:footnote>
  <w:footnote w:id="2">
    <w:p w14:paraId="051D8A49" w14:textId="3665C9B3" w:rsidR="00A20546" w:rsidRPr="00E36672" w:rsidRDefault="00A20546" w:rsidP="00A20546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36672">
        <w:rPr>
          <w:lang w:val="en-US"/>
        </w:rPr>
        <w:t xml:space="preserve"> </w:t>
      </w:r>
      <w:hyperlink r:id="rId1" w:history="1">
        <w:r w:rsidR="00E36672" w:rsidRPr="00E36672">
          <w:rPr>
            <w:rStyle w:val="Collegamentoipertestuale"/>
            <w:lang w:val="en-US"/>
          </w:rPr>
          <w:t>Ukraine: civilian casualty update 23 January 2023 | OHCHR</w:t>
        </w:r>
      </w:hyperlink>
    </w:p>
  </w:footnote>
  <w:footnote w:id="3">
    <w:p w14:paraId="094D0799" w14:textId="078F003A" w:rsidR="00A116B4" w:rsidRPr="00E36672" w:rsidRDefault="00A116B4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36672">
        <w:rPr>
          <w:lang w:val="en-US"/>
        </w:rPr>
        <w:t xml:space="preserve"> </w:t>
      </w:r>
      <w:hyperlink r:id="rId2" w:anchor="_ga=2.40730978.1346772556.1673871540-613852756.1671013161" w:history="1">
        <w:r w:rsidRPr="00E36672">
          <w:rPr>
            <w:rStyle w:val="Collegamentoipertestuale"/>
            <w:lang w:val="en-US"/>
          </w:rPr>
          <w:t>Situation Ukraine Refugee Situation (unhcr.org)</w:t>
        </w:r>
      </w:hyperlink>
    </w:p>
  </w:footnote>
  <w:footnote w:id="4">
    <w:p w14:paraId="4996CD80" w14:textId="77777777" w:rsidR="007E66FD" w:rsidRPr="00E36672" w:rsidRDefault="007E66FD" w:rsidP="007E66FD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36672">
        <w:rPr>
          <w:lang w:val="en-US"/>
        </w:rPr>
        <w:t xml:space="preserve"> </w:t>
      </w:r>
      <w:hyperlink r:id="rId3" w:history="1">
        <w:r w:rsidRPr="00E36672">
          <w:rPr>
            <w:rStyle w:val="Collegamentoipertestuale"/>
            <w:lang w:val="en-US"/>
          </w:rPr>
          <w:t>WHO-EURO-2022-6172-45937-67791-eng.pdf</w:t>
        </w:r>
      </w:hyperlink>
      <w:r w:rsidRPr="00E36672">
        <w:rPr>
          <w:lang w:val="en-US"/>
        </w:rPr>
        <w:t xml:space="preserve"> </w:t>
      </w:r>
    </w:p>
  </w:footnote>
  <w:footnote w:id="5">
    <w:p w14:paraId="0C1929E9" w14:textId="0787F3DA" w:rsidR="00AA6492" w:rsidRPr="00E36672" w:rsidRDefault="00AA6492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36672">
        <w:rPr>
          <w:lang w:val="en-US"/>
        </w:rPr>
        <w:t xml:space="preserve"> </w:t>
      </w:r>
      <w:hyperlink r:id="rId4" w:history="1">
        <w:r w:rsidR="00FA20DE" w:rsidRPr="00A55934">
          <w:rPr>
            <w:rStyle w:val="Collegamentoipertestuale"/>
            <w:lang w:val="en-US"/>
          </w:rPr>
          <w:t>Ukraine infrastructure damage 2022 | Statista</w:t>
        </w:r>
      </w:hyperlink>
    </w:p>
  </w:footnote>
  <w:footnote w:id="6">
    <w:p w14:paraId="51B3EE3A" w14:textId="02FC6B6A" w:rsidR="00FB1523" w:rsidRPr="00E36672" w:rsidRDefault="00FB1523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36672">
        <w:rPr>
          <w:lang w:val="en-US"/>
        </w:rPr>
        <w:t xml:space="preserve"> </w:t>
      </w:r>
      <w:hyperlink r:id="rId5" w:history="1">
        <w:r w:rsidRPr="00E36672">
          <w:rPr>
            <w:rStyle w:val="Collegamentoipertestuale"/>
            <w:lang w:val="en-US"/>
          </w:rPr>
          <w:t>Foreign companies' response to Russia-Ukraine war 2022 | Statista</w:t>
        </w:r>
      </w:hyperlink>
    </w:p>
  </w:footnote>
  <w:footnote w:id="7">
    <w:p w14:paraId="06E5652E" w14:textId="7CC55305" w:rsidR="004E1480" w:rsidRPr="00E36672" w:rsidRDefault="004E1480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36672">
        <w:rPr>
          <w:lang w:val="en-US"/>
        </w:rPr>
        <w:t xml:space="preserve"> </w:t>
      </w:r>
      <w:hyperlink r:id="rId6" w:history="1">
        <w:r w:rsidRPr="00E36672">
          <w:rPr>
            <w:rStyle w:val="Collegamentoipertestuale"/>
            <w:lang w:val="en-US"/>
          </w:rPr>
          <w:t>Sanctions imposed on Russia by actor 2022 | Statista</w:t>
        </w:r>
      </w:hyperlink>
      <w:r w:rsidRPr="00E36672">
        <w:rPr>
          <w:lang w:val="en-US"/>
        </w:rPr>
        <w:t xml:space="preserve"> </w:t>
      </w:r>
    </w:p>
  </w:footnote>
  <w:footnote w:id="8">
    <w:p w14:paraId="795C12FE" w14:textId="502A161B" w:rsidR="00DD72AE" w:rsidRPr="00DD72AE" w:rsidRDefault="00DD72AE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DD72AE">
        <w:rPr>
          <w:lang w:val="en-US"/>
        </w:rPr>
        <w:t xml:space="preserve"> </w:t>
      </w:r>
      <w:hyperlink r:id="rId7" w:history="1">
        <w:r w:rsidRPr="00DD72AE">
          <w:rPr>
            <w:rStyle w:val="Collegamentoipertestuale"/>
            <w:lang w:val="en-US"/>
          </w:rPr>
          <w:t>Update 144 – IAEA Director General Statement on Situation in Ukraine | IAEA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2A5E" w14:textId="77777777" w:rsidR="00FA233F" w:rsidRDefault="00616B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D0431BB" wp14:editId="54F4CC8B">
          <wp:extent cx="518160" cy="7924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130"/>
    <w:multiLevelType w:val="hybridMultilevel"/>
    <w:tmpl w:val="5D282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5282C"/>
    <w:multiLevelType w:val="multilevel"/>
    <w:tmpl w:val="A0E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691619">
    <w:abstractNumId w:val="0"/>
  </w:num>
  <w:num w:numId="2" w16cid:durableId="144264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3F"/>
    <w:rsid w:val="000018B3"/>
    <w:rsid w:val="00001A19"/>
    <w:rsid w:val="00007846"/>
    <w:rsid w:val="00007D45"/>
    <w:rsid w:val="00021A2E"/>
    <w:rsid w:val="00024128"/>
    <w:rsid w:val="00024D6D"/>
    <w:rsid w:val="000266F8"/>
    <w:rsid w:val="00037DAB"/>
    <w:rsid w:val="00044B7C"/>
    <w:rsid w:val="0004643B"/>
    <w:rsid w:val="000571C6"/>
    <w:rsid w:val="00067F14"/>
    <w:rsid w:val="00071C4B"/>
    <w:rsid w:val="00081B7A"/>
    <w:rsid w:val="00085DF4"/>
    <w:rsid w:val="00092C83"/>
    <w:rsid w:val="00097773"/>
    <w:rsid w:val="000B20D9"/>
    <w:rsid w:val="000B44BA"/>
    <w:rsid w:val="000C2D59"/>
    <w:rsid w:val="000D4FAB"/>
    <w:rsid w:val="000D7CEF"/>
    <w:rsid w:val="000F5EB4"/>
    <w:rsid w:val="0010573B"/>
    <w:rsid w:val="00105ED0"/>
    <w:rsid w:val="00112965"/>
    <w:rsid w:val="00131003"/>
    <w:rsid w:val="00135174"/>
    <w:rsid w:val="00143BAB"/>
    <w:rsid w:val="00144464"/>
    <w:rsid w:val="001540CA"/>
    <w:rsid w:val="00155010"/>
    <w:rsid w:val="001553A3"/>
    <w:rsid w:val="0016206F"/>
    <w:rsid w:val="00164369"/>
    <w:rsid w:val="001703AC"/>
    <w:rsid w:val="00172540"/>
    <w:rsid w:val="001774D0"/>
    <w:rsid w:val="0017794C"/>
    <w:rsid w:val="00180A40"/>
    <w:rsid w:val="001845AF"/>
    <w:rsid w:val="0018717C"/>
    <w:rsid w:val="00187304"/>
    <w:rsid w:val="001943CE"/>
    <w:rsid w:val="001A2A73"/>
    <w:rsid w:val="001B1501"/>
    <w:rsid w:val="001B21D7"/>
    <w:rsid w:val="001B38DE"/>
    <w:rsid w:val="001B7B8B"/>
    <w:rsid w:val="001C623D"/>
    <w:rsid w:val="001C7064"/>
    <w:rsid w:val="001E7EA4"/>
    <w:rsid w:val="001F7C16"/>
    <w:rsid w:val="00210823"/>
    <w:rsid w:val="00213250"/>
    <w:rsid w:val="00215922"/>
    <w:rsid w:val="0021706E"/>
    <w:rsid w:val="00246E2D"/>
    <w:rsid w:val="00252A9A"/>
    <w:rsid w:val="00253823"/>
    <w:rsid w:val="00254F02"/>
    <w:rsid w:val="00257A04"/>
    <w:rsid w:val="00275862"/>
    <w:rsid w:val="00292633"/>
    <w:rsid w:val="00295721"/>
    <w:rsid w:val="002973EE"/>
    <w:rsid w:val="002A655D"/>
    <w:rsid w:val="002A6E8D"/>
    <w:rsid w:val="002B7248"/>
    <w:rsid w:val="002C0EF9"/>
    <w:rsid w:val="002C13A2"/>
    <w:rsid w:val="002C451E"/>
    <w:rsid w:val="002D7458"/>
    <w:rsid w:val="002E12B1"/>
    <w:rsid w:val="00300CC9"/>
    <w:rsid w:val="00307B2E"/>
    <w:rsid w:val="003373D4"/>
    <w:rsid w:val="00346923"/>
    <w:rsid w:val="00354401"/>
    <w:rsid w:val="0036075A"/>
    <w:rsid w:val="003638BD"/>
    <w:rsid w:val="00365F8D"/>
    <w:rsid w:val="0037634E"/>
    <w:rsid w:val="00392A13"/>
    <w:rsid w:val="003A41E2"/>
    <w:rsid w:val="003A52E8"/>
    <w:rsid w:val="003A73CE"/>
    <w:rsid w:val="003B1409"/>
    <w:rsid w:val="003B46AD"/>
    <w:rsid w:val="003B7C78"/>
    <w:rsid w:val="003C23C9"/>
    <w:rsid w:val="003C295F"/>
    <w:rsid w:val="003C49FC"/>
    <w:rsid w:val="003C7D61"/>
    <w:rsid w:val="003D3AEF"/>
    <w:rsid w:val="003E4388"/>
    <w:rsid w:val="003E4889"/>
    <w:rsid w:val="003E4C3D"/>
    <w:rsid w:val="003F78FE"/>
    <w:rsid w:val="00400AD4"/>
    <w:rsid w:val="00406C41"/>
    <w:rsid w:val="00426AEE"/>
    <w:rsid w:val="004337FB"/>
    <w:rsid w:val="004379DE"/>
    <w:rsid w:val="00440404"/>
    <w:rsid w:val="0044422A"/>
    <w:rsid w:val="00463B02"/>
    <w:rsid w:val="0046690B"/>
    <w:rsid w:val="00473DA2"/>
    <w:rsid w:val="0048098A"/>
    <w:rsid w:val="004835D6"/>
    <w:rsid w:val="00483D6A"/>
    <w:rsid w:val="00490D3D"/>
    <w:rsid w:val="004960F8"/>
    <w:rsid w:val="004A2FAD"/>
    <w:rsid w:val="004A74BD"/>
    <w:rsid w:val="004A75A3"/>
    <w:rsid w:val="004E00A9"/>
    <w:rsid w:val="004E1480"/>
    <w:rsid w:val="004E1807"/>
    <w:rsid w:val="004E49A7"/>
    <w:rsid w:val="004F5512"/>
    <w:rsid w:val="004F6E3B"/>
    <w:rsid w:val="004F792C"/>
    <w:rsid w:val="00500FB2"/>
    <w:rsid w:val="00503649"/>
    <w:rsid w:val="005111FF"/>
    <w:rsid w:val="005339FA"/>
    <w:rsid w:val="005475C3"/>
    <w:rsid w:val="00556660"/>
    <w:rsid w:val="00571F46"/>
    <w:rsid w:val="005740BA"/>
    <w:rsid w:val="00574277"/>
    <w:rsid w:val="00575D86"/>
    <w:rsid w:val="0058207F"/>
    <w:rsid w:val="0058293C"/>
    <w:rsid w:val="0059081C"/>
    <w:rsid w:val="00596DA0"/>
    <w:rsid w:val="005A6A6C"/>
    <w:rsid w:val="005B3FA5"/>
    <w:rsid w:val="005D2405"/>
    <w:rsid w:val="005D2A41"/>
    <w:rsid w:val="005D3B3B"/>
    <w:rsid w:val="005D5DB0"/>
    <w:rsid w:val="005F041A"/>
    <w:rsid w:val="005F20FA"/>
    <w:rsid w:val="00602F16"/>
    <w:rsid w:val="006102AD"/>
    <w:rsid w:val="00616BBA"/>
    <w:rsid w:val="00633497"/>
    <w:rsid w:val="00641A48"/>
    <w:rsid w:val="00644570"/>
    <w:rsid w:val="00645D5C"/>
    <w:rsid w:val="006516DB"/>
    <w:rsid w:val="00653578"/>
    <w:rsid w:val="0065437A"/>
    <w:rsid w:val="00655147"/>
    <w:rsid w:val="00672184"/>
    <w:rsid w:val="00677615"/>
    <w:rsid w:val="006859C1"/>
    <w:rsid w:val="00686BC8"/>
    <w:rsid w:val="00686C9E"/>
    <w:rsid w:val="006920B5"/>
    <w:rsid w:val="0069395B"/>
    <w:rsid w:val="006A0DAD"/>
    <w:rsid w:val="006A1C39"/>
    <w:rsid w:val="006A1FE7"/>
    <w:rsid w:val="006B4A01"/>
    <w:rsid w:val="006B4B2B"/>
    <w:rsid w:val="006B75EC"/>
    <w:rsid w:val="006C185F"/>
    <w:rsid w:val="006D3A0C"/>
    <w:rsid w:val="006D4E0F"/>
    <w:rsid w:val="006D5C99"/>
    <w:rsid w:val="006E270F"/>
    <w:rsid w:val="006E43DC"/>
    <w:rsid w:val="006E7087"/>
    <w:rsid w:val="006E739E"/>
    <w:rsid w:val="006F0DE6"/>
    <w:rsid w:val="00701822"/>
    <w:rsid w:val="00703D84"/>
    <w:rsid w:val="00704489"/>
    <w:rsid w:val="007263D9"/>
    <w:rsid w:val="007272EC"/>
    <w:rsid w:val="00735F47"/>
    <w:rsid w:val="0074251C"/>
    <w:rsid w:val="00751CC2"/>
    <w:rsid w:val="00755506"/>
    <w:rsid w:val="007575D2"/>
    <w:rsid w:val="00767A0E"/>
    <w:rsid w:val="0077038E"/>
    <w:rsid w:val="0079189B"/>
    <w:rsid w:val="0079624B"/>
    <w:rsid w:val="007A03C0"/>
    <w:rsid w:val="007D2030"/>
    <w:rsid w:val="007D3590"/>
    <w:rsid w:val="007D3842"/>
    <w:rsid w:val="007E66FD"/>
    <w:rsid w:val="007F1BFA"/>
    <w:rsid w:val="007F3311"/>
    <w:rsid w:val="007F4529"/>
    <w:rsid w:val="0080135C"/>
    <w:rsid w:val="00810585"/>
    <w:rsid w:val="008162C9"/>
    <w:rsid w:val="00847B3A"/>
    <w:rsid w:val="00854598"/>
    <w:rsid w:val="00857A06"/>
    <w:rsid w:val="008631F9"/>
    <w:rsid w:val="00870F01"/>
    <w:rsid w:val="00874AD8"/>
    <w:rsid w:val="00875BD4"/>
    <w:rsid w:val="00877BA7"/>
    <w:rsid w:val="0088623A"/>
    <w:rsid w:val="008873C2"/>
    <w:rsid w:val="0088747C"/>
    <w:rsid w:val="00890F6B"/>
    <w:rsid w:val="008973F1"/>
    <w:rsid w:val="008A3B0B"/>
    <w:rsid w:val="008B3813"/>
    <w:rsid w:val="008B5CC1"/>
    <w:rsid w:val="008C160D"/>
    <w:rsid w:val="008C49E8"/>
    <w:rsid w:val="008C5E40"/>
    <w:rsid w:val="008E03A9"/>
    <w:rsid w:val="008E0A19"/>
    <w:rsid w:val="008E6341"/>
    <w:rsid w:val="008F1D45"/>
    <w:rsid w:val="008F1DEA"/>
    <w:rsid w:val="00914AB1"/>
    <w:rsid w:val="0091570E"/>
    <w:rsid w:val="00917154"/>
    <w:rsid w:val="0092309C"/>
    <w:rsid w:val="009277FB"/>
    <w:rsid w:val="00930138"/>
    <w:rsid w:val="009618E1"/>
    <w:rsid w:val="009622DC"/>
    <w:rsid w:val="00966C52"/>
    <w:rsid w:val="00967F10"/>
    <w:rsid w:val="009706AB"/>
    <w:rsid w:val="00973ACF"/>
    <w:rsid w:val="00975DDD"/>
    <w:rsid w:val="00985561"/>
    <w:rsid w:val="00987219"/>
    <w:rsid w:val="00992130"/>
    <w:rsid w:val="00996FD9"/>
    <w:rsid w:val="009B1378"/>
    <w:rsid w:val="009B7466"/>
    <w:rsid w:val="009C02FC"/>
    <w:rsid w:val="009C66FD"/>
    <w:rsid w:val="009C74C4"/>
    <w:rsid w:val="009D192C"/>
    <w:rsid w:val="009D526A"/>
    <w:rsid w:val="009D5959"/>
    <w:rsid w:val="009E662F"/>
    <w:rsid w:val="009F5DE0"/>
    <w:rsid w:val="00A03E45"/>
    <w:rsid w:val="00A116B4"/>
    <w:rsid w:val="00A14AB1"/>
    <w:rsid w:val="00A14C47"/>
    <w:rsid w:val="00A20546"/>
    <w:rsid w:val="00A258D1"/>
    <w:rsid w:val="00A26206"/>
    <w:rsid w:val="00A26D62"/>
    <w:rsid w:val="00A27E9E"/>
    <w:rsid w:val="00A31BD6"/>
    <w:rsid w:val="00A31F4F"/>
    <w:rsid w:val="00A43668"/>
    <w:rsid w:val="00A443F0"/>
    <w:rsid w:val="00A44FF6"/>
    <w:rsid w:val="00A469D5"/>
    <w:rsid w:val="00A52FD9"/>
    <w:rsid w:val="00A55934"/>
    <w:rsid w:val="00A559B7"/>
    <w:rsid w:val="00A65629"/>
    <w:rsid w:val="00A7434C"/>
    <w:rsid w:val="00A95941"/>
    <w:rsid w:val="00AA6492"/>
    <w:rsid w:val="00AB2584"/>
    <w:rsid w:val="00AD3EAD"/>
    <w:rsid w:val="00AD5C53"/>
    <w:rsid w:val="00AF0BB0"/>
    <w:rsid w:val="00AF439F"/>
    <w:rsid w:val="00AF5619"/>
    <w:rsid w:val="00B07467"/>
    <w:rsid w:val="00B07872"/>
    <w:rsid w:val="00B13E50"/>
    <w:rsid w:val="00B1533F"/>
    <w:rsid w:val="00B17F7F"/>
    <w:rsid w:val="00B21129"/>
    <w:rsid w:val="00B375F1"/>
    <w:rsid w:val="00B45033"/>
    <w:rsid w:val="00B46952"/>
    <w:rsid w:val="00B62460"/>
    <w:rsid w:val="00B70A05"/>
    <w:rsid w:val="00B91245"/>
    <w:rsid w:val="00B91B03"/>
    <w:rsid w:val="00B946CD"/>
    <w:rsid w:val="00BA12EE"/>
    <w:rsid w:val="00BA673A"/>
    <w:rsid w:val="00BB2B1A"/>
    <w:rsid w:val="00BB33F0"/>
    <w:rsid w:val="00BB4EBB"/>
    <w:rsid w:val="00BB4FF6"/>
    <w:rsid w:val="00BC32FB"/>
    <w:rsid w:val="00BC645C"/>
    <w:rsid w:val="00BD5130"/>
    <w:rsid w:val="00BE3322"/>
    <w:rsid w:val="00BE7970"/>
    <w:rsid w:val="00BF557E"/>
    <w:rsid w:val="00C32763"/>
    <w:rsid w:val="00C42D08"/>
    <w:rsid w:val="00C434C8"/>
    <w:rsid w:val="00C52B1A"/>
    <w:rsid w:val="00C555B0"/>
    <w:rsid w:val="00C556B8"/>
    <w:rsid w:val="00C56C24"/>
    <w:rsid w:val="00C6442D"/>
    <w:rsid w:val="00C6455C"/>
    <w:rsid w:val="00C666C3"/>
    <w:rsid w:val="00C76E9B"/>
    <w:rsid w:val="00C844E1"/>
    <w:rsid w:val="00C87015"/>
    <w:rsid w:val="00CB1684"/>
    <w:rsid w:val="00CB7F22"/>
    <w:rsid w:val="00CC46F0"/>
    <w:rsid w:val="00CC7995"/>
    <w:rsid w:val="00CC7DBC"/>
    <w:rsid w:val="00CE4352"/>
    <w:rsid w:val="00D00BE4"/>
    <w:rsid w:val="00D0538B"/>
    <w:rsid w:val="00D168FD"/>
    <w:rsid w:val="00D23FDF"/>
    <w:rsid w:val="00D31242"/>
    <w:rsid w:val="00D32F24"/>
    <w:rsid w:val="00D4173C"/>
    <w:rsid w:val="00D61677"/>
    <w:rsid w:val="00D67060"/>
    <w:rsid w:val="00DA6AF3"/>
    <w:rsid w:val="00DB15BD"/>
    <w:rsid w:val="00DB76A1"/>
    <w:rsid w:val="00DC16F9"/>
    <w:rsid w:val="00DD72AE"/>
    <w:rsid w:val="00DE1CA2"/>
    <w:rsid w:val="00DE4F52"/>
    <w:rsid w:val="00DF7EAE"/>
    <w:rsid w:val="00E02B12"/>
    <w:rsid w:val="00E040DC"/>
    <w:rsid w:val="00E14515"/>
    <w:rsid w:val="00E1503F"/>
    <w:rsid w:val="00E15061"/>
    <w:rsid w:val="00E24D7F"/>
    <w:rsid w:val="00E27E30"/>
    <w:rsid w:val="00E36672"/>
    <w:rsid w:val="00E43096"/>
    <w:rsid w:val="00E43492"/>
    <w:rsid w:val="00E52570"/>
    <w:rsid w:val="00E605F0"/>
    <w:rsid w:val="00E63A7D"/>
    <w:rsid w:val="00E7550C"/>
    <w:rsid w:val="00E837AB"/>
    <w:rsid w:val="00E86503"/>
    <w:rsid w:val="00EA0D40"/>
    <w:rsid w:val="00EA225A"/>
    <w:rsid w:val="00EA28D5"/>
    <w:rsid w:val="00EA6D93"/>
    <w:rsid w:val="00EC15C6"/>
    <w:rsid w:val="00ED133F"/>
    <w:rsid w:val="00ED4E6E"/>
    <w:rsid w:val="00ED7D6E"/>
    <w:rsid w:val="00EE0373"/>
    <w:rsid w:val="00EE6D40"/>
    <w:rsid w:val="00EF7387"/>
    <w:rsid w:val="00F21415"/>
    <w:rsid w:val="00F22719"/>
    <w:rsid w:val="00F24AA3"/>
    <w:rsid w:val="00F250DC"/>
    <w:rsid w:val="00F25F22"/>
    <w:rsid w:val="00F3326E"/>
    <w:rsid w:val="00F34A57"/>
    <w:rsid w:val="00F3600B"/>
    <w:rsid w:val="00F416AF"/>
    <w:rsid w:val="00F75EF6"/>
    <w:rsid w:val="00F76002"/>
    <w:rsid w:val="00F76FA6"/>
    <w:rsid w:val="00F8016F"/>
    <w:rsid w:val="00F827DD"/>
    <w:rsid w:val="00F835C8"/>
    <w:rsid w:val="00F8368C"/>
    <w:rsid w:val="00F96836"/>
    <w:rsid w:val="00FA20DE"/>
    <w:rsid w:val="00FA233F"/>
    <w:rsid w:val="00FA2CC6"/>
    <w:rsid w:val="00FB1523"/>
    <w:rsid w:val="00FB1633"/>
    <w:rsid w:val="00FB2B7D"/>
    <w:rsid w:val="00FB5806"/>
    <w:rsid w:val="00FC35F4"/>
    <w:rsid w:val="00FD776C"/>
    <w:rsid w:val="00FE1CE6"/>
    <w:rsid w:val="00FE1D0F"/>
    <w:rsid w:val="00FE259F"/>
    <w:rsid w:val="00FE2B7A"/>
    <w:rsid w:val="00FE7A9C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A3D9"/>
  <w15:docId w15:val="{63088766-2C87-40DC-A214-7260DBC9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94C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79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794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1C39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53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5339FA"/>
  </w:style>
  <w:style w:type="paragraph" w:styleId="Paragrafoelenco">
    <w:name w:val="List Paragraph"/>
    <w:basedOn w:val="Normale"/>
    <w:uiPriority w:val="34"/>
    <w:qFormat/>
    <w:rsid w:val="00A03E45"/>
    <w:pPr>
      <w:ind w:left="720"/>
      <w:contextualSpacing/>
    </w:pPr>
  </w:style>
  <w:style w:type="paragraph" w:customStyle="1" w:styleId="component-root-0-2-67">
    <w:name w:val="component-root-0-2-67"/>
    <w:basedOn w:val="Normale"/>
    <w:rsid w:val="0089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9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3FD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47B3A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C0EF9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14C47"/>
    <w:rPr>
      <w:b/>
      <w:bCs/>
    </w:rPr>
  </w:style>
  <w:style w:type="paragraph" w:customStyle="1" w:styleId="text--body-copy--gray">
    <w:name w:val="text--body-copy--gray"/>
    <w:basedOn w:val="Normale"/>
    <w:rsid w:val="0067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69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69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690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434C"/>
  </w:style>
  <w:style w:type="paragraph" w:styleId="Pidipagina">
    <w:name w:val="footer"/>
    <w:basedOn w:val="Normale"/>
    <w:link w:val="PidipaginaCarattere"/>
    <w:uiPriority w:val="99"/>
    <w:semiHidden/>
    <w:unhideWhenUsed/>
    <w:rsid w:val="00A7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chiara.zilli@atlantiscompany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gnese.gazzera@atlantiscompany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vi@cesvi.org" TargetMode="External"/><Relationship Id="rId1" Type="http://schemas.openxmlformats.org/officeDocument/2006/relationships/hyperlink" Target="http://www.cesvi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tlantis2\Downloads\WHO-EURO-2022-6172-45937-67791-eng.pdf" TargetMode="External"/><Relationship Id="rId7" Type="http://schemas.openxmlformats.org/officeDocument/2006/relationships/hyperlink" Target="https://www.iaea.org/newscenter/pressreleases/update-144-iaea-director-general-statement-on-situation-in-ukraine" TargetMode="External"/><Relationship Id="rId2" Type="http://schemas.openxmlformats.org/officeDocument/2006/relationships/hyperlink" Target="https://data.unhcr.org/en/situations/ukraine" TargetMode="External"/><Relationship Id="rId1" Type="http://schemas.openxmlformats.org/officeDocument/2006/relationships/hyperlink" Target="https://www.ohchr.org/en/news/2023/01/ukraine-civilian-casualty-update-23-january-2023" TargetMode="External"/><Relationship Id="rId6" Type="http://schemas.openxmlformats.org/officeDocument/2006/relationships/hyperlink" Target="https://www.statista.com/statistics/1294752/sanctions-imposed-on-russia-by-actor/" TargetMode="External"/><Relationship Id="rId5" Type="http://schemas.openxmlformats.org/officeDocument/2006/relationships/hyperlink" Target="https://www.statista.com/statistics/1308773/foreign-company-response-to-russia-ukraine-war/" TargetMode="External"/><Relationship Id="rId4" Type="http://schemas.openxmlformats.org/officeDocument/2006/relationships/hyperlink" Target="https://www.statista.com/statistics/1303344/ukraine-infrastructure-war-dama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B990B-9D23-447B-84DE-10C71814C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771CB-37A7-478B-AD56-33F1A8A0E3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CF7A6-5D21-42B9-ACD7-8FB8DBEFB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Balin</dc:creator>
  <cp:lastModifiedBy>Agnese Gazzera</cp:lastModifiedBy>
  <cp:revision>291</cp:revision>
  <dcterms:created xsi:type="dcterms:W3CDTF">2022-12-15T16:43:00Z</dcterms:created>
  <dcterms:modified xsi:type="dcterms:W3CDTF">2023-01-30T08:34:00Z</dcterms:modified>
</cp:coreProperties>
</file>