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B38" w14:textId="32922BA9" w:rsidR="00D46C25" w:rsidRPr="009E5B2D" w:rsidRDefault="00D46C25" w:rsidP="00C34AD1">
      <w:pPr>
        <w:pStyle w:val="p6"/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proofErr w:type="spellStart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Lonvia</w:t>
      </w:r>
      <w:proofErr w:type="spellEnd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Capital</w:t>
      </w:r>
      <w:r w:rsidR="00572A20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- V</w:t>
      </w: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alutazioni </w:t>
      </w:r>
      <w:proofErr w:type="spellStart"/>
      <w:r w:rsidR="00B32911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midcap</w:t>
      </w:r>
      <w:proofErr w:type="spellEnd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  <w:proofErr w:type="spellStart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growth</w:t>
      </w:r>
      <w:proofErr w:type="spellEnd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già normalizzate dopo </w:t>
      </w:r>
      <w:r w:rsidR="00572A20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lo </w:t>
      </w: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shock </w:t>
      </w:r>
      <w:r w:rsidR="00572A20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dei </w:t>
      </w: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tassi</w:t>
      </w:r>
      <w:r w:rsidR="005A2F3B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e</w:t>
      </w: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  <w:r w:rsidR="00B82DF9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buone prospettive</w:t>
      </w:r>
    </w:p>
    <w:p w14:paraId="5A0BEB1F" w14:textId="77777777" w:rsidR="00B32911" w:rsidRPr="009E5B2D" w:rsidRDefault="00B32911" w:rsidP="00C34AD1">
      <w:pPr>
        <w:pStyle w:val="p6"/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</w:p>
    <w:p w14:paraId="42F80579" w14:textId="75F4373B" w:rsidR="00B32911" w:rsidRPr="009E5B2D" w:rsidRDefault="00B32911" w:rsidP="00C34AD1">
      <w:pPr>
        <w:pStyle w:val="p6"/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A cura di </w:t>
      </w:r>
      <w:proofErr w:type="spellStart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Cyrille</w:t>
      </w:r>
      <w:proofErr w:type="spellEnd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  <w:proofErr w:type="spellStart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Carrière</w:t>
      </w:r>
      <w:proofErr w:type="spellEnd"/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, </w:t>
      </w:r>
      <w:r w:rsidR="00EC109B" w:rsidRPr="009E5B2D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lang w:val="it-IT"/>
        </w:rPr>
        <w:t>Partner &amp; CIO</w:t>
      </w:r>
      <w:r w:rsidR="009E5B2D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,</w:t>
      </w:r>
      <w:r w:rsidR="00EC109B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  <w:proofErr w:type="spellStart"/>
      <w:r w:rsidR="00EC109B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Lonvia</w:t>
      </w:r>
      <w:proofErr w:type="spellEnd"/>
      <w:r w:rsidR="00EC109B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Capital, </w:t>
      </w:r>
      <w:r w:rsidR="00EB2279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asset manager rappresentato </w:t>
      </w:r>
      <w:r w:rsidR="00EC109B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in Italia </w:t>
      </w:r>
      <w:r w:rsidR="00EB2279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da Amchor I</w:t>
      </w:r>
      <w:r w:rsidR="00EC109B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S</w:t>
      </w:r>
    </w:p>
    <w:p w14:paraId="60B8971C" w14:textId="77777777" w:rsidR="00D46C25" w:rsidRPr="009E5B2D" w:rsidRDefault="00D46C25" w:rsidP="00C34AD1">
      <w:pPr>
        <w:pStyle w:val="p6"/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</w:p>
    <w:p w14:paraId="0AC8852D" w14:textId="11A6D06C" w:rsidR="00E82A91" w:rsidRPr="009E5B2D" w:rsidRDefault="00E82A91" w:rsidP="00E81E7C">
      <w:pPr>
        <w:rPr>
          <w:rFonts w:cstheme="minorHAnsi"/>
          <w:bCs/>
          <w:sz w:val="22"/>
          <w:szCs w:val="22"/>
          <w:lang w:val="it-IT" w:eastAsia="en-GB"/>
        </w:rPr>
      </w:pPr>
    </w:p>
    <w:p w14:paraId="6D69FF4A" w14:textId="2113CE95" w:rsidR="00B82DF9" w:rsidRPr="009E5B2D" w:rsidRDefault="006462BE" w:rsidP="00B82DF9">
      <w:pPr>
        <w:pStyle w:val="p6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>Il 2022 ha visto un</w:t>
      </w:r>
      <w:r w:rsidR="00EC109B"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>a serie</w:t>
      </w:r>
      <w:r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di shock sfavorevoli </w:t>
      </w:r>
      <w:r w:rsidR="00EC109B"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>ai</w:t>
      </w:r>
      <w:r w:rsid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</w:t>
      </w:r>
      <w:r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titoli </w:t>
      </w:r>
      <w:proofErr w:type="spellStart"/>
      <w:r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>growth</w:t>
      </w:r>
      <w:proofErr w:type="spellEnd"/>
      <w:r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che farà storia. </w:t>
      </w:r>
      <w:r w:rsidR="00B82DF9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Il principale catalizzatore della compressione delle valutazioni delle aziende è stato lo shock dei tassi di interesse </w:t>
      </w:r>
      <w:r w:rsidR="00B82DF9" w:rsidRPr="009E5B2D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piuttosto che un rallentamento operativo delle imprese </w:t>
      </w:r>
      <w:r w:rsidR="00B82DF9" w:rsidRPr="009E5B2D">
        <w:rPr>
          <w:rFonts w:asciiTheme="minorHAnsi" w:hAnsiTheme="minorHAnsi" w:cstheme="minorHAnsi"/>
          <w:color w:val="auto"/>
          <w:sz w:val="22"/>
          <w:szCs w:val="22"/>
          <w:lang w:val="it-IT"/>
        </w:rPr>
        <w:t>e questo dovrebbe consentire un ritorno a performance azionarie maggiormente guidate dai fondamentali delle società. </w:t>
      </w:r>
    </w:p>
    <w:p w14:paraId="2C759FF9" w14:textId="77777777" w:rsidR="0051120A" w:rsidRPr="009E5B2D" w:rsidRDefault="0051120A" w:rsidP="00B82DF9">
      <w:pPr>
        <w:pStyle w:val="p6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1163DE52" w14:textId="77777777" w:rsidR="0051120A" w:rsidRPr="009E5B2D" w:rsidRDefault="0051120A" w:rsidP="0051120A">
      <w:pPr>
        <w:pStyle w:val="p6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9E5B2D">
        <w:rPr>
          <w:rFonts w:asciiTheme="minorHAnsi" w:hAnsiTheme="minorHAnsi" w:cstheme="minorHAnsi"/>
          <w:color w:val="auto"/>
          <w:sz w:val="22"/>
          <w:szCs w:val="22"/>
          <w:lang w:val="it-IT"/>
        </w:rPr>
        <w:t>La politica monetaria restrittiva è stata attuata non per sostenere la crescita, ma tardivamente per contenere il surriscaldamento degli asset, dei prezzi di beni e servizi, nonché l’emergere di meccanismi speculativi eccessivi legati alla ripresa iniziale/post-pandemia.</w:t>
      </w:r>
    </w:p>
    <w:p w14:paraId="54DF30E7" w14:textId="77777777" w:rsidR="0051120A" w:rsidRPr="009E5B2D" w:rsidRDefault="0051120A" w:rsidP="00B82DF9">
      <w:pPr>
        <w:pStyle w:val="p6"/>
        <w:rPr>
          <w:rStyle w:val="s2"/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04558AE6" w14:textId="77777777" w:rsidR="00101DB9" w:rsidRPr="009E5B2D" w:rsidRDefault="00101DB9" w:rsidP="00101DB9">
      <w:pPr>
        <w:rPr>
          <w:rFonts w:cstheme="minorHAnsi"/>
          <w:bCs/>
          <w:sz w:val="22"/>
          <w:szCs w:val="22"/>
          <w:lang w:val="it-IT" w:eastAsia="en-GB"/>
        </w:rPr>
      </w:pPr>
      <w:r w:rsidRPr="009E5B2D">
        <w:rPr>
          <w:rFonts w:cstheme="minorHAnsi"/>
          <w:bCs/>
          <w:sz w:val="22"/>
          <w:szCs w:val="22"/>
          <w:lang w:val="it-IT" w:eastAsia="en-GB"/>
        </w:rPr>
        <w:t xml:space="preserve">Ad eccezione di alcune società esposte all’elettronica di consumo in Asia e/o ai consumatori cinesi che hanno risentito del contesto di lockdown in Cina, la performance economica delle nostre società è stata buona fino al 2022. </w:t>
      </w:r>
      <w:r w:rsidRPr="009E5B2D">
        <w:rPr>
          <w:rFonts w:cstheme="minorHAnsi"/>
          <w:b/>
          <w:bCs/>
          <w:sz w:val="22"/>
          <w:szCs w:val="22"/>
          <w:lang w:val="it-IT" w:eastAsia="en-GB"/>
        </w:rPr>
        <w:t>Nel complesso, stimiamo che il 90% del calo dei prezzi azionari sia attribuibile al ribilanciamento dei tassi di interesse e al delta derivante da specifici rallentamenti operativi.</w:t>
      </w:r>
      <w:r w:rsidRPr="009E5B2D">
        <w:rPr>
          <w:rFonts w:cstheme="minorHAnsi"/>
          <w:bCs/>
          <w:sz w:val="22"/>
          <w:szCs w:val="22"/>
          <w:lang w:val="it-IT" w:eastAsia="en-GB"/>
        </w:rPr>
        <w:t xml:space="preserve"> I nostri titoli sono stati volatili in reazione ai rialzi dei tassi e non in relazione alle loro performance operative, che si sono dimostrate solide. </w:t>
      </w:r>
    </w:p>
    <w:p w14:paraId="47B45610" w14:textId="6C567961" w:rsidR="00101DB9" w:rsidRPr="009E5B2D" w:rsidRDefault="00101DB9" w:rsidP="006462BE">
      <w:pPr>
        <w:pStyle w:val="p6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4131A9EE" w14:textId="1505C5CD" w:rsidR="00101DB9" w:rsidRPr="009E5B2D" w:rsidRDefault="00101DB9" w:rsidP="00101DB9">
      <w:pPr>
        <w:rPr>
          <w:rFonts w:cstheme="minorHAnsi"/>
          <w:sz w:val="22"/>
          <w:szCs w:val="22"/>
          <w:lang w:val="it-IT" w:eastAsia="en-GB"/>
        </w:rPr>
      </w:pPr>
      <w:r w:rsidRPr="009E5B2D">
        <w:rPr>
          <w:rFonts w:cstheme="minorHAnsi"/>
          <w:b/>
          <w:bCs/>
          <w:sz w:val="22"/>
          <w:szCs w:val="22"/>
          <w:lang w:val="it-IT" w:eastAsia="en-GB"/>
        </w:rPr>
        <w:t>Molte delle nostre aziende offrono ora livelli di valutazione normalizzati</w:t>
      </w:r>
      <w:r w:rsidRPr="009E5B2D">
        <w:rPr>
          <w:rFonts w:cstheme="minorHAnsi"/>
          <w:sz w:val="22"/>
          <w:szCs w:val="22"/>
          <w:lang w:val="it-IT" w:eastAsia="en-GB"/>
        </w:rPr>
        <w:t xml:space="preserve"> </w:t>
      </w:r>
      <w:r w:rsidRPr="009E5B2D">
        <w:rPr>
          <w:rFonts w:cstheme="minorHAnsi"/>
          <w:b/>
          <w:bCs/>
          <w:sz w:val="22"/>
          <w:szCs w:val="22"/>
          <w:lang w:val="it-IT" w:eastAsia="en-GB"/>
        </w:rPr>
        <w:t>e, per quelle più cicliche, valutazioni interessanti (ritorno ai minimi di dicembre 2018/marzo 2020),</w:t>
      </w:r>
      <w:r w:rsidRPr="009E5B2D">
        <w:rPr>
          <w:rFonts w:cstheme="minorHAnsi"/>
          <w:sz w:val="22"/>
          <w:szCs w:val="22"/>
          <w:lang w:val="it-IT" w:eastAsia="en-GB"/>
        </w:rPr>
        <w:t xml:space="preserve"> in assenza di una dura recessione o di uno shock dei consumi. </w:t>
      </w:r>
    </w:p>
    <w:p w14:paraId="57111B3A" w14:textId="77777777" w:rsidR="0051120A" w:rsidRPr="009E5B2D" w:rsidRDefault="0051120A" w:rsidP="0051120A">
      <w:pPr>
        <w:rPr>
          <w:rFonts w:cstheme="minorHAnsi"/>
          <w:bCs/>
          <w:i/>
          <w:iCs/>
          <w:sz w:val="22"/>
          <w:szCs w:val="22"/>
          <w:lang w:val="it-IT" w:eastAsia="en-GB"/>
        </w:rPr>
      </w:pPr>
    </w:p>
    <w:p w14:paraId="3EE9D9DF" w14:textId="6D131931" w:rsidR="0051120A" w:rsidRPr="009E5B2D" w:rsidRDefault="0051120A" w:rsidP="0051120A">
      <w:pPr>
        <w:rPr>
          <w:rFonts w:cstheme="minorHAnsi"/>
          <w:bCs/>
          <w:sz w:val="22"/>
          <w:szCs w:val="22"/>
          <w:lang w:val="it-IT" w:eastAsia="en-GB"/>
        </w:rPr>
      </w:pPr>
      <w:r w:rsidRPr="009E5B2D">
        <w:rPr>
          <w:rFonts w:cstheme="minorHAnsi"/>
          <w:bCs/>
          <w:sz w:val="22"/>
          <w:szCs w:val="22"/>
          <w:lang w:val="it-IT" w:eastAsia="en-GB"/>
        </w:rPr>
        <w:t xml:space="preserve">Quindi, dopo questa normalizzazione delle valutazioni, </w:t>
      </w:r>
      <w:r w:rsidR="00572A20" w:rsidRPr="009E5B2D">
        <w:rPr>
          <w:rFonts w:cstheme="minorHAnsi"/>
          <w:b/>
          <w:sz w:val="22"/>
          <w:szCs w:val="22"/>
          <w:lang w:val="it-IT" w:eastAsia="en-GB"/>
        </w:rPr>
        <w:t>continuiamo ad avere fiducia</w:t>
      </w:r>
      <w:r w:rsidRPr="009E5B2D">
        <w:rPr>
          <w:rFonts w:cstheme="minorHAnsi"/>
          <w:b/>
          <w:sz w:val="22"/>
          <w:szCs w:val="22"/>
          <w:lang w:val="it-IT" w:eastAsia="en-GB"/>
        </w:rPr>
        <w:t xml:space="preserve"> nelle dinamiche di crescita delle nostre azioni nei campi della tecnologia medica, dell’innovazione digitale e dell’automazione</w:t>
      </w:r>
      <w:r w:rsidRPr="009E5B2D">
        <w:rPr>
          <w:rFonts w:cstheme="minorHAnsi"/>
          <w:bCs/>
          <w:sz w:val="22"/>
          <w:szCs w:val="22"/>
          <w:lang w:val="it-IT" w:eastAsia="en-GB"/>
        </w:rPr>
        <w:t xml:space="preserve"> che sono una fonte di progresso e di efficienza in tutti </w:t>
      </w:r>
      <w:r w:rsidR="00572A20" w:rsidRPr="009E5B2D">
        <w:rPr>
          <w:rFonts w:cstheme="minorHAnsi"/>
          <w:bCs/>
          <w:sz w:val="22"/>
          <w:szCs w:val="22"/>
          <w:lang w:val="it-IT" w:eastAsia="en-GB"/>
        </w:rPr>
        <w:t>i</w:t>
      </w:r>
      <w:r w:rsidRPr="009E5B2D">
        <w:rPr>
          <w:rFonts w:cstheme="minorHAnsi"/>
          <w:bCs/>
          <w:sz w:val="22"/>
          <w:szCs w:val="22"/>
          <w:lang w:val="it-IT" w:eastAsia="en-GB"/>
        </w:rPr>
        <w:t xml:space="preserve"> settori e le tecnologie innovative necessarie a sostenere la transizione energetica.</w:t>
      </w:r>
    </w:p>
    <w:p w14:paraId="454B32A4" w14:textId="77777777" w:rsidR="0051120A" w:rsidRPr="009E5B2D" w:rsidRDefault="0051120A" w:rsidP="00101DB9">
      <w:pPr>
        <w:rPr>
          <w:rFonts w:cstheme="minorHAnsi"/>
          <w:sz w:val="22"/>
          <w:szCs w:val="22"/>
          <w:lang w:val="it-IT" w:eastAsia="en-GB"/>
        </w:rPr>
      </w:pPr>
    </w:p>
    <w:p w14:paraId="6FB3CC31" w14:textId="6EE43ED4" w:rsidR="008852D9" w:rsidRPr="009E5B2D" w:rsidRDefault="00101DB9" w:rsidP="00101DB9">
      <w:pPr>
        <w:rPr>
          <w:rStyle w:val="s2"/>
          <w:rFonts w:cstheme="minorHAnsi"/>
          <w:color w:val="auto"/>
          <w:sz w:val="22"/>
          <w:szCs w:val="22"/>
          <w:lang w:val="it-IT" w:eastAsia="en-GB"/>
        </w:rPr>
      </w:pPr>
      <w:r w:rsidRPr="009E5B2D">
        <w:rPr>
          <w:rFonts w:cstheme="minorHAnsi"/>
          <w:sz w:val="22"/>
          <w:szCs w:val="22"/>
          <w:lang w:val="it-IT" w:eastAsia="en-GB"/>
        </w:rPr>
        <w:t>La natura indispensabile delle tecnologie, dei servizi e dei prodotti che offrono, il loro posizionamento ad alto valore aggiunto e la loro propensione allo sviluppo internazionale, si traducono in una capacità di rispondere alle massicce esigenze di investimento in innovazione, digitalizzazione e modernizzazione, soprattutto nell’industria.</w:t>
      </w:r>
    </w:p>
    <w:p w14:paraId="57DAB88F" w14:textId="77777777" w:rsidR="00E07F27" w:rsidRPr="009E5B2D" w:rsidRDefault="00E07F27" w:rsidP="00E07F27">
      <w:pPr>
        <w:rPr>
          <w:rFonts w:cstheme="minorHAnsi"/>
          <w:sz w:val="22"/>
          <w:szCs w:val="22"/>
          <w:lang w:val="it-IT" w:eastAsia="en-GB"/>
        </w:rPr>
      </w:pPr>
    </w:p>
    <w:p w14:paraId="19B7CA6E" w14:textId="6E816CAD" w:rsidR="006462BE" w:rsidRPr="009E5B2D" w:rsidRDefault="006462BE" w:rsidP="006462BE">
      <w:pPr>
        <w:pStyle w:val="p6"/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Più in generale </w:t>
      </w: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ci aspettiamo </w:t>
      </w:r>
      <w:r w:rsidR="00E07F27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per il 2023 </w:t>
      </w: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>che i fattori di rischio dell’anno scorso si normalizzino, lasciando spazio a prospettive migliori.</w:t>
      </w:r>
      <w:r w:rsidRPr="009E5B2D"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  <w:t> </w:t>
      </w:r>
    </w:p>
    <w:p w14:paraId="284F9C51" w14:textId="77777777" w:rsidR="006462BE" w:rsidRPr="009E5B2D" w:rsidRDefault="006462BE" w:rsidP="006462BE">
      <w:pPr>
        <w:pStyle w:val="p6"/>
        <w:rPr>
          <w:rStyle w:val="s2"/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</w:p>
    <w:p w14:paraId="6BD2C133" w14:textId="3C220159" w:rsidR="00E07F27" w:rsidRPr="009E5B2D" w:rsidRDefault="00E07F27" w:rsidP="00E07F27">
      <w:pPr>
        <w:rPr>
          <w:rFonts w:cstheme="minorHAnsi"/>
          <w:sz w:val="22"/>
          <w:szCs w:val="22"/>
          <w:lang w:val="it-IT" w:eastAsia="en-GB"/>
        </w:rPr>
      </w:pPr>
      <w:r w:rsidRPr="009E5B2D">
        <w:rPr>
          <w:rFonts w:cstheme="minorHAnsi"/>
          <w:b/>
          <w:sz w:val="22"/>
          <w:szCs w:val="22"/>
          <w:lang w:val="it-IT" w:eastAsia="en-GB"/>
        </w:rPr>
        <w:t>Stiamo</w:t>
      </w:r>
      <w:r w:rsidR="00572A20" w:rsidRPr="009E5B2D">
        <w:rPr>
          <w:rFonts w:cstheme="minorHAnsi"/>
          <w:b/>
          <w:sz w:val="22"/>
          <w:szCs w:val="22"/>
          <w:lang w:val="it-IT" w:eastAsia="en-GB"/>
        </w:rPr>
        <w:t>,</w:t>
      </w:r>
      <w:r w:rsidRPr="009E5B2D">
        <w:rPr>
          <w:rFonts w:cstheme="minorHAnsi"/>
          <w:b/>
          <w:sz w:val="22"/>
          <w:szCs w:val="22"/>
          <w:lang w:val="it-IT" w:eastAsia="en-GB"/>
        </w:rPr>
        <w:t xml:space="preserve"> infatti</w:t>
      </w:r>
      <w:r w:rsidR="00572A20" w:rsidRPr="009E5B2D">
        <w:rPr>
          <w:rFonts w:cstheme="minorHAnsi"/>
          <w:b/>
          <w:sz w:val="22"/>
          <w:szCs w:val="22"/>
          <w:lang w:val="it-IT" w:eastAsia="en-GB"/>
        </w:rPr>
        <w:t>,</w:t>
      </w:r>
      <w:r w:rsidRPr="009E5B2D">
        <w:rPr>
          <w:rFonts w:cstheme="minorHAnsi"/>
          <w:b/>
          <w:sz w:val="22"/>
          <w:szCs w:val="22"/>
          <w:lang w:val="it-IT" w:eastAsia="en-GB"/>
        </w:rPr>
        <w:t xml:space="preserve"> assistendo all’emergere di fattori di supporto</w:t>
      </w:r>
      <w:r w:rsidR="006A47C2" w:rsidRPr="009E5B2D">
        <w:rPr>
          <w:rFonts w:cstheme="minorHAnsi"/>
          <w:b/>
          <w:sz w:val="22"/>
          <w:szCs w:val="22"/>
          <w:lang w:val="it-IT" w:eastAsia="en-GB"/>
        </w:rPr>
        <w:t xml:space="preserve"> </w:t>
      </w:r>
      <w:r w:rsidR="006A47C2" w:rsidRPr="009E5B2D">
        <w:rPr>
          <w:rFonts w:cstheme="minorHAnsi"/>
          <w:bCs/>
          <w:sz w:val="22"/>
          <w:szCs w:val="22"/>
          <w:lang w:val="it-IT" w:eastAsia="en-GB"/>
        </w:rPr>
        <w:t>e alla normalizzazione dei fattori di rischio che hanno caratterizzato il 2022. In primis, ci sono</w:t>
      </w:r>
      <w:r w:rsidRPr="009E5B2D">
        <w:rPr>
          <w:rFonts w:cstheme="minorHAnsi"/>
          <w:sz w:val="22"/>
          <w:szCs w:val="22"/>
          <w:lang w:val="it-IT" w:eastAsia="en-GB"/>
        </w:rPr>
        <w:t> </w:t>
      </w:r>
      <w:r w:rsidR="00B82DF9" w:rsidRPr="009E5B2D">
        <w:rPr>
          <w:rFonts w:cstheme="minorHAnsi"/>
          <w:b/>
          <w:bCs/>
          <w:sz w:val="22"/>
          <w:szCs w:val="22"/>
          <w:lang w:val="it-IT" w:eastAsia="en-GB"/>
        </w:rPr>
        <w:t>m</w:t>
      </w:r>
      <w:r w:rsidRPr="009E5B2D">
        <w:rPr>
          <w:rFonts w:cstheme="minorHAnsi"/>
          <w:b/>
          <w:bCs/>
          <w:sz w:val="22"/>
          <w:szCs w:val="22"/>
          <w:lang w:val="it-IT" w:eastAsia="en-GB"/>
        </w:rPr>
        <w:t>igliori prospettive con la riapertura della Cina post-confinamento a causa della pandemia.</w:t>
      </w:r>
      <w:r w:rsidR="00572A20" w:rsidRPr="009E5B2D">
        <w:rPr>
          <w:rFonts w:cstheme="minorHAnsi"/>
          <w:b/>
          <w:bCs/>
          <w:sz w:val="22"/>
          <w:szCs w:val="22"/>
          <w:lang w:val="it-IT" w:eastAsia="en-GB"/>
        </w:rPr>
        <w:t xml:space="preserve"> </w:t>
      </w:r>
      <w:r w:rsidR="00572A20" w:rsidRPr="009E5B2D">
        <w:rPr>
          <w:rFonts w:cstheme="minorHAnsi"/>
          <w:sz w:val="22"/>
          <w:szCs w:val="22"/>
          <w:lang w:val="it-IT" w:eastAsia="en-GB"/>
        </w:rPr>
        <w:t>Alcune aziende, d</w:t>
      </w:r>
      <w:r w:rsidRPr="009E5B2D">
        <w:rPr>
          <w:rFonts w:cstheme="minorHAnsi"/>
          <w:sz w:val="22"/>
          <w:szCs w:val="22"/>
          <w:lang w:val="it-IT" w:eastAsia="en-GB"/>
        </w:rPr>
        <w:t>opo essere state</w:t>
      </w:r>
      <w:r w:rsidR="00EF18D9" w:rsidRPr="009E5B2D">
        <w:rPr>
          <w:rFonts w:cstheme="minorHAnsi"/>
          <w:sz w:val="22"/>
          <w:szCs w:val="22"/>
          <w:lang w:val="it-IT" w:eastAsia="en-GB"/>
        </w:rPr>
        <w:t xml:space="preserve"> messe in discussione per</w:t>
      </w:r>
      <w:r w:rsidRPr="009E5B2D">
        <w:rPr>
          <w:rFonts w:cstheme="minorHAnsi"/>
          <w:sz w:val="22"/>
          <w:szCs w:val="22"/>
          <w:lang w:val="it-IT" w:eastAsia="en-GB"/>
        </w:rPr>
        <w:t xml:space="preserve"> loro strategia in Cina, visto il contesto sfavorevole allo sviluppo del business, </w:t>
      </w:r>
      <w:r w:rsidR="00EF18D9" w:rsidRPr="009E5B2D">
        <w:rPr>
          <w:rFonts w:cstheme="minorHAnsi"/>
          <w:sz w:val="22"/>
          <w:szCs w:val="22"/>
          <w:lang w:val="it-IT" w:eastAsia="en-GB"/>
        </w:rPr>
        <w:t xml:space="preserve">ora dicono che continueranno a </w:t>
      </w:r>
      <w:r w:rsidR="0051120A" w:rsidRPr="009E5B2D">
        <w:rPr>
          <w:rFonts w:cstheme="minorHAnsi"/>
          <w:sz w:val="22"/>
          <w:szCs w:val="22"/>
          <w:lang w:val="it-IT" w:eastAsia="en-GB"/>
        </w:rPr>
        <w:t xml:space="preserve">investire </w:t>
      </w:r>
      <w:r w:rsidRPr="009E5B2D">
        <w:rPr>
          <w:rFonts w:cstheme="minorHAnsi"/>
          <w:sz w:val="22"/>
          <w:szCs w:val="22"/>
          <w:lang w:val="it-IT" w:eastAsia="en-GB"/>
        </w:rPr>
        <w:t xml:space="preserve">in Cina e </w:t>
      </w:r>
      <w:r w:rsidR="00EF18D9" w:rsidRPr="009E5B2D">
        <w:rPr>
          <w:rFonts w:cstheme="minorHAnsi"/>
          <w:sz w:val="22"/>
          <w:szCs w:val="22"/>
          <w:lang w:val="it-IT" w:eastAsia="en-GB"/>
        </w:rPr>
        <w:t xml:space="preserve">parlano in termini più positivi </w:t>
      </w:r>
      <w:r w:rsidRPr="009E5B2D">
        <w:rPr>
          <w:rFonts w:cstheme="minorHAnsi"/>
          <w:sz w:val="22"/>
          <w:szCs w:val="22"/>
          <w:lang w:val="it-IT" w:eastAsia="en-GB"/>
        </w:rPr>
        <w:t>della domanda locale</w:t>
      </w:r>
      <w:r w:rsidR="00572A20" w:rsidRPr="009E5B2D">
        <w:rPr>
          <w:rFonts w:cstheme="minorHAnsi"/>
          <w:sz w:val="22"/>
          <w:szCs w:val="22"/>
          <w:lang w:val="it-IT" w:eastAsia="en-GB"/>
        </w:rPr>
        <w:t xml:space="preserve">. </w:t>
      </w:r>
      <w:r w:rsidR="006A47C2" w:rsidRPr="009E5B2D">
        <w:rPr>
          <w:rFonts w:cstheme="minorHAnsi"/>
          <w:b/>
          <w:bCs/>
          <w:sz w:val="22"/>
          <w:szCs w:val="22"/>
          <w:lang w:val="it-IT" w:eastAsia="en-GB"/>
        </w:rPr>
        <w:t>Sta venendo</w:t>
      </w:r>
      <w:r w:rsidR="00EF18D9" w:rsidRPr="009E5B2D">
        <w:rPr>
          <w:rFonts w:cstheme="minorHAnsi"/>
          <w:b/>
          <w:bCs/>
          <w:sz w:val="22"/>
          <w:szCs w:val="22"/>
          <w:lang w:val="it-IT" w:eastAsia="en-GB"/>
        </w:rPr>
        <w:t xml:space="preserve"> meno </w:t>
      </w:r>
      <w:r w:rsidRPr="009E5B2D">
        <w:rPr>
          <w:rFonts w:cstheme="minorHAnsi"/>
          <w:b/>
          <w:bCs/>
          <w:sz w:val="22"/>
          <w:szCs w:val="22"/>
          <w:lang w:val="it-IT" w:eastAsia="en-GB"/>
        </w:rPr>
        <w:t xml:space="preserve">l’atmosfera da </w:t>
      </w:r>
      <w:r w:rsidR="00EF18D9" w:rsidRPr="009E5B2D">
        <w:rPr>
          <w:rFonts w:cstheme="minorHAnsi"/>
          <w:b/>
          <w:bCs/>
          <w:sz w:val="22"/>
          <w:szCs w:val="22"/>
          <w:lang w:val="it-IT" w:eastAsia="en-GB"/>
        </w:rPr>
        <w:t xml:space="preserve">“fine del mondo” </w:t>
      </w:r>
      <w:r w:rsidRPr="009E5B2D">
        <w:rPr>
          <w:rFonts w:cstheme="minorHAnsi"/>
          <w:b/>
          <w:bCs/>
          <w:sz w:val="22"/>
          <w:szCs w:val="22"/>
          <w:lang w:val="it-IT" w:eastAsia="en-GB"/>
        </w:rPr>
        <w:t>che circonda l’Europa e in particolare la Germania, legata essenzialmente a</w:t>
      </w:r>
      <w:r w:rsidR="00EF18D9" w:rsidRPr="009E5B2D">
        <w:rPr>
          <w:rFonts w:cstheme="minorHAnsi"/>
          <w:b/>
          <w:bCs/>
          <w:sz w:val="22"/>
          <w:szCs w:val="22"/>
          <w:lang w:val="it-IT" w:eastAsia="en-GB"/>
        </w:rPr>
        <w:t xml:space="preserve">i </w:t>
      </w:r>
      <w:r w:rsidRPr="009E5B2D">
        <w:rPr>
          <w:rFonts w:cstheme="minorHAnsi"/>
          <w:b/>
          <w:bCs/>
          <w:sz w:val="22"/>
          <w:szCs w:val="22"/>
          <w:lang w:val="it-IT" w:eastAsia="en-GB"/>
        </w:rPr>
        <w:t>problemi di carenza energetica</w:t>
      </w:r>
      <w:r w:rsidR="006A47C2" w:rsidRPr="009E5B2D">
        <w:rPr>
          <w:rFonts w:cstheme="minorHAnsi"/>
          <w:sz w:val="22"/>
          <w:szCs w:val="22"/>
          <w:lang w:val="it-IT" w:eastAsia="en-GB"/>
        </w:rPr>
        <w:t>. Si sta diffondendo u</w:t>
      </w:r>
      <w:r w:rsidRPr="009E5B2D">
        <w:rPr>
          <w:rFonts w:cstheme="minorHAnsi"/>
          <w:sz w:val="22"/>
          <w:szCs w:val="22"/>
          <w:lang w:val="it-IT" w:eastAsia="en-GB"/>
        </w:rPr>
        <w:t xml:space="preserve">na normalizzazione nella </w:t>
      </w:r>
      <w:r w:rsidR="00EF18D9" w:rsidRPr="009E5B2D">
        <w:rPr>
          <w:rFonts w:cstheme="minorHAnsi"/>
          <w:sz w:val="22"/>
          <w:szCs w:val="22"/>
          <w:lang w:val="it-IT" w:eastAsia="en-GB"/>
        </w:rPr>
        <w:t xml:space="preserve">prima </w:t>
      </w:r>
      <w:r w:rsidRPr="009E5B2D">
        <w:rPr>
          <w:rFonts w:cstheme="minorHAnsi"/>
          <w:sz w:val="22"/>
          <w:szCs w:val="22"/>
          <w:lang w:val="it-IT" w:eastAsia="en-GB"/>
        </w:rPr>
        <w:t xml:space="preserve">parte delle catene di fornitura </w:t>
      </w:r>
      <w:r w:rsidR="00C129E8" w:rsidRPr="009E5B2D">
        <w:rPr>
          <w:rFonts w:cstheme="minorHAnsi"/>
          <w:sz w:val="22"/>
          <w:szCs w:val="22"/>
          <w:lang w:val="it-IT" w:eastAsia="en-GB"/>
        </w:rPr>
        <w:t>con un ritorno a ritmi di produzione normalizzati con ricadute positive sul portafoglio ordini</w:t>
      </w:r>
      <w:r w:rsidR="006A47C2" w:rsidRPr="009E5B2D">
        <w:rPr>
          <w:rFonts w:cstheme="minorHAnsi"/>
          <w:sz w:val="22"/>
          <w:szCs w:val="22"/>
          <w:lang w:val="it-IT" w:eastAsia="en-GB"/>
        </w:rPr>
        <w:t>. La produzione sta crescendo</w:t>
      </w:r>
      <w:r w:rsidRPr="009E5B2D">
        <w:rPr>
          <w:rFonts w:cstheme="minorHAnsi"/>
          <w:sz w:val="22"/>
          <w:szCs w:val="22"/>
          <w:lang w:val="it-IT" w:eastAsia="en-GB"/>
        </w:rPr>
        <w:t xml:space="preserve"> </w:t>
      </w:r>
      <w:r w:rsidR="006A47C2" w:rsidRPr="009E5B2D">
        <w:rPr>
          <w:rFonts w:cstheme="minorHAnsi"/>
          <w:sz w:val="22"/>
          <w:szCs w:val="22"/>
          <w:lang w:val="it-IT" w:eastAsia="en-GB"/>
        </w:rPr>
        <w:t>beneficiando</w:t>
      </w:r>
      <w:r w:rsidRPr="009E5B2D">
        <w:rPr>
          <w:rFonts w:cstheme="minorHAnsi"/>
          <w:sz w:val="22"/>
          <w:szCs w:val="22"/>
          <w:lang w:val="it-IT" w:eastAsia="en-GB"/>
        </w:rPr>
        <w:t xml:space="preserve"> sia dell’effetto volume sia degli aumenti di prezzo effettuati a fine 2021/inizio 2022 sui nuovi contratti</w:t>
      </w:r>
      <w:r w:rsidR="006A47C2" w:rsidRPr="009E5B2D">
        <w:rPr>
          <w:rFonts w:cstheme="minorHAnsi"/>
          <w:sz w:val="22"/>
          <w:szCs w:val="22"/>
          <w:lang w:val="it-IT" w:eastAsia="en-GB"/>
        </w:rPr>
        <w:t>. I</w:t>
      </w:r>
      <w:r w:rsidR="0051120A" w:rsidRPr="009E5B2D">
        <w:rPr>
          <w:rFonts w:cstheme="minorHAnsi"/>
          <w:sz w:val="22"/>
          <w:szCs w:val="22"/>
          <w:lang w:val="it-IT" w:eastAsia="en-GB"/>
        </w:rPr>
        <w:t>nfine, s</w:t>
      </w:r>
      <w:r w:rsidRPr="009E5B2D">
        <w:rPr>
          <w:rFonts w:cstheme="minorHAnsi"/>
          <w:sz w:val="22"/>
          <w:szCs w:val="22"/>
          <w:lang w:val="it-IT" w:eastAsia="en-GB"/>
        </w:rPr>
        <w:t>e l’acquisizione degli ordini è visivamente ritardata, ciò non significa che la domanda sia strutturalmente più debole. </w:t>
      </w:r>
    </w:p>
    <w:p w14:paraId="3E725443" w14:textId="77777777" w:rsidR="0051120A" w:rsidRPr="009E5B2D" w:rsidRDefault="0051120A" w:rsidP="0051120A">
      <w:pPr>
        <w:rPr>
          <w:rFonts w:cstheme="minorHAnsi"/>
          <w:bCs/>
          <w:i/>
          <w:iCs/>
          <w:sz w:val="22"/>
          <w:szCs w:val="22"/>
          <w:lang w:val="it-IT" w:eastAsia="en-GB"/>
        </w:rPr>
      </w:pPr>
    </w:p>
    <w:p w14:paraId="7675B6BA" w14:textId="77777777" w:rsidR="0051120A" w:rsidRPr="009E5B2D" w:rsidRDefault="0051120A" w:rsidP="00E07F27">
      <w:pPr>
        <w:rPr>
          <w:rFonts w:cstheme="minorHAnsi"/>
          <w:sz w:val="22"/>
          <w:szCs w:val="22"/>
          <w:lang w:val="it-IT" w:eastAsia="en-GB"/>
        </w:rPr>
      </w:pPr>
    </w:p>
    <w:p w14:paraId="0D0D32EC" w14:textId="5906FDCD" w:rsidR="00E07F27" w:rsidRPr="009E5B2D" w:rsidRDefault="00E07F27" w:rsidP="006462BE">
      <w:pPr>
        <w:pStyle w:val="p6"/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</w:p>
    <w:p w14:paraId="39989F89" w14:textId="71D35337" w:rsidR="00E07F27" w:rsidRPr="009E5B2D" w:rsidRDefault="00E07F27" w:rsidP="00A714F6">
      <w:pPr>
        <w:pStyle w:val="p6"/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</w:pP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lastRenderedPageBreak/>
        <w:t>I dirigenti delle aziende sono</w:t>
      </w:r>
      <w:r w:rsidR="00A714F6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inoltre</w:t>
      </w:r>
      <w:r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più ottimisti rispetto al clima recessivo che si respira.</w:t>
      </w:r>
      <w:r w:rsidR="00A714F6" w:rsidRPr="009E5B2D">
        <w:rPr>
          <w:rStyle w:val="s2"/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  <w:r w:rsidRPr="009E5B2D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Negli ultimi mesi, il management team ha incontrato in tutta Europa i dirigenti di molte società presenti nei fondi. Abbiamo potuto constatare che i messaggi trasmessi dalle aziende sono più ottimistici rispetto al clima recessivo che ci circonda. Le aziende tedesche, in particolare, sono molto più positive sulle loro prospettive e sui loro piani di investimento e non sono preoccupate per i problemi legati ai prezzi o alla disponibilità di energia, avendo già preso in mano la situazione. </w:t>
      </w:r>
    </w:p>
    <w:p w14:paraId="701EFAA5" w14:textId="77777777" w:rsidR="00E07F27" w:rsidRPr="009E5B2D" w:rsidRDefault="00E07F27" w:rsidP="00E07F27">
      <w:pPr>
        <w:rPr>
          <w:rFonts w:cstheme="minorHAnsi"/>
          <w:bCs/>
          <w:sz w:val="22"/>
          <w:szCs w:val="22"/>
          <w:lang w:val="it-IT" w:eastAsia="en-GB"/>
        </w:rPr>
      </w:pPr>
    </w:p>
    <w:p w14:paraId="6F828686" w14:textId="06CE5B1D" w:rsidR="00E07F27" w:rsidRPr="00572A20" w:rsidRDefault="00E07F27" w:rsidP="00E07F27">
      <w:pPr>
        <w:rPr>
          <w:rFonts w:cstheme="minorHAnsi"/>
          <w:b/>
          <w:sz w:val="22"/>
          <w:szCs w:val="22"/>
          <w:lang w:val="it-IT" w:eastAsia="en-GB"/>
        </w:rPr>
      </w:pPr>
      <w:r w:rsidRPr="009E5B2D">
        <w:rPr>
          <w:rFonts w:cstheme="minorHAnsi"/>
          <w:sz w:val="22"/>
          <w:szCs w:val="22"/>
          <w:lang w:val="it-IT" w:eastAsia="en-GB"/>
        </w:rPr>
        <w:t xml:space="preserve">Le prime pubblicazioni dei </w:t>
      </w:r>
      <w:r w:rsidRPr="009E5B2D">
        <w:rPr>
          <w:rFonts w:cstheme="minorHAnsi"/>
          <w:b/>
          <w:bCs/>
          <w:sz w:val="22"/>
          <w:szCs w:val="22"/>
          <w:lang w:val="it-IT" w:eastAsia="en-GB"/>
        </w:rPr>
        <w:t>risultati del quarto trimestre confermano la buona dinamica operativa delle aziende</w:t>
      </w:r>
      <w:r w:rsidR="006A47C2" w:rsidRPr="009E5B2D">
        <w:rPr>
          <w:rFonts w:cstheme="minorHAnsi"/>
          <w:b/>
          <w:bCs/>
          <w:sz w:val="22"/>
          <w:szCs w:val="22"/>
          <w:lang w:val="it-IT" w:eastAsia="en-GB"/>
        </w:rPr>
        <w:t xml:space="preserve"> in portafoglio</w:t>
      </w:r>
      <w:r w:rsidRPr="009E5B2D">
        <w:rPr>
          <w:rFonts w:cstheme="minorHAnsi"/>
          <w:sz w:val="22"/>
          <w:szCs w:val="22"/>
          <w:lang w:val="it-IT" w:eastAsia="en-GB"/>
        </w:rPr>
        <w:t xml:space="preserve">, ad esempio </w:t>
      </w:r>
      <w:r w:rsidR="00427EA2" w:rsidRPr="009E5B2D">
        <w:rPr>
          <w:rFonts w:cstheme="minorHAnsi"/>
          <w:bCs/>
          <w:sz w:val="22"/>
          <w:szCs w:val="22"/>
          <w:lang w:val="it-IT" w:eastAsia="en-GB"/>
        </w:rPr>
        <w:t>de</w:t>
      </w:r>
      <w:r w:rsidRPr="009E5B2D">
        <w:rPr>
          <w:rFonts w:cstheme="minorHAnsi"/>
          <w:bCs/>
          <w:sz w:val="22"/>
          <w:szCs w:val="22"/>
          <w:lang w:val="it-IT" w:eastAsia="en-GB"/>
        </w:rPr>
        <w:t xml:space="preserve">l produttore di apparecchiature per la produzione di semiconduttori </w:t>
      </w:r>
      <w:r w:rsidRPr="009E5B2D">
        <w:rPr>
          <w:rFonts w:cstheme="minorHAnsi"/>
          <w:b/>
          <w:sz w:val="22"/>
          <w:szCs w:val="22"/>
          <w:lang w:val="it-IT" w:eastAsia="en-GB"/>
        </w:rPr>
        <w:t>ASMI.</w:t>
      </w:r>
    </w:p>
    <w:sectPr w:rsidR="00E07F27" w:rsidRPr="00572A20" w:rsidSect="0057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F5D"/>
    <w:multiLevelType w:val="hybridMultilevel"/>
    <w:tmpl w:val="1610A846"/>
    <w:lvl w:ilvl="0" w:tplc="15F490E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94B"/>
    <w:multiLevelType w:val="hybridMultilevel"/>
    <w:tmpl w:val="30D61094"/>
    <w:lvl w:ilvl="0" w:tplc="15F490E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1C0C"/>
    <w:multiLevelType w:val="hybridMultilevel"/>
    <w:tmpl w:val="7FE870C8"/>
    <w:lvl w:ilvl="0" w:tplc="15F490E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7F4E"/>
    <w:multiLevelType w:val="hybridMultilevel"/>
    <w:tmpl w:val="597A2E74"/>
    <w:lvl w:ilvl="0" w:tplc="15F490EA">
      <w:start w:val="3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C450A"/>
    <w:multiLevelType w:val="hybridMultilevel"/>
    <w:tmpl w:val="95BE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33F5"/>
    <w:multiLevelType w:val="hybridMultilevel"/>
    <w:tmpl w:val="6CA0A59E"/>
    <w:lvl w:ilvl="0" w:tplc="AA422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8998">
    <w:abstractNumId w:val="4"/>
  </w:num>
  <w:num w:numId="2" w16cid:durableId="1117522983">
    <w:abstractNumId w:val="3"/>
  </w:num>
  <w:num w:numId="3" w16cid:durableId="1418209123">
    <w:abstractNumId w:val="1"/>
  </w:num>
  <w:num w:numId="4" w16cid:durableId="716317674">
    <w:abstractNumId w:val="0"/>
  </w:num>
  <w:num w:numId="5" w16cid:durableId="169026572">
    <w:abstractNumId w:val="5"/>
  </w:num>
  <w:num w:numId="6" w16cid:durableId="562981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BF"/>
    <w:rsid w:val="000B0C87"/>
    <w:rsid w:val="00101DB9"/>
    <w:rsid w:val="001139BC"/>
    <w:rsid w:val="001D4076"/>
    <w:rsid w:val="001D6A7A"/>
    <w:rsid w:val="003124DA"/>
    <w:rsid w:val="003E1048"/>
    <w:rsid w:val="00427EA2"/>
    <w:rsid w:val="0051120A"/>
    <w:rsid w:val="00570192"/>
    <w:rsid w:val="00572A20"/>
    <w:rsid w:val="005A2F3B"/>
    <w:rsid w:val="006462BE"/>
    <w:rsid w:val="006A47C2"/>
    <w:rsid w:val="00862D0E"/>
    <w:rsid w:val="008852D9"/>
    <w:rsid w:val="009E5B2D"/>
    <w:rsid w:val="00A11A9C"/>
    <w:rsid w:val="00A714F6"/>
    <w:rsid w:val="00AC0BDD"/>
    <w:rsid w:val="00B32911"/>
    <w:rsid w:val="00B82DF9"/>
    <w:rsid w:val="00C05BBF"/>
    <w:rsid w:val="00C129E8"/>
    <w:rsid w:val="00C34AD1"/>
    <w:rsid w:val="00D46C25"/>
    <w:rsid w:val="00E07F27"/>
    <w:rsid w:val="00E81E7C"/>
    <w:rsid w:val="00E82A91"/>
    <w:rsid w:val="00E91232"/>
    <w:rsid w:val="00EB2279"/>
    <w:rsid w:val="00EC109B"/>
    <w:rsid w:val="00EF18D9"/>
    <w:rsid w:val="00E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B537"/>
  <w15:chartTrackingRefBased/>
  <w15:docId w15:val="{08841497-B476-4D58-8B5B-D56A1F7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BB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5B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5BBF"/>
    <w:pPr>
      <w:ind w:left="720"/>
      <w:contextualSpacing/>
    </w:pPr>
  </w:style>
  <w:style w:type="paragraph" w:customStyle="1" w:styleId="p6">
    <w:name w:val="p6"/>
    <w:basedOn w:val="Normale"/>
    <w:rsid w:val="00C34AD1"/>
    <w:rPr>
      <w:rFonts w:ascii="Helvetica" w:hAnsi="Helvetica" w:cs="Times New Roman"/>
      <w:color w:val="232323"/>
      <w:sz w:val="16"/>
      <w:szCs w:val="16"/>
      <w:lang w:eastAsia="en-GB"/>
    </w:rPr>
  </w:style>
  <w:style w:type="character" w:customStyle="1" w:styleId="s2">
    <w:name w:val="s2"/>
    <w:basedOn w:val="Carpredefinitoparagrafo"/>
    <w:rsid w:val="00C34AD1"/>
    <w:rPr>
      <w:color w:val="2A6876"/>
    </w:rPr>
  </w:style>
  <w:style w:type="paragraph" w:customStyle="1" w:styleId="p3">
    <w:name w:val="p3"/>
    <w:basedOn w:val="Normale"/>
    <w:rsid w:val="00D46C25"/>
    <w:rPr>
      <w:rFonts w:ascii="Cambria" w:hAnsi="Cambria" w:cs="Times New Roman"/>
      <w:color w:val="255E69"/>
      <w:sz w:val="21"/>
      <w:szCs w:val="21"/>
      <w:lang w:eastAsia="en-GB"/>
    </w:rPr>
  </w:style>
  <w:style w:type="paragraph" w:styleId="Revisione">
    <w:name w:val="Revision"/>
    <w:hidden/>
    <w:uiPriority w:val="99"/>
    <w:semiHidden/>
    <w:rsid w:val="00EC109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Diana Ferla</cp:lastModifiedBy>
  <cp:revision>3</cp:revision>
  <dcterms:created xsi:type="dcterms:W3CDTF">2023-02-15T09:17:00Z</dcterms:created>
  <dcterms:modified xsi:type="dcterms:W3CDTF">2023-02-15T09:40:00Z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144de18e-e93e-4dac-b049-0b3a6cbcf7ea</vt:lpwstr>
  </property>
</Properties>
</file>