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49E7" w14:textId="25737532" w:rsidR="007A1D14" w:rsidRPr="00CD5A84" w:rsidRDefault="007A1D14" w:rsidP="005255FB">
      <w:pPr>
        <w:tabs>
          <w:tab w:val="left" w:pos="2880"/>
        </w:tabs>
        <w:spacing w:after="0" w:line="360" w:lineRule="auto"/>
        <w:ind w:left="-142" w:right="-143"/>
        <w:jc w:val="center"/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</w:pPr>
      <w:r w:rsidRPr="00CD5A84"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  <w:t>Comunicato stampa</w:t>
      </w:r>
    </w:p>
    <w:p w14:paraId="5963C11A" w14:textId="77777777" w:rsidR="000E3C11" w:rsidRPr="00CD5A84" w:rsidRDefault="000E3C11" w:rsidP="005255FB">
      <w:pPr>
        <w:tabs>
          <w:tab w:val="left" w:pos="2880"/>
        </w:tabs>
        <w:spacing w:after="0" w:line="360" w:lineRule="auto"/>
        <w:ind w:left="-142" w:right="-143"/>
        <w:jc w:val="center"/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</w:pPr>
    </w:p>
    <w:p w14:paraId="00205C64" w14:textId="77777777" w:rsidR="005847B6" w:rsidRPr="00CD5A84" w:rsidRDefault="005847B6" w:rsidP="0087494C">
      <w:pPr>
        <w:pStyle w:val="Testonormale"/>
        <w:spacing w:line="360" w:lineRule="auto"/>
        <w:ind w:left="-142" w:right="-143"/>
        <w:jc w:val="center"/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</w:pPr>
      <w:r w:rsidRPr="00CD5A84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ACOMEA SGR – I </w:t>
      </w:r>
      <w:r w:rsidR="004B6EB0" w:rsidRPr="00CD5A84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DUE FONDI FLESSIBILI </w:t>
      </w:r>
      <w:r w:rsidRPr="00CD5A84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“MADE WITH VANGUARD”</w:t>
      </w:r>
      <w:r w:rsidR="00B54A84" w:rsidRPr="00CD5A84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 </w:t>
      </w:r>
    </w:p>
    <w:p w14:paraId="267FB6DB" w14:textId="769653F9" w:rsidR="0087494C" w:rsidRPr="00CD5A84" w:rsidRDefault="000C5FE9" w:rsidP="0087494C">
      <w:pPr>
        <w:pStyle w:val="Testonormale"/>
        <w:spacing w:line="360" w:lineRule="auto"/>
        <w:ind w:left="-142" w:right="-143"/>
        <w:jc w:val="center"/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</w:pPr>
      <w:r w:rsidRPr="00CD5A84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A DISPOSIZIONE DEI DISTRIBUTORI</w:t>
      </w:r>
    </w:p>
    <w:p w14:paraId="1AAB16C2" w14:textId="77777777" w:rsidR="00B57268" w:rsidRPr="00CD5A84" w:rsidRDefault="00B57268" w:rsidP="00891A67">
      <w:pPr>
        <w:spacing w:line="240" w:lineRule="auto"/>
        <w:ind w:left="-142" w:right="-143"/>
        <w:jc w:val="both"/>
        <w:rPr>
          <w:rFonts w:ascii="Verdana" w:eastAsia="MS Mincho" w:hAnsi="Verdana" w:cs="Arial"/>
          <w:i/>
          <w:iCs/>
          <w:snapToGrid w:val="0"/>
          <w:sz w:val="22"/>
          <w:lang w:val="it-IT"/>
        </w:rPr>
      </w:pPr>
    </w:p>
    <w:p w14:paraId="352A9BFC" w14:textId="212E005A" w:rsidR="0025325B" w:rsidRPr="00CD5A84" w:rsidRDefault="0068031B" w:rsidP="00891A67">
      <w:pPr>
        <w:spacing w:line="240" w:lineRule="auto"/>
        <w:ind w:left="-142" w:right="-143"/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CD5A84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Milano, </w:t>
      </w:r>
      <w:r w:rsidR="00E83298" w:rsidRPr="00CD5A84">
        <w:rPr>
          <w:rFonts w:ascii="Verdana" w:eastAsia="MS Mincho" w:hAnsi="Verdana" w:cs="Arial"/>
          <w:i/>
          <w:iCs/>
          <w:snapToGrid w:val="0"/>
          <w:sz w:val="22"/>
          <w:lang w:val="it-IT"/>
        </w:rPr>
        <w:t>27</w:t>
      </w:r>
      <w:r w:rsidRPr="00CD5A84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</w:t>
      </w:r>
      <w:r w:rsidR="00970645" w:rsidRPr="00CD5A84">
        <w:rPr>
          <w:rFonts w:ascii="Verdana" w:eastAsia="MS Mincho" w:hAnsi="Verdana" w:cs="Arial"/>
          <w:i/>
          <w:iCs/>
          <w:snapToGrid w:val="0"/>
          <w:sz w:val="22"/>
          <w:lang w:val="it-IT"/>
        </w:rPr>
        <w:t>febbraio</w:t>
      </w:r>
      <w:r w:rsidRPr="00CD5A84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202</w:t>
      </w:r>
      <w:r w:rsidR="00970645" w:rsidRPr="00CD5A84">
        <w:rPr>
          <w:rFonts w:ascii="Verdana" w:eastAsia="MS Mincho" w:hAnsi="Verdana" w:cs="Arial"/>
          <w:i/>
          <w:iCs/>
          <w:snapToGrid w:val="0"/>
          <w:sz w:val="22"/>
          <w:lang w:val="it-IT"/>
        </w:rPr>
        <w:t>3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EA0308" w:rsidRPr="00CD5A84">
        <w:rPr>
          <w:rFonts w:ascii="Verdana" w:eastAsia="MS Mincho" w:hAnsi="Verdana" w:cs="Arial"/>
          <w:snapToGrid w:val="0"/>
          <w:sz w:val="22"/>
          <w:lang w:val="it-IT"/>
        </w:rPr>
        <w:t>–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970645" w:rsidRPr="00CD5A84">
        <w:rPr>
          <w:rFonts w:ascii="Verdana" w:eastAsia="MS Mincho" w:hAnsi="Verdana" w:cs="Arial"/>
          <w:b/>
          <w:bCs/>
          <w:snapToGrid w:val="0"/>
          <w:sz w:val="22"/>
          <w:lang w:val="it-IT"/>
        </w:rPr>
        <w:t>AcomeA SGR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, </w:t>
      </w:r>
      <w:r w:rsidR="00891A67" w:rsidRPr="00CD5A84">
        <w:rPr>
          <w:rFonts w:ascii="Verdana" w:eastAsia="MS Mincho" w:hAnsi="Verdana" w:cs="Arial"/>
          <w:snapToGrid w:val="0"/>
          <w:sz w:val="22"/>
          <w:lang w:val="it-IT"/>
        </w:rPr>
        <w:t>boutique di investimento indipendente italiana caratterizzata da un</w:t>
      </w:r>
      <w:r w:rsidR="00A844F9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approccio</w:t>
      </w:r>
      <w:r w:rsidR="00891A67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proofErr w:type="spellStart"/>
      <w:r w:rsidR="00891A67" w:rsidRPr="00CD5A84">
        <w:rPr>
          <w:rFonts w:ascii="Verdana" w:eastAsia="MS Mincho" w:hAnsi="Verdana" w:cs="Arial"/>
          <w:snapToGrid w:val="0"/>
          <w:sz w:val="22"/>
          <w:lang w:val="it-IT"/>
        </w:rPr>
        <w:t>value</w:t>
      </w:r>
      <w:proofErr w:type="spellEnd"/>
      <w:r w:rsidR="00891A67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proofErr w:type="spellStart"/>
      <w:r w:rsidR="00891A67" w:rsidRPr="00CD5A84">
        <w:rPr>
          <w:rFonts w:ascii="Verdana" w:eastAsia="MS Mincho" w:hAnsi="Verdana" w:cs="Arial"/>
          <w:snapToGrid w:val="0"/>
          <w:sz w:val="22"/>
          <w:lang w:val="it-IT"/>
        </w:rPr>
        <w:t>contrarian</w:t>
      </w:r>
      <w:proofErr w:type="spellEnd"/>
      <w:r w:rsidR="00891A67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alla gestione attiva</w:t>
      </w:r>
      <w:r w:rsidR="00272C7C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di fondi UCITS e </w:t>
      </w:r>
      <w:proofErr w:type="spellStart"/>
      <w:r w:rsidR="00272C7C" w:rsidRPr="00CD5A84">
        <w:rPr>
          <w:rFonts w:ascii="Verdana" w:eastAsia="MS Mincho" w:hAnsi="Verdana" w:cs="Arial"/>
          <w:snapToGrid w:val="0"/>
          <w:sz w:val="22"/>
          <w:lang w:val="it-IT"/>
        </w:rPr>
        <w:t>liquid</w:t>
      </w:r>
      <w:proofErr w:type="spellEnd"/>
      <w:r w:rsidR="00272C7C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alternative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>, avvia la commercializzazione dei fondi</w:t>
      </w:r>
      <w:r w:rsidR="00891A67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flessibili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970645" w:rsidRPr="00CD5A84">
        <w:rPr>
          <w:rFonts w:ascii="Verdana" w:eastAsia="MS Mincho" w:hAnsi="Verdana" w:cs="Arial"/>
          <w:b/>
          <w:bCs/>
          <w:snapToGrid w:val="0"/>
          <w:sz w:val="22"/>
          <w:lang w:val="it-IT"/>
        </w:rPr>
        <w:t>Strategia Crescita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e </w:t>
      </w:r>
      <w:r w:rsidR="00970645" w:rsidRPr="00CD5A84">
        <w:rPr>
          <w:rFonts w:ascii="Verdana" w:eastAsia="MS Mincho" w:hAnsi="Verdana" w:cs="Arial"/>
          <w:b/>
          <w:bCs/>
          <w:snapToGrid w:val="0"/>
          <w:sz w:val="22"/>
          <w:lang w:val="it-IT"/>
        </w:rPr>
        <w:t>Strategia Moderata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presso i propri distributori. </w:t>
      </w:r>
    </w:p>
    <w:p w14:paraId="6063798B" w14:textId="77777777" w:rsidR="00FE3D1B" w:rsidRPr="00CD5A84" w:rsidRDefault="0025325B" w:rsidP="00FE3D1B">
      <w:pPr>
        <w:spacing w:line="240" w:lineRule="auto"/>
        <w:ind w:left="-142" w:right="-143"/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CD5A84">
        <w:rPr>
          <w:rFonts w:ascii="Verdana" w:eastAsia="MS Mincho" w:hAnsi="Verdana" w:cs="Arial"/>
          <w:snapToGrid w:val="0"/>
          <w:sz w:val="22"/>
          <w:lang w:val="it-IT"/>
        </w:rPr>
        <w:t>I due strumenti, che sono categorizzati come art. 8 della SFDR, s</w:t>
      </w:r>
      <w:r w:rsidR="00AD34E2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ono frutto di una collaborazione con il colosso americano Vanguard, secondo gestore al mondo in termini di AUM. Già disponibili 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>in autunno</w:t>
      </w:r>
      <w:r w:rsidR="00AD34E2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>in esclusiva per gli utenti di Gimme5</w:t>
      </w:r>
      <w:r w:rsidR="00AD34E2" w:rsidRPr="00CD5A84">
        <w:rPr>
          <w:rFonts w:ascii="Verdana" w:eastAsia="MS Mincho" w:hAnsi="Verdana" w:cs="Arial"/>
          <w:snapToGrid w:val="0"/>
          <w:sz w:val="22"/>
          <w:lang w:val="it-IT"/>
        </w:rPr>
        <w:t>,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AD34E2" w:rsidRPr="00CD5A84">
        <w:rPr>
          <w:rFonts w:ascii="Verdana" w:eastAsia="MS Mincho" w:hAnsi="Verdana" w:cs="Arial"/>
          <w:snapToGrid w:val="0"/>
          <w:sz w:val="22"/>
          <w:lang w:val="it-IT"/>
        </w:rPr>
        <w:t>sono oggi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5847B6" w:rsidRPr="00CD5A84">
        <w:rPr>
          <w:rFonts w:ascii="Verdana" w:eastAsia="MS Mincho" w:hAnsi="Verdana" w:cs="Arial"/>
          <w:snapToGrid w:val="0"/>
          <w:sz w:val="22"/>
          <w:lang w:val="it-IT"/>
        </w:rPr>
        <w:t>accessibili</w:t>
      </w:r>
      <w:r w:rsidR="00AD34E2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anche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5847B6" w:rsidRPr="00CD5A84">
        <w:rPr>
          <w:rFonts w:ascii="Verdana" w:eastAsia="MS Mincho" w:hAnsi="Verdana" w:cs="Arial"/>
          <w:snapToGrid w:val="0"/>
          <w:sz w:val="22"/>
          <w:lang w:val="it-IT"/>
        </w:rPr>
        <w:t>a</w:t>
      </w:r>
      <w:r w:rsidR="00AD34E2" w:rsidRPr="00CD5A84">
        <w:rPr>
          <w:rFonts w:ascii="Verdana" w:eastAsia="MS Mincho" w:hAnsi="Verdana" w:cs="Arial"/>
          <w:snapToGrid w:val="0"/>
          <w:sz w:val="22"/>
          <w:lang w:val="it-IT"/>
        </w:rPr>
        <w:t>lle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Banche e </w:t>
      </w:r>
      <w:r w:rsidR="005847B6" w:rsidRPr="00CD5A84">
        <w:rPr>
          <w:rFonts w:ascii="Verdana" w:eastAsia="MS Mincho" w:hAnsi="Verdana" w:cs="Arial"/>
          <w:snapToGrid w:val="0"/>
          <w:sz w:val="22"/>
          <w:lang w:val="it-IT"/>
        </w:rPr>
        <w:t>a</w:t>
      </w:r>
      <w:r w:rsidR="00AD34E2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lle 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SIM </w:t>
      </w:r>
      <w:r w:rsidR="00AD34E2" w:rsidRPr="00CD5A84">
        <w:rPr>
          <w:rFonts w:ascii="Verdana" w:eastAsia="MS Mincho" w:hAnsi="Verdana" w:cs="Arial"/>
          <w:snapToGrid w:val="0"/>
          <w:sz w:val="22"/>
          <w:lang w:val="it-IT"/>
        </w:rPr>
        <w:t>che collocano i fondi di AcomeA SGR</w:t>
      </w:r>
      <w:r w:rsidR="00970645" w:rsidRPr="00CD5A84">
        <w:rPr>
          <w:rFonts w:ascii="Verdana" w:eastAsia="MS Mincho" w:hAnsi="Verdana" w:cs="Arial"/>
          <w:snapToGrid w:val="0"/>
          <w:sz w:val="22"/>
          <w:lang w:val="it-IT"/>
        </w:rPr>
        <w:t>.</w:t>
      </w:r>
    </w:p>
    <w:p w14:paraId="06945E50" w14:textId="5C5B826B" w:rsidR="00FE3D1B" w:rsidRPr="00CD5A84" w:rsidRDefault="00970645" w:rsidP="00FE3D1B">
      <w:pPr>
        <w:spacing w:line="240" w:lineRule="auto"/>
        <w:ind w:left="-142" w:right="-143"/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CD5A84">
        <w:rPr>
          <w:rFonts w:ascii="Arial Narrow" w:eastAsia="MS Mincho" w:hAnsi="Arial Narrow" w:cs="Arial"/>
          <w:snapToGrid w:val="0"/>
          <w:sz w:val="22"/>
          <w:lang w:val="it-IT"/>
        </w:rPr>
        <w:t>«</w:t>
      </w:r>
      <w:r w:rsidRPr="00CD5A84">
        <w:rPr>
          <w:rFonts w:ascii="Verdana" w:eastAsia="MS Mincho" w:hAnsi="Verdana" w:cs="Arial"/>
          <w:i/>
          <w:iCs/>
          <w:snapToGrid w:val="0"/>
          <w:sz w:val="22"/>
          <w:lang w:val="it-IT"/>
        </w:rPr>
        <w:t>I due nuovi fondi “made with Vanguard” consentono ai nostri Partner Distributori di accedere a una strategia efficace che coniuga alta diversificazione a un target di clientela attenta alla Sostenibilità</w:t>
      </w:r>
      <w:r w:rsidRPr="00CD5A84">
        <w:rPr>
          <w:rFonts w:ascii="Arial Narrow" w:eastAsia="MS Mincho" w:hAnsi="Arial Narrow" w:cs="Arial"/>
          <w:snapToGrid w:val="0"/>
          <w:sz w:val="22"/>
          <w:lang w:val="it-IT"/>
        </w:rPr>
        <w:t>»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, afferma </w:t>
      </w:r>
      <w:r w:rsidRPr="00CD5A84">
        <w:rPr>
          <w:rFonts w:ascii="Verdana" w:eastAsia="MS Mincho" w:hAnsi="Verdana" w:cs="Arial"/>
          <w:b/>
          <w:bCs/>
          <w:snapToGrid w:val="0"/>
          <w:sz w:val="22"/>
          <w:lang w:val="it-IT"/>
        </w:rPr>
        <w:t>Matteo Serio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, </w:t>
      </w:r>
      <w:r w:rsidR="00BA2125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Partner e Direttore Commerciale 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>della SGR milanese.</w:t>
      </w:r>
    </w:p>
    <w:p w14:paraId="2C2C64B6" w14:textId="77777777" w:rsidR="00FE3D1B" w:rsidRPr="00CD5A84" w:rsidRDefault="00970645" w:rsidP="00FE3D1B">
      <w:pPr>
        <w:spacing w:line="240" w:lineRule="auto"/>
        <w:ind w:left="-142" w:right="-143"/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Si tratta di due prodotti per l’asset </w:t>
      </w:r>
      <w:proofErr w:type="spellStart"/>
      <w:r w:rsidRPr="00CD5A84">
        <w:rPr>
          <w:rFonts w:ascii="Verdana" w:eastAsia="MS Mincho" w:hAnsi="Verdana" w:cs="Arial"/>
          <w:snapToGrid w:val="0"/>
          <w:sz w:val="22"/>
          <w:lang w:val="it-IT"/>
        </w:rPr>
        <w:t>allocation</w:t>
      </w:r>
      <w:proofErr w:type="spellEnd"/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globale, gestiti secondo una logica di “</w:t>
      </w:r>
      <w:proofErr w:type="spellStart"/>
      <w:r w:rsidRPr="00CD5A84">
        <w:rPr>
          <w:rFonts w:ascii="Verdana" w:eastAsia="MS Mincho" w:hAnsi="Verdana" w:cs="Arial"/>
          <w:snapToGrid w:val="0"/>
          <w:sz w:val="22"/>
          <w:lang w:val="it-IT"/>
        </w:rPr>
        <w:t>costant</w:t>
      </w:r>
      <w:proofErr w:type="spellEnd"/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mix”, cioè con un ribilanciamento periodico automatico tra l’asset class azionaria e quella obbligazionaria. In particolare, AcomeA Strategia Moderata prevede una allocazione 60% obbligazioni e 40% Azioni, mentre Strategia Crescita prevede una allocazione 20% in Obbligazioni e 80% in Azioni.</w:t>
      </w:r>
    </w:p>
    <w:p w14:paraId="32718154" w14:textId="1EEE7F40" w:rsidR="00011A99" w:rsidRPr="00CD5A84" w:rsidRDefault="00A844F9" w:rsidP="00FE3D1B">
      <w:pPr>
        <w:spacing w:line="240" w:lineRule="auto"/>
        <w:ind w:left="-142" w:right="-143"/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Sale così a </w:t>
      </w:r>
      <w:r w:rsidR="00BA2125" w:rsidRPr="00CD5A84">
        <w:rPr>
          <w:rFonts w:ascii="Verdana" w:eastAsia="MS Mincho" w:hAnsi="Verdana" w:cs="Arial"/>
          <w:snapToGrid w:val="0"/>
          <w:sz w:val="22"/>
          <w:lang w:val="it-IT"/>
        </w:rPr>
        <w:t>19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la gamma di </w:t>
      </w:r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>soluzioni di investimento attive che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AcomeA SGR </w:t>
      </w:r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mette 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>a disposizione d</w:t>
      </w:r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>e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>i distributori</w:t>
      </w:r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italiani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. </w:t>
      </w:r>
      <w:r w:rsidR="00843C18" w:rsidRPr="00CD5A84">
        <w:rPr>
          <w:rFonts w:ascii="Verdana" w:eastAsia="MS Mincho" w:hAnsi="Verdana" w:cs="Arial"/>
          <w:snapToGrid w:val="0"/>
          <w:sz w:val="22"/>
          <w:lang w:val="it-IT"/>
        </w:rPr>
        <w:t>In particolare, e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>ssa si compone di</w:t>
      </w:r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>:</w:t>
      </w:r>
    </w:p>
    <w:p w14:paraId="5BFFBF73" w14:textId="4ECABD09" w:rsidR="00011A99" w:rsidRPr="00CD5A84" w:rsidRDefault="00843C18" w:rsidP="00011A9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CD5A84">
        <w:rPr>
          <w:rFonts w:ascii="Verdana" w:eastAsia="MS Mincho" w:hAnsi="Verdana" w:cs="Arial"/>
          <w:snapToGrid w:val="0"/>
          <w:sz w:val="22"/>
          <w:lang w:val="it-IT"/>
        </w:rPr>
        <w:t>1</w:t>
      </w:r>
      <w:r w:rsidR="00BA2125" w:rsidRPr="00CD5A84">
        <w:rPr>
          <w:rFonts w:ascii="Verdana" w:eastAsia="MS Mincho" w:hAnsi="Verdana" w:cs="Arial"/>
          <w:snapToGrid w:val="0"/>
          <w:sz w:val="22"/>
          <w:lang w:val="it-IT"/>
        </w:rPr>
        <w:t>5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fondi aperti UCITS tra </w:t>
      </w:r>
      <w:r w:rsidR="00A844F9" w:rsidRPr="00CD5A84">
        <w:rPr>
          <w:rFonts w:ascii="Verdana" w:eastAsia="MS Mincho" w:hAnsi="Verdana" w:cs="Arial"/>
          <w:snapToGrid w:val="0"/>
          <w:sz w:val="22"/>
          <w:lang w:val="it-IT"/>
        </w:rPr>
        <w:t>obbligazionari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, </w:t>
      </w:r>
      <w:r w:rsidR="00A844F9" w:rsidRPr="00CD5A84">
        <w:rPr>
          <w:rFonts w:ascii="Verdana" w:eastAsia="MS Mincho" w:hAnsi="Verdana" w:cs="Arial"/>
          <w:snapToGrid w:val="0"/>
          <w:sz w:val="22"/>
          <w:lang w:val="it-IT"/>
        </w:rPr>
        <w:t>flessibili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e </w:t>
      </w:r>
      <w:r w:rsidR="00A844F9" w:rsidRPr="00CD5A84">
        <w:rPr>
          <w:rFonts w:ascii="Verdana" w:eastAsia="MS Mincho" w:hAnsi="Verdana" w:cs="Arial"/>
          <w:snapToGrid w:val="0"/>
          <w:sz w:val="22"/>
          <w:lang w:val="it-IT"/>
        </w:rPr>
        <w:t>azionari</w:t>
      </w:r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>;</w:t>
      </w:r>
    </w:p>
    <w:p w14:paraId="3DBB734A" w14:textId="22C46744" w:rsidR="00011A99" w:rsidRPr="00CD5A84" w:rsidRDefault="00843C18" w:rsidP="00011A9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CD5A84">
        <w:rPr>
          <w:rFonts w:ascii="Verdana" w:eastAsia="MS Mincho" w:hAnsi="Verdana" w:cs="Arial"/>
          <w:snapToGrid w:val="0"/>
          <w:sz w:val="22"/>
          <w:lang w:val="it-IT"/>
        </w:rPr>
        <w:t>AcomeA Italian Gems</w:t>
      </w:r>
      <w:r w:rsidR="005847B6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, il 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FIA aperto non riservato </w:t>
      </w:r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e </w:t>
      </w:r>
      <w:r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PIR Alternative compliant </w:t>
      </w:r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>che consente di investire nelle PMI italiane quotate;</w:t>
      </w:r>
    </w:p>
    <w:p w14:paraId="11617A17" w14:textId="2A2EE729" w:rsidR="00011A99" w:rsidRPr="00CD5A84" w:rsidRDefault="00BA2125" w:rsidP="00011A9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CD5A84">
        <w:rPr>
          <w:rFonts w:ascii="Verdana" w:eastAsia="MS Mincho" w:hAnsi="Verdana" w:cs="Arial"/>
          <w:snapToGrid w:val="0"/>
          <w:sz w:val="22"/>
          <w:lang w:val="it-IT"/>
        </w:rPr>
        <w:t>4</w:t>
      </w:r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fondi </w:t>
      </w:r>
      <w:proofErr w:type="spellStart"/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>liquid</w:t>
      </w:r>
      <w:proofErr w:type="spellEnd"/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alternative di </w:t>
      </w:r>
      <w:proofErr w:type="spellStart"/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>Finlabo</w:t>
      </w:r>
      <w:proofErr w:type="spellEnd"/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Sicav</w:t>
      </w:r>
      <w:r w:rsidR="00EA1502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su strategie azionarie long/ short</w:t>
      </w:r>
      <w:r w:rsidR="00011A99" w:rsidRPr="00CD5A84">
        <w:rPr>
          <w:rFonts w:ascii="Verdana" w:eastAsia="MS Mincho" w:hAnsi="Verdana" w:cs="Arial"/>
          <w:snapToGrid w:val="0"/>
          <w:sz w:val="22"/>
          <w:lang w:val="it-IT"/>
        </w:rPr>
        <w:t>, in virtù della partnership stretta nel 2022 dalle due realtà.</w:t>
      </w:r>
    </w:p>
    <w:p w14:paraId="227CC98A" w14:textId="77777777" w:rsidR="00517EE0" w:rsidRPr="00CD5A84" w:rsidRDefault="00517EE0" w:rsidP="004712EF">
      <w:pPr>
        <w:spacing w:line="240" w:lineRule="auto"/>
        <w:ind w:left="-142" w:right="-143"/>
        <w:jc w:val="center"/>
        <w:rPr>
          <w:rFonts w:ascii="Verdana" w:eastAsia="MS Mincho" w:hAnsi="Verdana" w:cs="Arial"/>
          <w:snapToGrid w:val="0"/>
          <w:sz w:val="22"/>
          <w:lang w:val="it-IT"/>
        </w:rPr>
      </w:pPr>
    </w:p>
    <w:p w14:paraId="0D382653" w14:textId="5D91372F" w:rsidR="00871905" w:rsidRPr="00CD5A84" w:rsidRDefault="00871905" w:rsidP="005255FB">
      <w:pPr>
        <w:spacing w:after="0" w:line="240" w:lineRule="auto"/>
        <w:ind w:left="-142" w:right="-143"/>
        <w:jc w:val="both"/>
        <w:rPr>
          <w:rFonts w:cs="Arial"/>
          <w:sz w:val="20"/>
          <w:szCs w:val="20"/>
          <w:u w:val="single"/>
          <w:lang w:val="it-IT"/>
        </w:rPr>
      </w:pPr>
    </w:p>
    <w:p w14:paraId="7AC97AF4" w14:textId="77777777" w:rsidR="00F71FF3" w:rsidRPr="00CD5A84" w:rsidRDefault="00F71FF3" w:rsidP="00F71FF3">
      <w:pPr>
        <w:spacing w:after="0"/>
        <w:jc w:val="both"/>
        <w:rPr>
          <w:rFonts w:ascii="Verdana" w:eastAsia="Source Sans Pro" w:hAnsi="Verdana" w:cs="Source Sans Pro"/>
          <w:b/>
          <w:iCs/>
          <w:color w:val="ED7D31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b/>
          <w:iCs/>
          <w:color w:val="ED7D31"/>
          <w:sz w:val="16"/>
          <w:szCs w:val="16"/>
          <w:lang w:val="it-IT"/>
        </w:rPr>
        <w:t>AcomeA SGR</w:t>
      </w:r>
    </w:p>
    <w:p w14:paraId="1E7ED4FC" w14:textId="7777777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Boutique di investimento indipendente italiana nata nel 2010 per iniziativa di un gruppo di imprenditori e gestori pionieri del settore del risparmio gestito: Alberto Foà, Giordano Martinelli, Giovanni Brambilla, Matteo Serio e Daniele Cohen. Oltre il 90% di AcomeA SGR è detenuto dal management e dai dipendenti che investono una parte del loro patrimonio nei fondi della società.</w:t>
      </w:r>
    </w:p>
    <w:p w14:paraId="02BD8238" w14:textId="7736655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La SGR si caratterizza per uno stile di gestione fortemente attivo, basato su un approccio </w:t>
      </w:r>
      <w:proofErr w:type="spellStart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value</w:t>
      </w:r>
      <w:proofErr w:type="spellEnd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 </w:t>
      </w:r>
      <w:proofErr w:type="spellStart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contrarian</w:t>
      </w:r>
      <w:proofErr w:type="spellEnd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 applicato a una selezionata gamma di fondi aperti UCITS e gestioni patrimoniali, che offrono l’accesso sia a tutte le principali asset class, sia a temi di nicchia, come le PMI italiane quotate. AcomeA SGR mette a disposizione degli investitori anche strategie alternative, grazie alla partnership stretta con </w:t>
      </w:r>
      <w:proofErr w:type="spellStart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Finlabo</w:t>
      </w:r>
      <w:proofErr w:type="spellEnd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 Sicav nel 2022, che consente alla società di distribuire le proprie strategie </w:t>
      </w:r>
      <w:proofErr w:type="spellStart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flagship</w:t>
      </w:r>
      <w:proofErr w:type="spellEnd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 anche sui mercati europei.</w:t>
      </w:r>
    </w:p>
    <w:p w14:paraId="3B395A70" w14:textId="7CDAB423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A fine 2022, il patrimonio gestito ammonta a 1,75 miliardi di euro.</w:t>
      </w:r>
    </w:p>
    <w:p w14:paraId="3C5CEE80" w14:textId="33291A49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La qualità e la competenza della gestione è stata premiata per nove edizioni consecutive con il Premio Alto Rendimento. Dal 2021 la SGR aderisce in qualità di Premium Partner al programma #SustainableFinance di Borsa Italiana. </w:t>
      </w:r>
    </w:p>
    <w:p w14:paraId="4AE23FF4" w14:textId="7777777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</w:p>
    <w:p w14:paraId="54367DF7" w14:textId="77777777" w:rsidR="00F71FF3" w:rsidRPr="00CD5A84" w:rsidRDefault="00CD5A84" w:rsidP="00F71FF3">
      <w:pPr>
        <w:jc w:val="both"/>
        <w:rPr>
          <w:rFonts w:ascii="Verdana" w:eastAsia="Source Sans Pro" w:hAnsi="Verdana" w:cs="Source Sans Pro"/>
          <w:color w:val="000000"/>
          <w:sz w:val="16"/>
          <w:szCs w:val="16"/>
          <w:lang w:val="it-IT"/>
        </w:rPr>
      </w:pPr>
      <w:hyperlink r:id="rId8" w:history="1">
        <w:r w:rsidR="00F71FF3" w:rsidRPr="00CD5A84">
          <w:rPr>
            <w:rFonts w:ascii="Verdana" w:eastAsia="Source Sans Pro" w:hAnsi="Verdana" w:cs="Source Sans Pro"/>
            <w:i/>
            <w:color w:val="3095B4"/>
            <w:sz w:val="16"/>
            <w:szCs w:val="16"/>
            <w:u w:val="single"/>
            <w:lang w:val="it-IT"/>
          </w:rPr>
          <w:t>www.acomea.it</w:t>
        </w:r>
      </w:hyperlink>
    </w:p>
    <w:p w14:paraId="03CBD5FF" w14:textId="77777777" w:rsidR="004712EF" w:rsidRPr="00CD5A84" w:rsidRDefault="004712EF" w:rsidP="00A749E1">
      <w:pPr>
        <w:spacing w:after="0"/>
        <w:jc w:val="both"/>
        <w:rPr>
          <w:rFonts w:ascii="Verdana" w:hAnsi="Verdana"/>
          <w:b/>
          <w:color w:val="ED7D31"/>
          <w:sz w:val="16"/>
          <w:lang w:val="it-IT"/>
        </w:rPr>
      </w:pPr>
    </w:p>
    <w:p w14:paraId="59631C0D" w14:textId="77777777" w:rsidR="001654D1" w:rsidRPr="00CD5A84" w:rsidRDefault="001654D1" w:rsidP="001654D1">
      <w:pPr>
        <w:jc w:val="both"/>
        <w:rPr>
          <w:rFonts w:eastAsia="MS Mincho" w:cs="Arial"/>
          <w:snapToGrid w:val="0"/>
          <w:szCs w:val="18"/>
          <w:lang w:val="it-IT"/>
        </w:rPr>
      </w:pPr>
      <w:r w:rsidRPr="00CD5A84">
        <w:rPr>
          <w:rFonts w:cs="Arial"/>
          <w:szCs w:val="18"/>
          <w:u w:val="single"/>
          <w:lang w:val="it-IT"/>
        </w:rPr>
        <w:lastRenderedPageBreak/>
        <w:t>Per maggiori informazioni contattare</w:t>
      </w:r>
      <w:r w:rsidRPr="00CD5A84">
        <w:rPr>
          <w:rFonts w:cs="Arial"/>
          <w:szCs w:val="18"/>
          <w:lang w:val="it-IT"/>
        </w:rPr>
        <w:t>:</w:t>
      </w:r>
    </w:p>
    <w:p w14:paraId="4A37F604" w14:textId="1894BDC7" w:rsidR="001654D1" w:rsidRPr="00CD5A84" w:rsidRDefault="00F71FF3" w:rsidP="001654D1">
      <w:pPr>
        <w:contextualSpacing/>
        <w:jc w:val="both"/>
        <w:rPr>
          <w:b/>
          <w:lang w:val="it-IT"/>
        </w:rPr>
      </w:pPr>
      <w:r w:rsidRPr="00CD5A84">
        <w:rPr>
          <w:b/>
          <w:lang w:val="it-IT"/>
        </w:rPr>
        <w:t>Verini &amp; Associati – acomea@verinieassociati.com</w:t>
      </w:r>
    </w:p>
    <w:p w14:paraId="4E047806" w14:textId="77777777" w:rsidR="00F71FF3" w:rsidRPr="00CD5A84" w:rsidRDefault="00F71FF3" w:rsidP="00F71FF3">
      <w:pPr>
        <w:spacing w:after="0" w:line="240" w:lineRule="auto"/>
        <w:rPr>
          <w:lang w:val="it-IT"/>
        </w:rPr>
      </w:pPr>
      <w:r w:rsidRPr="00CD5A84">
        <w:rPr>
          <w:lang w:val="it-IT"/>
        </w:rPr>
        <w:t xml:space="preserve">Diana Ferla – </w:t>
      </w:r>
      <w:hyperlink r:id="rId9" w:history="1">
        <w:r w:rsidRPr="00CD5A84">
          <w:rPr>
            <w:rStyle w:val="Collegamentoipertestuale"/>
            <w:lang w:val="it-IT"/>
          </w:rPr>
          <w:t>dferla@verinieassociati.com</w:t>
        </w:r>
      </w:hyperlink>
      <w:r w:rsidRPr="00CD5A84">
        <w:rPr>
          <w:lang w:val="it-IT"/>
        </w:rPr>
        <w:t xml:space="preserve"> – 349 0847023</w:t>
      </w:r>
    </w:p>
    <w:p w14:paraId="1C7D68E1" w14:textId="77777777" w:rsidR="00F71FF3" w:rsidRPr="00F71FF3" w:rsidRDefault="00F71FF3" w:rsidP="00F71FF3">
      <w:pPr>
        <w:spacing w:after="0" w:line="240" w:lineRule="auto"/>
        <w:rPr>
          <w:lang w:val="it-IT"/>
        </w:rPr>
      </w:pPr>
      <w:r w:rsidRPr="00CD5A84">
        <w:rPr>
          <w:lang w:val="it-IT"/>
        </w:rPr>
        <w:t xml:space="preserve">Denise Bosotti – </w:t>
      </w:r>
      <w:hyperlink r:id="rId10" w:history="1">
        <w:r w:rsidRPr="00CD5A84">
          <w:rPr>
            <w:rStyle w:val="Collegamentoipertestuale"/>
            <w:lang w:val="it-IT"/>
          </w:rPr>
          <w:t>dbosotti@verinieassociati.com</w:t>
        </w:r>
      </w:hyperlink>
      <w:r w:rsidRPr="00CD5A84">
        <w:rPr>
          <w:lang w:val="it-IT"/>
        </w:rPr>
        <w:t xml:space="preserve"> – 333 8878805</w:t>
      </w:r>
    </w:p>
    <w:p w14:paraId="41112E57" w14:textId="1B9CC150" w:rsidR="00B747BF" w:rsidRPr="005342E7" w:rsidRDefault="00CD5A84" w:rsidP="00F71FF3">
      <w:pPr>
        <w:spacing w:after="0" w:line="240" w:lineRule="auto"/>
        <w:ind w:left="-142" w:right="-143"/>
        <w:contextualSpacing/>
        <w:rPr>
          <w:rFonts w:ascii="Verdana" w:hAnsi="Verdana"/>
          <w:sz w:val="22"/>
          <w:lang w:val="it-IT"/>
        </w:rPr>
      </w:pPr>
    </w:p>
    <w:p w14:paraId="4DDBF81E" w14:textId="77777777" w:rsidR="005847B6" w:rsidRPr="005342E7" w:rsidRDefault="005847B6">
      <w:pPr>
        <w:spacing w:after="0" w:line="240" w:lineRule="auto"/>
        <w:ind w:left="-142" w:right="-143"/>
        <w:contextualSpacing/>
        <w:rPr>
          <w:rFonts w:ascii="Verdana" w:hAnsi="Verdana"/>
          <w:sz w:val="22"/>
          <w:lang w:val="it-IT"/>
        </w:rPr>
      </w:pPr>
    </w:p>
    <w:sectPr w:rsidR="005847B6" w:rsidRPr="005342E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4B6B" w14:textId="77777777" w:rsidR="008B5AB3" w:rsidRDefault="008B5AB3" w:rsidP="005342E7">
      <w:pPr>
        <w:spacing w:after="0" w:line="240" w:lineRule="auto"/>
      </w:pPr>
      <w:r>
        <w:separator/>
      </w:r>
    </w:p>
  </w:endnote>
  <w:endnote w:type="continuationSeparator" w:id="0">
    <w:p w14:paraId="379CA1C7" w14:textId="77777777" w:rsidR="008B5AB3" w:rsidRDefault="008B5AB3" w:rsidP="005342E7">
      <w:pPr>
        <w:spacing w:after="0" w:line="240" w:lineRule="auto"/>
      </w:pPr>
      <w:r>
        <w:continuationSeparator/>
      </w:r>
    </w:p>
  </w:endnote>
  <w:endnote w:type="continuationNotice" w:id="1">
    <w:p w14:paraId="3C1421F6" w14:textId="77777777" w:rsidR="008B5AB3" w:rsidRDefault="008B5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86664"/>
      <w:docPartObj>
        <w:docPartGallery w:val="Page Numbers (Bottom of Page)"/>
        <w:docPartUnique/>
      </w:docPartObj>
    </w:sdtPr>
    <w:sdtEndPr/>
    <w:sdtContent>
      <w:p w14:paraId="154BE88B" w14:textId="4F2828A4" w:rsidR="002A4516" w:rsidRDefault="002A45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DE56A0D" w14:textId="77777777" w:rsidR="002A4516" w:rsidRDefault="002A4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7739" w14:textId="77777777" w:rsidR="008B5AB3" w:rsidRDefault="008B5AB3" w:rsidP="005342E7">
      <w:pPr>
        <w:spacing w:after="0" w:line="240" w:lineRule="auto"/>
      </w:pPr>
      <w:r>
        <w:separator/>
      </w:r>
    </w:p>
  </w:footnote>
  <w:footnote w:type="continuationSeparator" w:id="0">
    <w:p w14:paraId="237D9CFC" w14:textId="77777777" w:rsidR="008B5AB3" w:rsidRDefault="008B5AB3" w:rsidP="005342E7">
      <w:pPr>
        <w:spacing w:after="0" w:line="240" w:lineRule="auto"/>
      </w:pPr>
      <w:r>
        <w:continuationSeparator/>
      </w:r>
    </w:p>
  </w:footnote>
  <w:footnote w:type="continuationNotice" w:id="1">
    <w:p w14:paraId="78C4243E" w14:textId="77777777" w:rsidR="008B5AB3" w:rsidRDefault="008B5A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D998" w14:textId="04354288" w:rsidR="005342E7" w:rsidRDefault="005342E7" w:rsidP="005342E7">
    <w:pPr>
      <w:pStyle w:val="Intestazione"/>
      <w:jc w:val="center"/>
    </w:pPr>
    <w:r>
      <w:rPr>
        <w:noProof/>
      </w:rPr>
      <w:drawing>
        <wp:inline distT="0" distB="0" distL="0" distR="0" wp14:anchorId="35904294" wp14:editId="63958C14">
          <wp:extent cx="1980000" cy="554064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60D03" w14:textId="77777777" w:rsidR="005342E7" w:rsidRDefault="005342E7" w:rsidP="005342E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917"/>
    <w:multiLevelType w:val="hybridMultilevel"/>
    <w:tmpl w:val="96A81E7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A01914"/>
    <w:multiLevelType w:val="hybridMultilevel"/>
    <w:tmpl w:val="79B0DE6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8A396C"/>
    <w:multiLevelType w:val="hybridMultilevel"/>
    <w:tmpl w:val="C8B8A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5E7"/>
    <w:multiLevelType w:val="multilevel"/>
    <w:tmpl w:val="92E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121F"/>
    <w:multiLevelType w:val="hybridMultilevel"/>
    <w:tmpl w:val="E8C2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1659"/>
    <w:multiLevelType w:val="hybridMultilevel"/>
    <w:tmpl w:val="6EFC2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597D"/>
    <w:multiLevelType w:val="hybridMultilevel"/>
    <w:tmpl w:val="9E7A391A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0111"/>
    <w:multiLevelType w:val="hybridMultilevel"/>
    <w:tmpl w:val="49E2C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29A2"/>
    <w:multiLevelType w:val="hybridMultilevel"/>
    <w:tmpl w:val="A720F2C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041A9F"/>
    <w:multiLevelType w:val="hybridMultilevel"/>
    <w:tmpl w:val="137AAD5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0" w15:restartNumberingAfterBreak="0">
    <w:nsid w:val="7576711A"/>
    <w:multiLevelType w:val="multilevel"/>
    <w:tmpl w:val="DA8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615D9A"/>
    <w:multiLevelType w:val="hybridMultilevel"/>
    <w:tmpl w:val="47FC18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58783493">
    <w:abstractNumId w:val="11"/>
  </w:num>
  <w:num w:numId="2" w16cid:durableId="1891457820">
    <w:abstractNumId w:val="5"/>
  </w:num>
  <w:num w:numId="3" w16cid:durableId="350032171">
    <w:abstractNumId w:val="8"/>
  </w:num>
  <w:num w:numId="4" w16cid:durableId="655843232">
    <w:abstractNumId w:val="2"/>
  </w:num>
  <w:num w:numId="5" w16cid:durableId="80764329">
    <w:abstractNumId w:val="9"/>
  </w:num>
  <w:num w:numId="6" w16cid:durableId="343673142">
    <w:abstractNumId w:val="1"/>
  </w:num>
  <w:num w:numId="7" w16cid:durableId="1462726349">
    <w:abstractNumId w:val="0"/>
  </w:num>
  <w:num w:numId="8" w16cid:durableId="79759866">
    <w:abstractNumId w:val="4"/>
  </w:num>
  <w:num w:numId="9" w16cid:durableId="968973380">
    <w:abstractNumId w:val="7"/>
  </w:num>
  <w:num w:numId="10" w16cid:durableId="650252224">
    <w:abstractNumId w:val="3"/>
  </w:num>
  <w:num w:numId="11" w16cid:durableId="1276058279">
    <w:abstractNumId w:val="10"/>
  </w:num>
  <w:num w:numId="12" w16cid:durableId="1730611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4"/>
    <w:rsid w:val="00000AA2"/>
    <w:rsid w:val="00001E90"/>
    <w:rsid w:val="000041AF"/>
    <w:rsid w:val="00010ACF"/>
    <w:rsid w:val="00011A99"/>
    <w:rsid w:val="0001524B"/>
    <w:rsid w:val="00020D90"/>
    <w:rsid w:val="0002469E"/>
    <w:rsid w:val="0002754C"/>
    <w:rsid w:val="00030CEA"/>
    <w:rsid w:val="000311AD"/>
    <w:rsid w:val="000321A2"/>
    <w:rsid w:val="0003634F"/>
    <w:rsid w:val="0003764C"/>
    <w:rsid w:val="0004604A"/>
    <w:rsid w:val="00052520"/>
    <w:rsid w:val="00056A9A"/>
    <w:rsid w:val="000645CD"/>
    <w:rsid w:val="00072D83"/>
    <w:rsid w:val="00084C18"/>
    <w:rsid w:val="000923FF"/>
    <w:rsid w:val="000A02B0"/>
    <w:rsid w:val="000A18C1"/>
    <w:rsid w:val="000B3742"/>
    <w:rsid w:val="000B542A"/>
    <w:rsid w:val="000B664E"/>
    <w:rsid w:val="000C07BD"/>
    <w:rsid w:val="000C5FE9"/>
    <w:rsid w:val="000E3C11"/>
    <w:rsid w:val="000E3D36"/>
    <w:rsid w:val="000F4ECE"/>
    <w:rsid w:val="000F71A5"/>
    <w:rsid w:val="00101B1A"/>
    <w:rsid w:val="00104B99"/>
    <w:rsid w:val="001156B2"/>
    <w:rsid w:val="00123DF5"/>
    <w:rsid w:val="00125E14"/>
    <w:rsid w:val="001439DA"/>
    <w:rsid w:val="00145788"/>
    <w:rsid w:val="001561A8"/>
    <w:rsid w:val="00163220"/>
    <w:rsid w:val="001654D1"/>
    <w:rsid w:val="00171C5D"/>
    <w:rsid w:val="00176DD7"/>
    <w:rsid w:val="00184B84"/>
    <w:rsid w:val="00192C49"/>
    <w:rsid w:val="00193182"/>
    <w:rsid w:val="001A07EE"/>
    <w:rsid w:val="001A0B03"/>
    <w:rsid w:val="001A1461"/>
    <w:rsid w:val="001B18E0"/>
    <w:rsid w:val="001B7C05"/>
    <w:rsid w:val="001C3BF5"/>
    <w:rsid w:val="001C793B"/>
    <w:rsid w:val="001D0FC7"/>
    <w:rsid w:val="001D1C6C"/>
    <w:rsid w:val="001D25C9"/>
    <w:rsid w:val="001D4BFD"/>
    <w:rsid w:val="001F602F"/>
    <w:rsid w:val="00200905"/>
    <w:rsid w:val="002142BD"/>
    <w:rsid w:val="00216337"/>
    <w:rsid w:val="00224EDB"/>
    <w:rsid w:val="00230D24"/>
    <w:rsid w:val="002376F7"/>
    <w:rsid w:val="00237AC0"/>
    <w:rsid w:val="00244CEB"/>
    <w:rsid w:val="00246489"/>
    <w:rsid w:val="002509FB"/>
    <w:rsid w:val="0025325B"/>
    <w:rsid w:val="00260698"/>
    <w:rsid w:val="00261613"/>
    <w:rsid w:val="0026240B"/>
    <w:rsid w:val="00264884"/>
    <w:rsid w:val="00272C7C"/>
    <w:rsid w:val="00273351"/>
    <w:rsid w:val="00276B59"/>
    <w:rsid w:val="00276BF2"/>
    <w:rsid w:val="00290E63"/>
    <w:rsid w:val="00292590"/>
    <w:rsid w:val="002A3112"/>
    <w:rsid w:val="002A4516"/>
    <w:rsid w:val="002B16DB"/>
    <w:rsid w:val="002C06CA"/>
    <w:rsid w:val="002C49E8"/>
    <w:rsid w:val="002D558A"/>
    <w:rsid w:val="002D706D"/>
    <w:rsid w:val="002D7AAF"/>
    <w:rsid w:val="002E2007"/>
    <w:rsid w:val="002E24C8"/>
    <w:rsid w:val="002E38BC"/>
    <w:rsid w:val="002E7E4E"/>
    <w:rsid w:val="002F1612"/>
    <w:rsid w:val="002F1C9B"/>
    <w:rsid w:val="002F48F5"/>
    <w:rsid w:val="003030C6"/>
    <w:rsid w:val="00303990"/>
    <w:rsid w:val="00306043"/>
    <w:rsid w:val="003179C6"/>
    <w:rsid w:val="00320C08"/>
    <w:rsid w:val="00333277"/>
    <w:rsid w:val="00333F32"/>
    <w:rsid w:val="00344EA1"/>
    <w:rsid w:val="0034734F"/>
    <w:rsid w:val="00350267"/>
    <w:rsid w:val="003551B1"/>
    <w:rsid w:val="003617C7"/>
    <w:rsid w:val="00367EE8"/>
    <w:rsid w:val="00373696"/>
    <w:rsid w:val="0037446D"/>
    <w:rsid w:val="00376DB0"/>
    <w:rsid w:val="003774E8"/>
    <w:rsid w:val="00392357"/>
    <w:rsid w:val="003966C7"/>
    <w:rsid w:val="003967EA"/>
    <w:rsid w:val="003A1740"/>
    <w:rsid w:val="003A1BF1"/>
    <w:rsid w:val="003B3F34"/>
    <w:rsid w:val="003B6403"/>
    <w:rsid w:val="003B6946"/>
    <w:rsid w:val="003B6C48"/>
    <w:rsid w:val="003C01F7"/>
    <w:rsid w:val="003C02E5"/>
    <w:rsid w:val="003D2543"/>
    <w:rsid w:val="003D30EB"/>
    <w:rsid w:val="003D5757"/>
    <w:rsid w:val="003D651A"/>
    <w:rsid w:val="003E4871"/>
    <w:rsid w:val="003F3318"/>
    <w:rsid w:val="003F672D"/>
    <w:rsid w:val="003F79F4"/>
    <w:rsid w:val="004039EC"/>
    <w:rsid w:val="0040428B"/>
    <w:rsid w:val="00405CA6"/>
    <w:rsid w:val="00410FF4"/>
    <w:rsid w:val="004162F8"/>
    <w:rsid w:val="004175C2"/>
    <w:rsid w:val="00417B0D"/>
    <w:rsid w:val="0042652A"/>
    <w:rsid w:val="00426825"/>
    <w:rsid w:val="00427736"/>
    <w:rsid w:val="004364DB"/>
    <w:rsid w:val="00436A88"/>
    <w:rsid w:val="00446616"/>
    <w:rsid w:val="004523DF"/>
    <w:rsid w:val="00452F7F"/>
    <w:rsid w:val="00464844"/>
    <w:rsid w:val="0046590D"/>
    <w:rsid w:val="00467D2D"/>
    <w:rsid w:val="004712EF"/>
    <w:rsid w:val="00476E94"/>
    <w:rsid w:val="004807FC"/>
    <w:rsid w:val="004935D1"/>
    <w:rsid w:val="00496DBB"/>
    <w:rsid w:val="004A1E8F"/>
    <w:rsid w:val="004B62AB"/>
    <w:rsid w:val="004B6EB0"/>
    <w:rsid w:val="004C0209"/>
    <w:rsid w:val="004D02D5"/>
    <w:rsid w:val="004D059E"/>
    <w:rsid w:val="004D5F1A"/>
    <w:rsid w:val="004D62B8"/>
    <w:rsid w:val="004E12E5"/>
    <w:rsid w:val="004E2777"/>
    <w:rsid w:val="004E60B1"/>
    <w:rsid w:val="004F033C"/>
    <w:rsid w:val="004F2C52"/>
    <w:rsid w:val="00500DA4"/>
    <w:rsid w:val="00502D26"/>
    <w:rsid w:val="00505E8C"/>
    <w:rsid w:val="005070D8"/>
    <w:rsid w:val="00510409"/>
    <w:rsid w:val="0051425F"/>
    <w:rsid w:val="00517EE0"/>
    <w:rsid w:val="0052136B"/>
    <w:rsid w:val="005255FB"/>
    <w:rsid w:val="005342E7"/>
    <w:rsid w:val="005343A1"/>
    <w:rsid w:val="00535D71"/>
    <w:rsid w:val="00535F80"/>
    <w:rsid w:val="005440E5"/>
    <w:rsid w:val="00547114"/>
    <w:rsid w:val="00551746"/>
    <w:rsid w:val="00551941"/>
    <w:rsid w:val="005538A2"/>
    <w:rsid w:val="005677FA"/>
    <w:rsid w:val="0057161B"/>
    <w:rsid w:val="00582DC6"/>
    <w:rsid w:val="005847B6"/>
    <w:rsid w:val="00586D3A"/>
    <w:rsid w:val="005A4C08"/>
    <w:rsid w:val="005A4D67"/>
    <w:rsid w:val="005B5389"/>
    <w:rsid w:val="005B619F"/>
    <w:rsid w:val="005B687D"/>
    <w:rsid w:val="005B7B29"/>
    <w:rsid w:val="005C06DE"/>
    <w:rsid w:val="005C59DF"/>
    <w:rsid w:val="005D44A8"/>
    <w:rsid w:val="005D5747"/>
    <w:rsid w:val="005E099B"/>
    <w:rsid w:val="005E0EF2"/>
    <w:rsid w:val="005E1E04"/>
    <w:rsid w:val="005E6B96"/>
    <w:rsid w:val="005F2478"/>
    <w:rsid w:val="005F6037"/>
    <w:rsid w:val="00602603"/>
    <w:rsid w:val="006122E6"/>
    <w:rsid w:val="00626C9F"/>
    <w:rsid w:val="00635C6E"/>
    <w:rsid w:val="00646A46"/>
    <w:rsid w:val="006526C7"/>
    <w:rsid w:val="006551C3"/>
    <w:rsid w:val="0065713E"/>
    <w:rsid w:val="00660CED"/>
    <w:rsid w:val="00660F9C"/>
    <w:rsid w:val="0066778E"/>
    <w:rsid w:val="00674170"/>
    <w:rsid w:val="0068031B"/>
    <w:rsid w:val="00684398"/>
    <w:rsid w:val="006854A6"/>
    <w:rsid w:val="00690CE6"/>
    <w:rsid w:val="00695FCA"/>
    <w:rsid w:val="006A455B"/>
    <w:rsid w:val="006A68A6"/>
    <w:rsid w:val="006B23BD"/>
    <w:rsid w:val="006B7CDA"/>
    <w:rsid w:val="006E1F03"/>
    <w:rsid w:val="006E612E"/>
    <w:rsid w:val="006F164D"/>
    <w:rsid w:val="006F28EF"/>
    <w:rsid w:val="006F49CE"/>
    <w:rsid w:val="0070013B"/>
    <w:rsid w:val="007058A4"/>
    <w:rsid w:val="00716DA0"/>
    <w:rsid w:val="007173E5"/>
    <w:rsid w:val="00721673"/>
    <w:rsid w:val="00726414"/>
    <w:rsid w:val="00735186"/>
    <w:rsid w:val="00746343"/>
    <w:rsid w:val="00750D17"/>
    <w:rsid w:val="007673A3"/>
    <w:rsid w:val="00794B94"/>
    <w:rsid w:val="007A1D14"/>
    <w:rsid w:val="007A3BA7"/>
    <w:rsid w:val="007A6B21"/>
    <w:rsid w:val="007B644D"/>
    <w:rsid w:val="007B715F"/>
    <w:rsid w:val="007C57DF"/>
    <w:rsid w:val="007C7363"/>
    <w:rsid w:val="007D4B6F"/>
    <w:rsid w:val="007D6106"/>
    <w:rsid w:val="007E73BE"/>
    <w:rsid w:val="007F5760"/>
    <w:rsid w:val="007F6305"/>
    <w:rsid w:val="00800813"/>
    <w:rsid w:val="0081210C"/>
    <w:rsid w:val="00816A50"/>
    <w:rsid w:val="00827142"/>
    <w:rsid w:val="008304EB"/>
    <w:rsid w:val="0083283E"/>
    <w:rsid w:val="00832EB2"/>
    <w:rsid w:val="00832FA0"/>
    <w:rsid w:val="00836474"/>
    <w:rsid w:val="00837936"/>
    <w:rsid w:val="0084254D"/>
    <w:rsid w:val="00843C18"/>
    <w:rsid w:val="00845F43"/>
    <w:rsid w:val="00850775"/>
    <w:rsid w:val="00853F27"/>
    <w:rsid w:val="00855622"/>
    <w:rsid w:val="008625F5"/>
    <w:rsid w:val="008633AE"/>
    <w:rsid w:val="00870829"/>
    <w:rsid w:val="00871905"/>
    <w:rsid w:val="0087494C"/>
    <w:rsid w:val="00883BF9"/>
    <w:rsid w:val="00891A67"/>
    <w:rsid w:val="0089509C"/>
    <w:rsid w:val="008A1987"/>
    <w:rsid w:val="008A3B56"/>
    <w:rsid w:val="008A6FCB"/>
    <w:rsid w:val="008B3E50"/>
    <w:rsid w:val="008B5AB3"/>
    <w:rsid w:val="008C089D"/>
    <w:rsid w:val="008C3BE4"/>
    <w:rsid w:val="008D1CA5"/>
    <w:rsid w:val="008D43BF"/>
    <w:rsid w:val="008E301D"/>
    <w:rsid w:val="008E33B6"/>
    <w:rsid w:val="008E79B1"/>
    <w:rsid w:val="008F2B6E"/>
    <w:rsid w:val="00901A88"/>
    <w:rsid w:val="00901DB7"/>
    <w:rsid w:val="00904CFB"/>
    <w:rsid w:val="00912861"/>
    <w:rsid w:val="00913518"/>
    <w:rsid w:val="0092188E"/>
    <w:rsid w:val="0092232F"/>
    <w:rsid w:val="009334E5"/>
    <w:rsid w:val="00937A71"/>
    <w:rsid w:val="00942DB4"/>
    <w:rsid w:val="00944D3A"/>
    <w:rsid w:val="00954F04"/>
    <w:rsid w:val="009552C8"/>
    <w:rsid w:val="00961132"/>
    <w:rsid w:val="00964686"/>
    <w:rsid w:val="00967FA6"/>
    <w:rsid w:val="00970645"/>
    <w:rsid w:val="00970987"/>
    <w:rsid w:val="00971054"/>
    <w:rsid w:val="009922E7"/>
    <w:rsid w:val="00992BA1"/>
    <w:rsid w:val="00992BD2"/>
    <w:rsid w:val="00997643"/>
    <w:rsid w:val="009979A8"/>
    <w:rsid w:val="009A2961"/>
    <w:rsid w:val="009B2664"/>
    <w:rsid w:val="009B48BA"/>
    <w:rsid w:val="009C4E7D"/>
    <w:rsid w:val="009C73E8"/>
    <w:rsid w:val="009D2D93"/>
    <w:rsid w:val="009D2E55"/>
    <w:rsid w:val="00A01B64"/>
    <w:rsid w:val="00A10383"/>
    <w:rsid w:val="00A10AB2"/>
    <w:rsid w:val="00A140C9"/>
    <w:rsid w:val="00A14749"/>
    <w:rsid w:val="00A14E00"/>
    <w:rsid w:val="00A1500C"/>
    <w:rsid w:val="00A15761"/>
    <w:rsid w:val="00A224D6"/>
    <w:rsid w:val="00A24EC3"/>
    <w:rsid w:val="00A2752B"/>
    <w:rsid w:val="00A341CB"/>
    <w:rsid w:val="00A42441"/>
    <w:rsid w:val="00A43335"/>
    <w:rsid w:val="00A52C17"/>
    <w:rsid w:val="00A54ECF"/>
    <w:rsid w:val="00A57A2D"/>
    <w:rsid w:val="00A606D2"/>
    <w:rsid w:val="00A62EC0"/>
    <w:rsid w:val="00A6521E"/>
    <w:rsid w:val="00A70E4F"/>
    <w:rsid w:val="00A71057"/>
    <w:rsid w:val="00A749E1"/>
    <w:rsid w:val="00A75147"/>
    <w:rsid w:val="00A81B68"/>
    <w:rsid w:val="00A83186"/>
    <w:rsid w:val="00A844F9"/>
    <w:rsid w:val="00A85C35"/>
    <w:rsid w:val="00A93955"/>
    <w:rsid w:val="00A94CE3"/>
    <w:rsid w:val="00AA4C36"/>
    <w:rsid w:val="00AB5A9F"/>
    <w:rsid w:val="00AC4F50"/>
    <w:rsid w:val="00AC6DA0"/>
    <w:rsid w:val="00AD0C9A"/>
    <w:rsid w:val="00AD14F8"/>
    <w:rsid w:val="00AD34E2"/>
    <w:rsid w:val="00AD685B"/>
    <w:rsid w:val="00AE6E8F"/>
    <w:rsid w:val="00AF68B1"/>
    <w:rsid w:val="00B15989"/>
    <w:rsid w:val="00B15D5A"/>
    <w:rsid w:val="00B230C4"/>
    <w:rsid w:val="00B23459"/>
    <w:rsid w:val="00B26C5F"/>
    <w:rsid w:val="00B3345F"/>
    <w:rsid w:val="00B3732C"/>
    <w:rsid w:val="00B3781B"/>
    <w:rsid w:val="00B54A84"/>
    <w:rsid w:val="00B54F81"/>
    <w:rsid w:val="00B57268"/>
    <w:rsid w:val="00B62910"/>
    <w:rsid w:val="00B71743"/>
    <w:rsid w:val="00B75F13"/>
    <w:rsid w:val="00B82770"/>
    <w:rsid w:val="00B91210"/>
    <w:rsid w:val="00B91C12"/>
    <w:rsid w:val="00B92F86"/>
    <w:rsid w:val="00BA02DD"/>
    <w:rsid w:val="00BA1D2E"/>
    <w:rsid w:val="00BA2125"/>
    <w:rsid w:val="00BA5E85"/>
    <w:rsid w:val="00BB0789"/>
    <w:rsid w:val="00BC32D2"/>
    <w:rsid w:val="00BC7FE8"/>
    <w:rsid w:val="00BD2F3E"/>
    <w:rsid w:val="00BD566C"/>
    <w:rsid w:val="00BE640C"/>
    <w:rsid w:val="00BF504C"/>
    <w:rsid w:val="00BF6C67"/>
    <w:rsid w:val="00BF6C71"/>
    <w:rsid w:val="00BF705B"/>
    <w:rsid w:val="00C00AA8"/>
    <w:rsid w:val="00C03BA4"/>
    <w:rsid w:val="00C11462"/>
    <w:rsid w:val="00C16505"/>
    <w:rsid w:val="00C226E9"/>
    <w:rsid w:val="00C309F0"/>
    <w:rsid w:val="00C32422"/>
    <w:rsid w:val="00C3490A"/>
    <w:rsid w:val="00C349B9"/>
    <w:rsid w:val="00C40F59"/>
    <w:rsid w:val="00C4104E"/>
    <w:rsid w:val="00C44116"/>
    <w:rsid w:val="00C46D8D"/>
    <w:rsid w:val="00C479CA"/>
    <w:rsid w:val="00C5393D"/>
    <w:rsid w:val="00C624C5"/>
    <w:rsid w:val="00C645A4"/>
    <w:rsid w:val="00C77B97"/>
    <w:rsid w:val="00C805F4"/>
    <w:rsid w:val="00C80C60"/>
    <w:rsid w:val="00C92E4D"/>
    <w:rsid w:val="00C945E6"/>
    <w:rsid w:val="00CA3851"/>
    <w:rsid w:val="00CB1F38"/>
    <w:rsid w:val="00CB1FE8"/>
    <w:rsid w:val="00CB6A0A"/>
    <w:rsid w:val="00CB78DD"/>
    <w:rsid w:val="00CC112C"/>
    <w:rsid w:val="00CC36C0"/>
    <w:rsid w:val="00CC5F10"/>
    <w:rsid w:val="00CC7993"/>
    <w:rsid w:val="00CD5A84"/>
    <w:rsid w:val="00CD7BAE"/>
    <w:rsid w:val="00CE24A1"/>
    <w:rsid w:val="00CE2887"/>
    <w:rsid w:val="00CE2B86"/>
    <w:rsid w:val="00CE40A0"/>
    <w:rsid w:val="00CF317F"/>
    <w:rsid w:val="00D0314E"/>
    <w:rsid w:val="00D20396"/>
    <w:rsid w:val="00D440F8"/>
    <w:rsid w:val="00D44878"/>
    <w:rsid w:val="00D46CF4"/>
    <w:rsid w:val="00D564F2"/>
    <w:rsid w:val="00D57BBC"/>
    <w:rsid w:val="00D60037"/>
    <w:rsid w:val="00D63E2A"/>
    <w:rsid w:val="00D7089D"/>
    <w:rsid w:val="00D710DE"/>
    <w:rsid w:val="00D71561"/>
    <w:rsid w:val="00D71A0C"/>
    <w:rsid w:val="00D726C5"/>
    <w:rsid w:val="00D74C21"/>
    <w:rsid w:val="00D77BAD"/>
    <w:rsid w:val="00D9205D"/>
    <w:rsid w:val="00D9281F"/>
    <w:rsid w:val="00D972FE"/>
    <w:rsid w:val="00D97C91"/>
    <w:rsid w:val="00DA6E5A"/>
    <w:rsid w:val="00DA776A"/>
    <w:rsid w:val="00DB29B0"/>
    <w:rsid w:val="00DC2E4D"/>
    <w:rsid w:val="00DC2F5D"/>
    <w:rsid w:val="00DD2523"/>
    <w:rsid w:val="00DD2D2F"/>
    <w:rsid w:val="00DD4337"/>
    <w:rsid w:val="00DE79C6"/>
    <w:rsid w:val="00DF0308"/>
    <w:rsid w:val="00DF16B2"/>
    <w:rsid w:val="00E019CA"/>
    <w:rsid w:val="00E02F3E"/>
    <w:rsid w:val="00E058E2"/>
    <w:rsid w:val="00E0759D"/>
    <w:rsid w:val="00E3193F"/>
    <w:rsid w:val="00E41125"/>
    <w:rsid w:val="00E465A4"/>
    <w:rsid w:val="00E65A87"/>
    <w:rsid w:val="00E66840"/>
    <w:rsid w:val="00E70B3F"/>
    <w:rsid w:val="00E71048"/>
    <w:rsid w:val="00E76584"/>
    <w:rsid w:val="00E83298"/>
    <w:rsid w:val="00E866BB"/>
    <w:rsid w:val="00EA0308"/>
    <w:rsid w:val="00EA1502"/>
    <w:rsid w:val="00EA6E61"/>
    <w:rsid w:val="00EB69B6"/>
    <w:rsid w:val="00EB6B37"/>
    <w:rsid w:val="00EC00D8"/>
    <w:rsid w:val="00EC68F3"/>
    <w:rsid w:val="00ED0A18"/>
    <w:rsid w:val="00EE11CF"/>
    <w:rsid w:val="00EF1CE8"/>
    <w:rsid w:val="00EF5C29"/>
    <w:rsid w:val="00F052DB"/>
    <w:rsid w:val="00F052EF"/>
    <w:rsid w:val="00F07FAC"/>
    <w:rsid w:val="00F16D52"/>
    <w:rsid w:val="00F24ABC"/>
    <w:rsid w:val="00F25D88"/>
    <w:rsid w:val="00F43979"/>
    <w:rsid w:val="00F45C36"/>
    <w:rsid w:val="00F4708D"/>
    <w:rsid w:val="00F52CFA"/>
    <w:rsid w:val="00F546CC"/>
    <w:rsid w:val="00F6039B"/>
    <w:rsid w:val="00F60E29"/>
    <w:rsid w:val="00F6425C"/>
    <w:rsid w:val="00F71FF3"/>
    <w:rsid w:val="00F7247A"/>
    <w:rsid w:val="00F8225D"/>
    <w:rsid w:val="00F909B1"/>
    <w:rsid w:val="00FA2EC3"/>
    <w:rsid w:val="00FA32A9"/>
    <w:rsid w:val="00FB0A9B"/>
    <w:rsid w:val="00FB65E0"/>
    <w:rsid w:val="00FC58D5"/>
    <w:rsid w:val="00FC730D"/>
    <w:rsid w:val="00FC7FB2"/>
    <w:rsid w:val="00FD1B85"/>
    <w:rsid w:val="00FD2125"/>
    <w:rsid w:val="00FE1EC8"/>
    <w:rsid w:val="00FE345A"/>
    <w:rsid w:val="00FE3D1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692E7"/>
  <w15:chartTrackingRefBased/>
  <w15:docId w15:val="{D1CC245B-96C3-4B85-AB44-788AF9C0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D14"/>
    <w:pPr>
      <w:spacing w:after="200" w:line="276" w:lineRule="auto"/>
    </w:pPr>
    <w:rPr>
      <w:rFonts w:ascii="Arial" w:eastAsia="Calibri" w:hAnsi="Arial" w:cs="Times New Roman"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A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2A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2AB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B62AB"/>
    <w:rPr>
      <w:color w:val="3095B4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78E"/>
    <w:rPr>
      <w:color w:val="605E5C"/>
      <w:shd w:val="clear" w:color="auto" w:fill="E1DFDD"/>
    </w:rPr>
  </w:style>
  <w:style w:type="paragraph" w:customStyle="1" w:styleId="BodyTextFirst">
    <w:name w:val="Body Text First"/>
    <w:basedOn w:val="Corpotesto"/>
    <w:next w:val="Corpotesto"/>
    <w:link w:val="BodyTextFirstChar"/>
    <w:rsid w:val="0068031B"/>
    <w:pPr>
      <w:spacing w:after="180" w:line="240" w:lineRule="auto"/>
    </w:pPr>
    <w:rPr>
      <w:rFonts w:asciiTheme="majorHAnsi" w:hAnsiTheme="majorHAnsi"/>
      <w:sz w:val="21"/>
      <w:lang w:val="en-GB"/>
    </w:rPr>
  </w:style>
  <w:style w:type="character" w:customStyle="1" w:styleId="BodyTextFirstChar">
    <w:name w:val="Body Text First Char"/>
    <w:basedOn w:val="CorpotestoCarattere"/>
    <w:link w:val="BodyTextFirst"/>
    <w:rsid w:val="0068031B"/>
    <w:rPr>
      <w:rFonts w:asciiTheme="majorHAnsi" w:eastAsia="Calibri" w:hAnsiTheme="majorHAnsi" w:cs="Times New Roman"/>
      <w:sz w:val="21"/>
      <w:lang w:val="en-GB"/>
    </w:rPr>
  </w:style>
  <w:style w:type="paragraph" w:styleId="Corpotesto">
    <w:name w:val="Body Text"/>
    <w:basedOn w:val="Normale"/>
    <w:link w:val="CorpotestoCarattere"/>
    <w:uiPriority w:val="99"/>
    <w:unhideWhenUsed/>
    <w:rsid w:val="006803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8031B"/>
    <w:rPr>
      <w:rFonts w:ascii="Arial" w:eastAsia="Calibri" w:hAnsi="Arial" w:cs="Times New Roman"/>
      <w:sz w:val="18"/>
      <w:lang w:val="en-US"/>
    </w:rPr>
  </w:style>
  <w:style w:type="paragraph" w:styleId="Paragrafoelenco">
    <w:name w:val="List Paragraph"/>
    <w:basedOn w:val="Normale"/>
    <w:uiPriority w:val="34"/>
    <w:qFormat/>
    <w:rsid w:val="0068031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54A84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4A84"/>
    <w:rPr>
      <w:rFonts w:ascii="Calibri" w:hAnsi="Calibri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C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C08"/>
    <w:rPr>
      <w:rFonts w:ascii="Arial" w:eastAsia="Calibri" w:hAnsi="Arial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C08"/>
    <w:rPr>
      <w:vertAlign w:val="superscript"/>
    </w:rPr>
  </w:style>
  <w:style w:type="paragraph" w:styleId="Revisione">
    <w:name w:val="Revision"/>
    <w:hidden/>
    <w:uiPriority w:val="99"/>
    <w:semiHidden/>
    <w:rsid w:val="00B75F13"/>
    <w:pPr>
      <w:spacing w:after="0" w:line="240" w:lineRule="auto"/>
    </w:pPr>
    <w:rPr>
      <w:rFonts w:ascii="Arial" w:eastAsia="Calibri" w:hAnsi="Arial" w:cs="Times New Roman"/>
      <w:sz w:val="18"/>
      <w:lang w:val="en-US"/>
    </w:rPr>
  </w:style>
  <w:style w:type="character" w:customStyle="1" w:styleId="contentpasted0">
    <w:name w:val="contentpasted0"/>
    <w:basedOn w:val="Carpredefinitoparagrafo"/>
    <w:rsid w:val="00970645"/>
  </w:style>
  <w:style w:type="character" w:styleId="Rimandocommento">
    <w:name w:val="annotation reference"/>
    <w:basedOn w:val="Carpredefinitoparagrafo"/>
    <w:uiPriority w:val="99"/>
    <w:semiHidden/>
    <w:unhideWhenUsed/>
    <w:rsid w:val="00EA1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15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1502"/>
    <w:rPr>
      <w:rFonts w:ascii="Arial" w:eastAsia="Calibri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502"/>
    <w:rPr>
      <w:rFonts w:ascii="Arial" w:eastAsia="Calibri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me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bosotti@verinieassocia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erla@verinieassociat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26A3-7B3C-49BA-B894-2558EB7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Cagnoni - BC Communication</dc:creator>
  <cp:keywords/>
  <dc:description/>
  <cp:lastModifiedBy>Diana Ferla</cp:lastModifiedBy>
  <cp:revision>9</cp:revision>
  <cp:lastPrinted>2020-10-14T07:37:00Z</cp:lastPrinted>
  <dcterms:created xsi:type="dcterms:W3CDTF">2023-02-21T14:42:00Z</dcterms:created>
  <dcterms:modified xsi:type="dcterms:W3CDTF">2023-02-27T09:23:00Z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2df76ffe815a0e14b83e9cc149ecbc10c2c2514ad167020ab21ee6527f463c9d</vt:lpwstr>
  </property>
</Properties>
</file>