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7EC9" w14:textId="5B74458A" w:rsidR="00F36D8B" w:rsidRDefault="00550915" w:rsidP="00F36D8B">
      <w:pPr>
        <w:jc w:val="center"/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COMUNICATO STAMPA</w:t>
      </w:r>
    </w:p>
    <w:p w14:paraId="3BE9EFC8" w14:textId="649C666A" w:rsidR="00F36D8B" w:rsidRPr="00F36D8B" w:rsidRDefault="00F36D8B" w:rsidP="00F36D8B">
      <w:pPr>
        <w:jc w:val="center"/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F36D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Oggi in Fortezza da Basso a Firenze il taglio del nastro del </w:t>
      </w:r>
      <w:proofErr w:type="spellStart"/>
      <w:r w:rsidR="00426E29">
        <w:rPr>
          <w:rFonts w:ascii="Arial" w:hAnsi="Arial" w:cs="Arial"/>
          <w:color w:val="222222"/>
          <w:sz w:val="20"/>
          <w:szCs w:val="20"/>
          <w:shd w:val="clear" w:color="auto" w:fill="FFFFFF"/>
        </w:rPr>
        <w:t>BtoB</w:t>
      </w:r>
      <w:proofErr w:type="spellEnd"/>
      <w:r w:rsidRPr="00F36D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dedicato ai buyer dal mondo</w:t>
      </w:r>
    </w:p>
    <w:p w14:paraId="40A54F2F" w14:textId="5B48A28E" w:rsidR="00550915" w:rsidRDefault="00550915" w:rsidP="00550915">
      <w:pPr>
        <w:jc w:val="center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</w:pPr>
      <w:r w:rsidRPr="00550915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VINO, BUYWINE APRE LA SETTIMANA DELLE ANTEPRIME DI TOSCANA</w:t>
      </w:r>
      <w:r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br/>
      </w:r>
      <w:r w:rsidRPr="00550915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VETRO LIGHT, ETICHETTE “CIRCOLARI”, BIO PER SFONDARE </w:t>
      </w:r>
      <w:r w:rsidR="00F36D8B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ALL’ESTERO</w:t>
      </w:r>
    </w:p>
    <w:p w14:paraId="47BB6CB4" w14:textId="5F11D463" w:rsidR="00644AA6" w:rsidRDefault="00F36D8B" w:rsidP="00426E29">
      <w:pPr>
        <w:jc w:val="center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 sostenibilità guida le scelte dei mercati più maturi</w:t>
      </w:r>
      <w:r w:rsidR="00644A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, come Canada, Stati Uniti e Giappone</w:t>
      </w:r>
      <w:r w:rsidR="00644A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 xml:space="preserve">Tra le aziende il passaggio generazionale ispira scelte più consapevoli in termini di impatto ambientale, comunicazione e branding. Domani alla Compagnia si prosegue con </w:t>
      </w:r>
      <w:proofErr w:type="spellStart"/>
      <w:r w:rsidR="00644A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PrimAnteprima</w:t>
      </w:r>
      <w:proofErr w:type="spellEnd"/>
    </w:p>
    <w:p w14:paraId="31C9349E" w14:textId="4CB75CFC" w:rsidR="007667A4" w:rsidRDefault="00644AA6" w:rsidP="007667A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Firenze, 10 febbraio 2023 </w:t>
      </w:r>
      <w:r w:rsidR="0024289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4289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Bottiglie in vetro alleggerito, etichette in carta riciclata, biologico: la sostenibilità guida le scelte dei mercati internazionali più maturi, rispetto al vino made in </w:t>
      </w:r>
      <w:proofErr w:type="spellStart"/>
      <w:r w:rsidR="00242892">
        <w:rPr>
          <w:rFonts w:ascii="Arial" w:hAnsi="Arial" w:cs="Arial"/>
          <w:color w:val="222222"/>
          <w:sz w:val="20"/>
          <w:szCs w:val="20"/>
          <w:shd w:val="clear" w:color="auto" w:fill="FFFFFF"/>
        </w:rPr>
        <w:t>Tuscany</w:t>
      </w:r>
      <w:proofErr w:type="spellEnd"/>
      <w:r w:rsidR="0024289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Si è aperta oggi alla Fortezza da Basso di Firenze </w:t>
      </w:r>
      <w:proofErr w:type="spellStart"/>
      <w:r w:rsidR="00242892" w:rsidRPr="007667A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BuyWine</w:t>
      </w:r>
      <w:proofErr w:type="spellEnd"/>
      <w:r w:rsidR="00426E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26E29" w:rsidRPr="00426E2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Toscana 2023</w:t>
      </w:r>
      <w:r w:rsidR="00426E29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24289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26E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</w:t>
      </w:r>
      <w:r w:rsidR="0024289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due giorni dedicata al match tra produttori di vino a denominazione e buyer da tutto il mondo. </w:t>
      </w:r>
      <w:r w:rsidR="007667A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Oltre 1400 etichette in degustazione per una maratona da </w:t>
      </w:r>
      <w:r w:rsidR="00426E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3000 incontri e </w:t>
      </w:r>
      <w:r w:rsidR="007667A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23mila degustazioni. </w:t>
      </w:r>
      <w:r w:rsidR="007667A4" w:rsidRPr="00884789">
        <w:rPr>
          <w:rFonts w:ascii="Arial" w:hAnsi="Arial" w:cs="Arial"/>
          <w:bCs/>
          <w:sz w:val="20"/>
          <w:szCs w:val="20"/>
        </w:rPr>
        <w:t>La manifestazione è promossa</w:t>
      </w:r>
      <w:r w:rsidR="007667A4" w:rsidRPr="00884789">
        <w:rPr>
          <w:rFonts w:ascii="Arial" w:hAnsi="Arial" w:cs="Arial"/>
          <w:sz w:val="20"/>
          <w:szCs w:val="20"/>
        </w:rPr>
        <w:t xml:space="preserve"> da </w:t>
      </w:r>
      <w:r w:rsidR="007667A4" w:rsidRPr="00884789">
        <w:rPr>
          <w:rFonts w:ascii="Arial" w:hAnsi="Arial" w:cs="Arial"/>
          <w:b/>
          <w:sz w:val="20"/>
          <w:szCs w:val="20"/>
        </w:rPr>
        <w:t xml:space="preserve">Regione Toscana </w:t>
      </w:r>
      <w:r w:rsidR="007667A4" w:rsidRPr="00884789">
        <w:rPr>
          <w:rFonts w:ascii="Arial" w:hAnsi="Arial" w:cs="Arial"/>
          <w:sz w:val="20"/>
          <w:szCs w:val="20"/>
        </w:rPr>
        <w:t xml:space="preserve">insieme a </w:t>
      </w:r>
      <w:r w:rsidR="007667A4" w:rsidRPr="00884789">
        <w:rPr>
          <w:rFonts w:ascii="Arial" w:hAnsi="Arial" w:cs="Arial"/>
          <w:b/>
          <w:sz w:val="20"/>
          <w:szCs w:val="20"/>
        </w:rPr>
        <w:t>Camera di Commercio di Firenze</w:t>
      </w:r>
      <w:r w:rsidR="007667A4" w:rsidRPr="00884789">
        <w:rPr>
          <w:rFonts w:ascii="Arial" w:hAnsi="Arial" w:cs="Arial"/>
          <w:sz w:val="20"/>
          <w:szCs w:val="20"/>
        </w:rPr>
        <w:t xml:space="preserve"> e organizzati da </w:t>
      </w:r>
      <w:proofErr w:type="spellStart"/>
      <w:r w:rsidR="007667A4" w:rsidRPr="00884789">
        <w:rPr>
          <w:rFonts w:ascii="Arial" w:hAnsi="Arial" w:cs="Arial"/>
          <w:b/>
          <w:sz w:val="20"/>
          <w:szCs w:val="20"/>
        </w:rPr>
        <w:t>PromoFirenze</w:t>
      </w:r>
      <w:proofErr w:type="spellEnd"/>
      <w:r w:rsidR="007667A4" w:rsidRPr="00884789">
        <w:rPr>
          <w:rFonts w:ascii="Arial" w:hAnsi="Arial" w:cs="Arial"/>
          <w:bCs/>
          <w:sz w:val="20"/>
          <w:szCs w:val="20"/>
        </w:rPr>
        <w:t xml:space="preserve">. Il coordinamento della comunicazione, l’ufficio stampa e i social, sono curati da </w:t>
      </w:r>
      <w:r w:rsidR="007667A4" w:rsidRPr="00884789">
        <w:rPr>
          <w:rFonts w:ascii="Arial" w:hAnsi="Arial" w:cs="Arial"/>
          <w:b/>
          <w:sz w:val="20"/>
          <w:szCs w:val="20"/>
        </w:rPr>
        <w:t>Fondazione Sistema Toscana</w:t>
      </w:r>
      <w:r w:rsidR="007667A4" w:rsidRPr="00884789">
        <w:rPr>
          <w:rFonts w:ascii="Arial" w:hAnsi="Arial" w:cs="Arial"/>
          <w:bCs/>
          <w:sz w:val="20"/>
          <w:szCs w:val="20"/>
        </w:rPr>
        <w:t>.</w:t>
      </w:r>
    </w:p>
    <w:p w14:paraId="19DB20DE" w14:textId="3F058509" w:rsidR="007667A4" w:rsidRDefault="007667A4" w:rsidP="007667A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Tra le tendenze emerse dai compratori stranieri l’attenzione all’ambiente, driver sempre più forte per alcuni dei Paesi più affezionati al vino toscano. Come il </w:t>
      </w:r>
      <w:r w:rsidRPr="007667A4">
        <w:rPr>
          <w:rFonts w:ascii="Arial" w:hAnsi="Arial" w:cs="Arial"/>
          <w:b/>
          <w:sz w:val="20"/>
          <w:szCs w:val="20"/>
        </w:rPr>
        <w:t>Canada</w:t>
      </w:r>
      <w:r>
        <w:rPr>
          <w:rFonts w:ascii="Arial" w:hAnsi="Arial" w:cs="Arial"/>
          <w:bCs/>
          <w:sz w:val="20"/>
          <w:szCs w:val="20"/>
        </w:rPr>
        <w:t xml:space="preserve">, che porta a </w:t>
      </w:r>
      <w:proofErr w:type="spellStart"/>
      <w:r>
        <w:rPr>
          <w:rFonts w:ascii="Arial" w:hAnsi="Arial" w:cs="Arial"/>
          <w:bCs/>
          <w:sz w:val="20"/>
          <w:szCs w:val="20"/>
        </w:rPr>
        <w:t>BuyWine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una delle delegazioni più numerose insieme a quella degli Stati Uniti. Per il Nord America il nettare di Bacco prodotto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under the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Tuscan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sun</w:t>
      </w:r>
      <w:r>
        <w:rPr>
          <w:rFonts w:ascii="Arial" w:hAnsi="Arial" w:cs="Arial"/>
          <w:bCs/>
          <w:sz w:val="20"/>
          <w:szCs w:val="20"/>
        </w:rPr>
        <w:t xml:space="preserve"> è così attrattivo che il quasi inamovibile Monopolio Canadese </w:t>
      </w:r>
      <w:r w:rsidR="002B35AA">
        <w:rPr>
          <w:rFonts w:ascii="Arial" w:hAnsi="Arial" w:cs="Arial"/>
          <w:bCs/>
          <w:sz w:val="20"/>
          <w:szCs w:val="20"/>
        </w:rPr>
        <w:t xml:space="preserve">del Québec </w:t>
      </w:r>
      <w:r>
        <w:rPr>
          <w:rFonts w:ascii="Arial" w:hAnsi="Arial" w:cs="Arial"/>
          <w:bCs/>
          <w:sz w:val="20"/>
          <w:szCs w:val="20"/>
        </w:rPr>
        <w:t xml:space="preserve">ha in programma una visita in Toscana in primavera. Trova terreno fertile l’interesse per il vino </w:t>
      </w:r>
      <w:r w:rsidRPr="00EE4C88">
        <w:rPr>
          <w:rFonts w:ascii="Arial" w:hAnsi="Arial" w:cs="Arial"/>
          <w:b/>
          <w:sz w:val="20"/>
          <w:szCs w:val="20"/>
        </w:rPr>
        <w:t>biologico</w:t>
      </w:r>
      <w:r>
        <w:rPr>
          <w:rFonts w:ascii="Arial" w:hAnsi="Arial" w:cs="Arial"/>
          <w:bCs/>
          <w:sz w:val="20"/>
          <w:szCs w:val="20"/>
        </w:rPr>
        <w:t xml:space="preserve">: oltre la metà dei produttori presenti a </w:t>
      </w:r>
      <w:proofErr w:type="spellStart"/>
      <w:r>
        <w:rPr>
          <w:rFonts w:ascii="Arial" w:hAnsi="Arial" w:cs="Arial"/>
          <w:bCs/>
          <w:sz w:val="20"/>
          <w:szCs w:val="20"/>
        </w:rPr>
        <w:t>BuyWine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infatti, sono dichiaratamente </w:t>
      </w:r>
      <w:proofErr w:type="spellStart"/>
      <w:r>
        <w:rPr>
          <w:rFonts w:ascii="Arial" w:hAnsi="Arial" w:cs="Arial"/>
          <w:bCs/>
          <w:sz w:val="20"/>
          <w:szCs w:val="20"/>
        </w:rPr>
        <w:t>bio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Non tutti i mercati, però, vedono di buon occhio questa transizione: </w:t>
      </w:r>
      <w:r w:rsidR="00EE4C88">
        <w:rPr>
          <w:rFonts w:ascii="Arial" w:hAnsi="Arial" w:cs="Arial"/>
          <w:bCs/>
          <w:sz w:val="20"/>
          <w:szCs w:val="20"/>
        </w:rPr>
        <w:t>molti buyers provenienti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F34">
        <w:rPr>
          <w:rFonts w:ascii="Arial" w:hAnsi="Arial" w:cs="Arial"/>
          <w:b/>
          <w:sz w:val="20"/>
          <w:szCs w:val="20"/>
        </w:rPr>
        <w:t>Sudamerica</w:t>
      </w:r>
      <w:r>
        <w:rPr>
          <w:rFonts w:ascii="Arial" w:hAnsi="Arial" w:cs="Arial"/>
          <w:bCs/>
          <w:sz w:val="20"/>
          <w:szCs w:val="20"/>
        </w:rPr>
        <w:t xml:space="preserve">, così come </w:t>
      </w:r>
      <w:r w:rsidR="00EE4C88">
        <w:rPr>
          <w:rFonts w:ascii="Arial" w:hAnsi="Arial" w:cs="Arial"/>
          <w:bCs/>
          <w:sz w:val="20"/>
          <w:szCs w:val="20"/>
        </w:rPr>
        <w:t>dal</w:t>
      </w:r>
      <w:r>
        <w:rPr>
          <w:rFonts w:ascii="Arial" w:hAnsi="Arial" w:cs="Arial"/>
          <w:bCs/>
          <w:sz w:val="20"/>
          <w:szCs w:val="20"/>
        </w:rPr>
        <w:t>l’</w:t>
      </w:r>
      <w:r w:rsidRPr="00FC5F34">
        <w:rPr>
          <w:rFonts w:ascii="Arial" w:hAnsi="Arial" w:cs="Arial"/>
          <w:b/>
          <w:sz w:val="20"/>
          <w:szCs w:val="20"/>
        </w:rPr>
        <w:t>Asia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EE4C88">
        <w:rPr>
          <w:rFonts w:ascii="Arial" w:hAnsi="Arial" w:cs="Arial"/>
          <w:bCs/>
          <w:sz w:val="20"/>
          <w:szCs w:val="20"/>
        </w:rPr>
        <w:t xml:space="preserve">fatta </w:t>
      </w:r>
      <w:r>
        <w:rPr>
          <w:rFonts w:ascii="Arial" w:hAnsi="Arial" w:cs="Arial"/>
          <w:bCs/>
          <w:sz w:val="20"/>
          <w:szCs w:val="20"/>
        </w:rPr>
        <w:t xml:space="preserve">eccezione </w:t>
      </w:r>
      <w:r w:rsidR="00EE4C88">
        <w:rPr>
          <w:rFonts w:ascii="Arial" w:hAnsi="Arial" w:cs="Arial"/>
          <w:bCs/>
          <w:sz w:val="20"/>
          <w:szCs w:val="20"/>
        </w:rPr>
        <w:t>per i</w:t>
      </w:r>
      <w:r>
        <w:rPr>
          <w:rFonts w:ascii="Arial" w:hAnsi="Arial" w:cs="Arial"/>
          <w:bCs/>
          <w:sz w:val="20"/>
          <w:szCs w:val="20"/>
        </w:rPr>
        <w:t xml:space="preserve">l Giappone, </w:t>
      </w:r>
      <w:r w:rsidR="00EE4C88">
        <w:rPr>
          <w:rFonts w:ascii="Arial" w:hAnsi="Arial" w:cs="Arial"/>
          <w:bCs/>
          <w:sz w:val="20"/>
          <w:szCs w:val="20"/>
        </w:rPr>
        <w:t xml:space="preserve">considerano il vino </w:t>
      </w:r>
      <w:proofErr w:type="spellStart"/>
      <w:r w:rsidR="00EE4C88">
        <w:rPr>
          <w:rFonts w:ascii="Arial" w:hAnsi="Arial" w:cs="Arial"/>
          <w:bCs/>
          <w:sz w:val="20"/>
          <w:szCs w:val="20"/>
        </w:rPr>
        <w:t>bio</w:t>
      </w:r>
      <w:proofErr w:type="spellEnd"/>
      <w:r w:rsidR="00EE4C88">
        <w:rPr>
          <w:rFonts w:ascii="Arial" w:hAnsi="Arial" w:cs="Arial"/>
          <w:bCs/>
          <w:sz w:val="20"/>
          <w:szCs w:val="20"/>
        </w:rPr>
        <w:t xml:space="preserve"> troppo costoso e di conseguenza poco attrattivo per i propri clienti in patria. </w:t>
      </w:r>
    </w:p>
    <w:p w14:paraId="6D2CEF2E" w14:textId="73533DBC" w:rsidR="00EE4C88" w:rsidRDefault="00EE4C88" w:rsidP="007667A4">
      <w:pPr>
        <w:jc w:val="both"/>
        <w:rPr>
          <w:rFonts w:ascii="Arial" w:hAnsi="Arial" w:cs="Arial"/>
          <w:bCs/>
          <w:sz w:val="20"/>
          <w:szCs w:val="20"/>
        </w:rPr>
      </w:pPr>
      <w:r w:rsidRPr="00EE4C88">
        <w:rPr>
          <w:rFonts w:ascii="Arial" w:hAnsi="Arial" w:cs="Arial"/>
          <w:b/>
          <w:sz w:val="20"/>
          <w:szCs w:val="20"/>
        </w:rPr>
        <w:t>Non solo grandi vini:</w:t>
      </w:r>
      <w:r>
        <w:rPr>
          <w:rFonts w:ascii="Arial" w:hAnsi="Arial" w:cs="Arial"/>
          <w:bCs/>
          <w:sz w:val="20"/>
          <w:szCs w:val="20"/>
        </w:rPr>
        <w:t xml:space="preserve"> i Paesi emergenti guardano con attenzione anche ai vini più giovani, meno strutturati e di facile beva, che meglio si adattano alla cucina locale. A livello mondiale, il trend vede crescere i vini meno zuccherini.</w:t>
      </w:r>
      <w:r w:rsidR="00FC5F3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Anche il </w:t>
      </w:r>
      <w:r w:rsidRPr="00EE4C88">
        <w:rPr>
          <w:rFonts w:ascii="Arial" w:hAnsi="Arial" w:cs="Arial"/>
          <w:b/>
          <w:sz w:val="20"/>
          <w:szCs w:val="20"/>
        </w:rPr>
        <w:t>packaging</w:t>
      </w:r>
      <w:r>
        <w:rPr>
          <w:rFonts w:ascii="Arial" w:hAnsi="Arial" w:cs="Arial"/>
          <w:bCs/>
          <w:sz w:val="20"/>
          <w:szCs w:val="20"/>
        </w:rPr>
        <w:t xml:space="preserve"> fa la sua parte e le aziende che cercano di crescere si adattano di conseguenza, cercando di limitare i costi (attraverso vetro light) e l’impatto (ad esempio utilizzando carta riciclata). Le stesse etichette mutano, diventando più contemporanee nello stile e nel tipo di informazioni riportate, adatte a un consumatore più giovane e spesso nativo digitale. </w:t>
      </w:r>
    </w:p>
    <w:p w14:paraId="6F0E42E7" w14:textId="509CA752" w:rsidR="00EE4C88" w:rsidRPr="007667A4" w:rsidRDefault="00EE4C88" w:rsidP="007667A4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Il </w:t>
      </w:r>
      <w:r w:rsidRPr="00EE4C88">
        <w:rPr>
          <w:rFonts w:ascii="Arial" w:hAnsi="Arial" w:cs="Arial"/>
          <w:b/>
          <w:sz w:val="20"/>
          <w:szCs w:val="20"/>
        </w:rPr>
        <w:t>passaggio generazionale</w:t>
      </w:r>
      <w:r>
        <w:rPr>
          <w:rFonts w:ascii="Arial" w:hAnsi="Arial" w:cs="Arial"/>
          <w:bCs/>
          <w:sz w:val="20"/>
          <w:szCs w:val="20"/>
        </w:rPr>
        <w:t xml:space="preserve"> segna il passo tra le aziende: cresce la consapevolezza del proprio target e delle tendenze a livello mondiale, ma anche del fatto che essere bravi in vigna e in cantina può non essere sufficiente per sfondare sul mercato. Servono competenze complementari, di management, per rendere la propria azienda competitiva. </w:t>
      </w:r>
    </w:p>
    <w:p w14:paraId="5CEE8659" w14:textId="4A0DB8AD" w:rsidR="00550915" w:rsidRDefault="00550915" w:rsidP="00550915">
      <w:pPr>
        <w:shd w:val="clear" w:color="auto" w:fill="FFFFFF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eastAsia="Times New Roman" w:hAnsi="Arial" w:cs="Arial"/>
          <w:sz w:val="20"/>
          <w:szCs w:val="20"/>
        </w:rPr>
        <w:t xml:space="preserve">Il programma della “Wine week” prosegue domani, </w:t>
      </w:r>
      <w:r w:rsidRPr="00550915">
        <w:rPr>
          <w:rFonts w:ascii="Arial" w:eastAsia="Times New Roman" w:hAnsi="Arial" w:cs="Arial"/>
          <w:b/>
          <w:bCs/>
          <w:sz w:val="20"/>
          <w:szCs w:val="20"/>
        </w:rPr>
        <w:t>sabato 11 febbraio</w:t>
      </w:r>
      <w:r>
        <w:rPr>
          <w:rFonts w:ascii="Arial" w:eastAsia="Times New Roman" w:hAnsi="Arial" w:cs="Arial"/>
          <w:sz w:val="20"/>
          <w:szCs w:val="20"/>
        </w:rPr>
        <w:t xml:space="preserve">, presso il Cinema La Compagnia di Firenze, con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PrimAnteprima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la giornata evento dedicata alla stampa specializzata in cui si svelano i dati su trend ed export del settore vitivinicolo regionale. A seguire, il calendario delle Anteprime prevede: </w:t>
      </w:r>
      <w:r>
        <w:rPr>
          <w:rFonts w:ascii="Arial" w:hAnsi="Arial" w:cs="Arial"/>
          <w:sz w:val="20"/>
          <w:szCs w:val="20"/>
          <w:shd w:val="clear" w:color="auto" w:fill="FFFFFF"/>
        </w:rPr>
        <w:t>domenica 12 febbraio Chianti Lovers &amp; Rosso Morellino, lunedì 13 e martedì 14 febbraio Chianti Classico Collection, mercoledì 15 Anteprima Vino Nobile di Montepulciano, giovedì 16 febbraio Anteprima Vernaccia di San Gimignano, venerdì 17 febbraio Anteprima L’Altra Toscana*.</w:t>
      </w:r>
    </w:p>
    <w:p w14:paraId="63A97019" w14:textId="0B728F1B" w:rsidR="00550915" w:rsidRPr="00426E29" w:rsidRDefault="00550915" w:rsidP="00550915">
      <w:pPr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884789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* L’Altra Toscana riunisce i seguenti consorzi: Consorzio di Tutela dei Vini Carmignano, Consorzio Chianti Rufina, Consorzio Vini delle Colline Lucchesi, Consorzio Vini Cortona, Consorzio del Vino Orcia, Consorzio Tutela Vini della Maremma Toscana, Consorzio Tutela Vini </w:t>
      </w:r>
      <w:proofErr w:type="spellStart"/>
      <w:r w:rsidRPr="00884789">
        <w:rPr>
          <w:rFonts w:ascii="Arial" w:hAnsi="Arial" w:cs="Arial"/>
          <w:i/>
          <w:iCs/>
          <w:sz w:val="18"/>
          <w:szCs w:val="18"/>
          <w:shd w:val="clear" w:color="auto" w:fill="FFFFFF"/>
        </w:rPr>
        <w:t>Montecucco</w:t>
      </w:r>
      <w:proofErr w:type="spellEnd"/>
      <w:r w:rsidRPr="00884789">
        <w:rPr>
          <w:rFonts w:ascii="Arial" w:hAnsi="Arial" w:cs="Arial"/>
          <w:i/>
          <w:iCs/>
          <w:sz w:val="18"/>
          <w:szCs w:val="18"/>
          <w:shd w:val="clear" w:color="auto" w:fill="FFFFFF"/>
        </w:rPr>
        <w:t>, Consorzio di Tutela Vini D.O.P. Suvereto e Val di Cornia Wine, Consorzio di Tutela Vini Terre di Casole, Consorzio Vini Terre di Pisa, Consorzio Vino Toscana, Consorzio Vini DOC Valdarno di Sopra.</w:t>
      </w:r>
    </w:p>
    <w:p w14:paraId="763E66BD" w14:textId="77777777" w:rsidR="00550915" w:rsidRDefault="00550915" w:rsidP="00550915">
      <w:pPr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Ufficio Stampa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BuyWine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PrimAnteprima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2023</w:t>
      </w:r>
    </w:p>
    <w:p w14:paraId="52F863EF" w14:textId="77777777" w:rsidR="00550915" w:rsidRDefault="00550915" w:rsidP="0055091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Mariangela Della Monica - </w:t>
      </w:r>
      <w:proofErr w:type="gramStart"/>
      <w:r>
        <w:rPr>
          <w:rFonts w:ascii="Arial" w:hAnsi="Arial" w:cs="Arial"/>
          <w:sz w:val="20"/>
          <w:szCs w:val="20"/>
        </w:rPr>
        <w:t>m.dellamonica@fst.it  ufficiostampa@buy-wine.it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 334 6606721</w:t>
      </w:r>
    </w:p>
    <w:p w14:paraId="7A287313" w14:textId="44E8B282" w:rsidR="00550915" w:rsidRPr="00426E29" w:rsidRDefault="0055091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Francesca Puliti – francesca.puliti@chiarellopulitipartners.com – 392 9475467</w:t>
      </w:r>
    </w:p>
    <w:sectPr w:rsidR="00550915" w:rsidRPr="00426E2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E18A" w14:textId="77777777" w:rsidR="004609F8" w:rsidRDefault="004609F8" w:rsidP="00FC5F34">
      <w:pPr>
        <w:spacing w:after="0" w:line="240" w:lineRule="auto"/>
      </w:pPr>
      <w:r>
        <w:separator/>
      </w:r>
    </w:p>
  </w:endnote>
  <w:endnote w:type="continuationSeparator" w:id="0">
    <w:p w14:paraId="5E982E4C" w14:textId="77777777" w:rsidR="004609F8" w:rsidRDefault="004609F8" w:rsidP="00FC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A267" w14:textId="4C7142A3" w:rsidR="00FC5F34" w:rsidRDefault="00FC5F34">
    <w:pPr>
      <w:pStyle w:val="Pidipagina"/>
    </w:pPr>
    <w:r>
      <w:rPr>
        <w:noProof/>
      </w:rPr>
      <w:drawing>
        <wp:inline distT="0" distB="0" distL="0" distR="0" wp14:anchorId="30163212" wp14:editId="5E8BA19F">
          <wp:extent cx="6108700" cy="711200"/>
          <wp:effectExtent l="0" t="0" r="0" b="0"/>
          <wp:docPr id="3" name="Immagine2" descr="mac giusti:Users:Giovanni:Library:Containers:com.apple.mail:Data:Library:Mail Downloads:3264DD45-D289-4807-9FF9-EF71495BC2C6:Striscia dop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mac giusti:Users:Giovanni:Library:Containers:com.apple.mail:Data:Library:Mail Downloads:3264DD45-D289-4807-9FF9-EF71495BC2C6:Striscia dop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59" b="48344"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522C" w14:textId="77777777" w:rsidR="004609F8" w:rsidRDefault="004609F8" w:rsidP="00FC5F34">
      <w:pPr>
        <w:spacing w:after="0" w:line="240" w:lineRule="auto"/>
      </w:pPr>
      <w:r>
        <w:separator/>
      </w:r>
    </w:p>
  </w:footnote>
  <w:footnote w:type="continuationSeparator" w:id="0">
    <w:p w14:paraId="3BE907BB" w14:textId="77777777" w:rsidR="004609F8" w:rsidRDefault="004609F8" w:rsidP="00FC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813D" w14:textId="3A817DFC" w:rsidR="00FC5F34" w:rsidRDefault="00FC5F34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47980A70" wp14:editId="1CF7FC44">
          <wp:simplePos x="0" y="0"/>
          <wp:positionH relativeFrom="margin">
            <wp:align>right</wp:align>
          </wp:positionH>
          <wp:positionV relativeFrom="paragraph">
            <wp:posOffset>24765</wp:posOffset>
          </wp:positionV>
          <wp:extent cx="2896870" cy="447675"/>
          <wp:effectExtent l="0" t="0" r="0" b="9525"/>
          <wp:wrapNone/>
          <wp:docPr id="1" name="Immagine 1" descr="M:\Div.INT\2020\Buy Wine 2020\Loghi e Carta Intestata\Primanteprima\Primanteprima_logo_02_pi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:\Div.INT\2020\Buy Wine 2020\Loghi e Carta Intestata\Primanteprima\Primanteprima_logo_02_pic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5485E94" wp14:editId="146122AB">
          <wp:extent cx="1757680" cy="565150"/>
          <wp:effectExtent l="0" t="0" r="0" b="0"/>
          <wp:docPr id="2" name="Immagine 5" descr="Immagine che contiene testo, segnale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 descr="Immagine che contiene testo, segnale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14CAF096" w14:textId="77777777" w:rsidR="00FC5F34" w:rsidRDefault="00FC5F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DE"/>
    <w:rsid w:val="00242892"/>
    <w:rsid w:val="002B35AA"/>
    <w:rsid w:val="00426E29"/>
    <w:rsid w:val="004609F8"/>
    <w:rsid w:val="004F1617"/>
    <w:rsid w:val="00550915"/>
    <w:rsid w:val="005C2ADE"/>
    <w:rsid w:val="00644AA6"/>
    <w:rsid w:val="00743F86"/>
    <w:rsid w:val="007667A4"/>
    <w:rsid w:val="007A2611"/>
    <w:rsid w:val="00EE4C88"/>
    <w:rsid w:val="00F36D8B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FAD9"/>
  <w15:chartTrackingRefBased/>
  <w15:docId w15:val="{E54FDA99-B475-4449-B235-3444C63D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5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F34"/>
  </w:style>
  <w:style w:type="paragraph" w:styleId="Pidipagina">
    <w:name w:val="footer"/>
    <w:basedOn w:val="Normale"/>
    <w:link w:val="PidipaginaCarattere"/>
    <w:uiPriority w:val="99"/>
    <w:unhideWhenUsed/>
    <w:rsid w:val="00FC5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puliti</dc:creator>
  <cp:keywords/>
  <dc:description/>
  <cp:lastModifiedBy>Franco De Felice</cp:lastModifiedBy>
  <cp:revision>2</cp:revision>
  <dcterms:created xsi:type="dcterms:W3CDTF">2023-02-10T14:23:00Z</dcterms:created>
  <dcterms:modified xsi:type="dcterms:W3CDTF">2023-02-10T14:23:00Z</dcterms:modified>
</cp:coreProperties>
</file>