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89A" w14:textId="50CFCFF3" w:rsidR="00D666C4" w:rsidRPr="007B3730" w:rsidRDefault="00D666C4" w:rsidP="006E6C8C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7B3730">
        <w:rPr>
          <w:rFonts w:ascii="Arial" w:hAnsi="Arial" w:cs="Arial"/>
          <w:bCs/>
          <w:iCs/>
          <w:sz w:val="28"/>
          <w:szCs w:val="28"/>
        </w:rPr>
        <w:t>Comunicato Stampa</w:t>
      </w:r>
    </w:p>
    <w:p w14:paraId="275A1780" w14:textId="5EA6733F" w:rsidR="00D666C4" w:rsidRPr="007B3730" w:rsidRDefault="000F205D" w:rsidP="00D666C4">
      <w:pPr>
        <w:spacing w:after="0" w:line="100" w:lineRule="atLeast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Cuori solitari in cerca d</w:t>
      </w:r>
      <w:r w:rsidR="00234A1E">
        <w:rPr>
          <w:rFonts w:ascii="Arial" w:hAnsi="Arial" w:cs="Arial"/>
          <w:b/>
          <w:bCs/>
          <w:iCs/>
          <w:sz w:val="32"/>
          <w:szCs w:val="32"/>
        </w:rPr>
        <w:t>ell’anima gemella e di una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casa</w:t>
      </w:r>
      <w:r w:rsidR="00152611">
        <w:rPr>
          <w:rFonts w:ascii="Arial" w:hAnsi="Arial" w:cs="Arial"/>
          <w:b/>
          <w:bCs/>
          <w:iCs/>
          <w:sz w:val="32"/>
          <w:szCs w:val="32"/>
        </w:rPr>
        <w:t>?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152611">
        <w:rPr>
          <w:rFonts w:ascii="Arial" w:hAnsi="Arial" w:cs="Arial"/>
          <w:b/>
          <w:bCs/>
          <w:iCs/>
          <w:sz w:val="32"/>
          <w:szCs w:val="32"/>
        </w:rPr>
        <w:br/>
        <w:t>M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eglio guardare al Nord. Trieste la città perfetta </w:t>
      </w:r>
    </w:p>
    <w:p w14:paraId="464444EB" w14:textId="77777777" w:rsidR="00D666C4" w:rsidRPr="007B3730" w:rsidRDefault="00D666C4" w:rsidP="00D666C4">
      <w:pPr>
        <w:spacing w:after="0" w:line="100" w:lineRule="atLeast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4414C6C9" w14:textId="05ACED4D" w:rsidR="00D666C4" w:rsidRPr="007039A9" w:rsidRDefault="002B3A62" w:rsidP="00D666C4">
      <w:pPr>
        <w:spacing w:after="0" w:line="100" w:lineRule="atLeast"/>
        <w:jc w:val="center"/>
        <w:rPr>
          <w:rFonts w:ascii="Arial" w:hAnsi="Arial" w:cs="Arial"/>
          <w:b/>
          <w:bCs/>
          <w:i/>
        </w:rPr>
      </w:pPr>
      <w:r w:rsidRPr="007039A9">
        <w:rPr>
          <w:rFonts w:ascii="Arial" w:hAnsi="Arial" w:cs="Arial"/>
          <w:b/>
          <w:bCs/>
          <w:i/>
        </w:rPr>
        <w:t>Lo studio ha incrociato una serie di variabili demografiche e abitative per individuare l</w:t>
      </w:r>
      <w:r w:rsidR="007039A9">
        <w:rPr>
          <w:rFonts w:ascii="Arial" w:hAnsi="Arial" w:cs="Arial"/>
          <w:b/>
          <w:bCs/>
          <w:i/>
        </w:rPr>
        <w:t>e</w:t>
      </w:r>
      <w:r w:rsidRPr="007039A9">
        <w:rPr>
          <w:rFonts w:ascii="Arial" w:hAnsi="Arial" w:cs="Arial"/>
          <w:b/>
          <w:bCs/>
          <w:i/>
        </w:rPr>
        <w:t xml:space="preserve"> 10 città italiane dove è più alta la possibilità di trovare un partner e un</w:t>
      </w:r>
      <w:r w:rsidR="00234A1E">
        <w:rPr>
          <w:rFonts w:ascii="Arial" w:hAnsi="Arial" w:cs="Arial"/>
          <w:b/>
          <w:bCs/>
          <w:i/>
        </w:rPr>
        <w:t xml:space="preserve"> bilocale</w:t>
      </w:r>
    </w:p>
    <w:p w14:paraId="6C1AD792" w14:textId="77777777" w:rsidR="00D666C4" w:rsidRPr="002B3A62" w:rsidRDefault="00D666C4" w:rsidP="00D666C4">
      <w:pPr>
        <w:spacing w:after="0" w:line="100" w:lineRule="atLeast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23D84F1" w14:textId="194BDB65" w:rsidR="002B02DF" w:rsidRPr="00AC3C8A" w:rsidRDefault="00D666C4" w:rsidP="00AC3C8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7B3730">
        <w:rPr>
          <w:rFonts w:ascii="Arial" w:hAnsi="Arial" w:cs="Arial"/>
          <w:b/>
          <w:bCs/>
          <w:iCs/>
          <w:sz w:val="24"/>
          <w:szCs w:val="24"/>
        </w:rPr>
        <w:t xml:space="preserve">Milano, </w:t>
      </w:r>
      <w:r w:rsidR="00862D9F">
        <w:rPr>
          <w:rFonts w:ascii="Arial" w:hAnsi="Arial" w:cs="Arial"/>
          <w:b/>
          <w:bCs/>
          <w:iCs/>
          <w:sz w:val="24"/>
          <w:szCs w:val="24"/>
        </w:rPr>
        <w:t>febbraio</w:t>
      </w:r>
      <w:r w:rsidRPr="007B3730">
        <w:rPr>
          <w:rFonts w:ascii="Arial" w:hAnsi="Arial" w:cs="Arial"/>
          <w:b/>
          <w:bCs/>
          <w:iCs/>
          <w:sz w:val="24"/>
          <w:szCs w:val="24"/>
        </w:rPr>
        <w:t xml:space="preserve"> 2023</w:t>
      </w:r>
      <w:r w:rsidRPr="007B3730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2B02DF" w:rsidRPr="00AC3C8A">
        <w:rPr>
          <w:rFonts w:ascii="Arial" w:hAnsi="Arial" w:cs="Arial"/>
          <w:bCs/>
          <w:iCs/>
          <w:sz w:val="24"/>
          <w:szCs w:val="24"/>
        </w:rPr>
        <w:t xml:space="preserve">In Italia oltre 1 persona su 3 vive da sola, più che San Valentino quindi, </w:t>
      </w:r>
      <w:r w:rsidR="002E7A3D" w:rsidRPr="00AC3C8A">
        <w:rPr>
          <w:rFonts w:ascii="Arial" w:hAnsi="Arial" w:cs="Arial"/>
          <w:bCs/>
          <w:iCs/>
          <w:sz w:val="24"/>
          <w:szCs w:val="24"/>
        </w:rPr>
        <w:t>il</w:t>
      </w:r>
      <w:r w:rsidR="002B02DF" w:rsidRPr="00AC3C8A">
        <w:rPr>
          <w:rFonts w:ascii="Arial" w:hAnsi="Arial" w:cs="Arial"/>
          <w:bCs/>
          <w:iCs/>
          <w:sz w:val="24"/>
          <w:szCs w:val="24"/>
        </w:rPr>
        <w:t xml:space="preserve"> Paese si prepara a festeggiare San Faustino, patrono dei single. Ma chi fosse disposto a tutto pur di trovare la propria metà dove dovrebbe prendere residenza per vedere aumentare le proprie chance di trovare un partner e magari anche una casa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 da comprare</w:t>
      </w:r>
      <w:r w:rsidR="002B02DF" w:rsidRPr="00AC3C8A">
        <w:rPr>
          <w:rFonts w:ascii="Arial" w:hAnsi="Arial" w:cs="Arial"/>
          <w:bCs/>
          <w:iCs/>
          <w:sz w:val="24"/>
          <w:szCs w:val="24"/>
        </w:rPr>
        <w:t>?</w:t>
      </w:r>
    </w:p>
    <w:p w14:paraId="100FE1C0" w14:textId="72171341" w:rsidR="001A2BAB" w:rsidRPr="00AC3C8A" w:rsidRDefault="00854CC4" w:rsidP="00AC3C8A">
      <w:pPr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 w:rsidR="003960B4" w:rsidRPr="00AC3C8A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Immobiliare.it</w:t>
        </w:r>
      </w:hyperlink>
      <w:r w:rsidR="003960B4" w:rsidRPr="00AC3C8A">
        <w:rPr>
          <w:rFonts w:ascii="Arial" w:hAnsi="Arial" w:cs="Arial"/>
          <w:bCs/>
          <w:sz w:val="24"/>
          <w:szCs w:val="24"/>
        </w:rPr>
        <w:t xml:space="preserve">, </w:t>
      </w:r>
      <w:r w:rsidR="002B02DF" w:rsidRPr="00AC3C8A">
        <w:rPr>
          <w:rFonts w:ascii="Arial" w:hAnsi="Arial" w:cs="Arial"/>
          <w:bCs/>
          <w:sz w:val="24"/>
          <w:szCs w:val="24"/>
        </w:rPr>
        <w:t>il portale immobiliare leader in Italia</w:t>
      </w:r>
      <w:r w:rsidR="003960B4" w:rsidRPr="00AC3C8A">
        <w:rPr>
          <w:rFonts w:ascii="Arial" w:hAnsi="Arial" w:cs="Arial"/>
          <w:bCs/>
          <w:sz w:val="24"/>
          <w:szCs w:val="24"/>
        </w:rPr>
        <w:t>,</w:t>
      </w:r>
      <w:r w:rsidR="00764452" w:rsidRPr="00AC3C8A">
        <w:rPr>
          <w:rFonts w:ascii="Arial" w:hAnsi="Arial" w:cs="Arial"/>
          <w:bCs/>
          <w:sz w:val="24"/>
          <w:szCs w:val="24"/>
        </w:rPr>
        <w:t xml:space="preserve"> </w:t>
      </w:r>
      <w:r w:rsidR="00AC24C2" w:rsidRPr="00AC3C8A">
        <w:rPr>
          <w:rFonts w:ascii="Arial" w:hAnsi="Arial" w:cs="Arial"/>
          <w:bCs/>
          <w:sz w:val="24"/>
          <w:szCs w:val="24"/>
        </w:rPr>
        <w:t>ha incrociato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 i dati demografici </w:t>
      </w:r>
      <w:r w:rsidR="00234A1E" w:rsidRPr="00AC3C8A">
        <w:rPr>
          <w:rFonts w:ascii="Arial" w:hAnsi="Arial" w:cs="Arial"/>
          <w:bCs/>
          <w:sz w:val="24"/>
          <w:szCs w:val="24"/>
        </w:rPr>
        <w:t xml:space="preserve">dell’ultimo censimento 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con </w:t>
      </w:r>
      <w:r w:rsidR="002B02DF" w:rsidRPr="00AC3C8A">
        <w:rPr>
          <w:rFonts w:ascii="Arial" w:hAnsi="Arial" w:cs="Arial"/>
          <w:bCs/>
          <w:sz w:val="24"/>
          <w:szCs w:val="24"/>
        </w:rPr>
        <w:t>quelli d</w:t>
      </w:r>
      <w:r w:rsidR="00234A1E" w:rsidRPr="00AC3C8A">
        <w:rPr>
          <w:rFonts w:ascii="Arial" w:hAnsi="Arial" w:cs="Arial"/>
          <w:bCs/>
          <w:sz w:val="24"/>
          <w:szCs w:val="24"/>
        </w:rPr>
        <w:t>ell’</w:t>
      </w:r>
      <w:r w:rsidR="002B02DF" w:rsidRPr="00AC3C8A">
        <w:rPr>
          <w:rFonts w:ascii="Arial" w:hAnsi="Arial" w:cs="Arial"/>
          <w:bCs/>
          <w:sz w:val="24"/>
          <w:szCs w:val="24"/>
        </w:rPr>
        <w:t>accessibilità</w:t>
      </w:r>
      <w:r w:rsidR="00234A1E" w:rsidRPr="00AC3C8A">
        <w:rPr>
          <w:rFonts w:ascii="Arial" w:hAnsi="Arial" w:cs="Arial"/>
          <w:bCs/>
          <w:sz w:val="24"/>
          <w:szCs w:val="24"/>
        </w:rPr>
        <w:t xml:space="preserve"> all’acquisto immobiliare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 </w:t>
      </w:r>
      <w:r w:rsidR="002B02DF" w:rsidRPr="00AC3C8A">
        <w:rPr>
          <w:rFonts w:ascii="Arial" w:hAnsi="Arial" w:cs="Arial"/>
          <w:bCs/>
          <w:sz w:val="24"/>
          <w:szCs w:val="24"/>
        </w:rPr>
        <w:t xml:space="preserve">per individuare 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le </w:t>
      </w:r>
      <w:r w:rsidR="003960B4" w:rsidRPr="00AC3C8A">
        <w:rPr>
          <w:rFonts w:ascii="Arial" w:hAnsi="Arial" w:cs="Arial"/>
          <w:b/>
          <w:bCs/>
          <w:sz w:val="24"/>
          <w:szCs w:val="24"/>
        </w:rPr>
        <w:t>dieci città italiane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 </w:t>
      </w:r>
      <w:r w:rsidR="003960B4" w:rsidRPr="00AC3C8A">
        <w:rPr>
          <w:rFonts w:ascii="Arial" w:hAnsi="Arial" w:cs="Arial"/>
          <w:b/>
          <w:bCs/>
          <w:sz w:val="24"/>
          <w:szCs w:val="24"/>
        </w:rPr>
        <w:t>dove i single hanno una maggiore possibilità di trovare casa e amore</w:t>
      </w:r>
      <w:r w:rsidR="003960B4" w:rsidRPr="00AC3C8A">
        <w:rPr>
          <w:rFonts w:ascii="Arial" w:hAnsi="Arial" w:cs="Arial"/>
          <w:bCs/>
          <w:sz w:val="24"/>
          <w:szCs w:val="24"/>
        </w:rPr>
        <w:t>.</w:t>
      </w:r>
      <w:r w:rsidR="001C04F8" w:rsidRPr="00AC3C8A">
        <w:rPr>
          <w:rFonts w:ascii="Arial" w:hAnsi="Arial" w:cs="Arial"/>
          <w:bCs/>
          <w:sz w:val="24"/>
          <w:szCs w:val="24"/>
        </w:rPr>
        <w:t xml:space="preserve"> Su tutte spicca la città di </w:t>
      </w:r>
      <w:r w:rsidR="001C04F8" w:rsidRPr="00AC3C8A">
        <w:rPr>
          <w:rFonts w:ascii="Arial" w:hAnsi="Arial" w:cs="Arial"/>
          <w:b/>
          <w:sz w:val="24"/>
          <w:szCs w:val="24"/>
        </w:rPr>
        <w:t>Trieste</w:t>
      </w:r>
      <w:r w:rsidR="001C04F8" w:rsidRPr="00AC3C8A">
        <w:rPr>
          <w:rFonts w:ascii="Arial" w:hAnsi="Arial" w:cs="Arial"/>
          <w:bCs/>
          <w:sz w:val="24"/>
          <w:szCs w:val="24"/>
        </w:rPr>
        <w:t xml:space="preserve">, </w:t>
      </w:r>
      <w:r w:rsidR="001C04F8" w:rsidRPr="00AC3C8A">
        <w:rPr>
          <w:rFonts w:ascii="Arial" w:hAnsi="Arial" w:cs="Arial"/>
          <w:b/>
          <w:sz w:val="24"/>
          <w:szCs w:val="24"/>
        </w:rPr>
        <w:t>seguita da Genova e Torino</w:t>
      </w:r>
      <w:r w:rsidR="001C04F8" w:rsidRPr="00AC3C8A">
        <w:rPr>
          <w:rFonts w:ascii="Arial" w:hAnsi="Arial" w:cs="Arial"/>
          <w:bCs/>
          <w:sz w:val="24"/>
          <w:szCs w:val="24"/>
        </w:rPr>
        <w:t>.</w:t>
      </w:r>
    </w:p>
    <w:p w14:paraId="11F2D6A1" w14:textId="2F410D78" w:rsidR="003960B4" w:rsidRPr="00AC3C8A" w:rsidRDefault="00AC3C8A" w:rsidP="00AC3C8A">
      <w:pPr>
        <w:pStyle w:val="Puntoelenco"/>
        <w:numPr>
          <w:ilvl w:val="0"/>
          <w:numId w:val="0"/>
        </w:numPr>
        <w:tabs>
          <w:tab w:val="left" w:pos="708"/>
        </w:tabs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 w:rsidRPr="00AC3C8A">
        <w:rPr>
          <w:rFonts w:ascii="Arial" w:hAnsi="Arial" w:cs="Arial"/>
          <w:bCs/>
          <w:sz w:val="24"/>
          <w:szCs w:val="24"/>
        </w:rPr>
        <w:t>In particolare,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 </w:t>
      </w:r>
      <w:r w:rsidR="00234A1E" w:rsidRPr="00AC3C8A">
        <w:rPr>
          <w:rFonts w:ascii="Arial" w:hAnsi="Arial" w:cs="Arial"/>
          <w:bCs/>
          <w:sz w:val="24"/>
          <w:szCs w:val="24"/>
        </w:rPr>
        <w:t>s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ono state prese in considerazione </w:t>
      </w:r>
      <w:r w:rsidR="003960B4" w:rsidRPr="00AC3C8A">
        <w:rPr>
          <w:rFonts w:ascii="Arial" w:hAnsi="Arial" w:cs="Arial"/>
          <w:b/>
          <w:sz w:val="24"/>
          <w:szCs w:val="24"/>
        </w:rPr>
        <w:t>le città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 </w:t>
      </w:r>
      <w:r w:rsidR="001C04F8" w:rsidRPr="00AC3C8A">
        <w:rPr>
          <w:rFonts w:ascii="Arial" w:hAnsi="Arial" w:cs="Arial"/>
          <w:b/>
          <w:sz w:val="24"/>
          <w:szCs w:val="24"/>
        </w:rPr>
        <w:t>con la percentuale più elevata di persone sole</w:t>
      </w:r>
      <w:r w:rsidR="00AC24C2" w:rsidRPr="00AC3C8A">
        <w:rPr>
          <w:rFonts w:ascii="Arial" w:hAnsi="Arial" w:cs="Arial"/>
          <w:b/>
          <w:sz w:val="24"/>
          <w:szCs w:val="24"/>
        </w:rPr>
        <w:t>*</w:t>
      </w:r>
      <w:r w:rsidR="001C04F8" w:rsidRPr="00AC3C8A">
        <w:rPr>
          <w:rFonts w:ascii="Arial" w:hAnsi="Arial" w:cs="Arial"/>
          <w:bCs/>
          <w:sz w:val="24"/>
          <w:szCs w:val="24"/>
        </w:rPr>
        <w:t xml:space="preserve"> rispetto al totale della popolazione residente</w:t>
      </w:r>
      <w:r w:rsidR="00234A1E" w:rsidRPr="00AC3C8A">
        <w:rPr>
          <w:rFonts w:ascii="Arial" w:hAnsi="Arial" w:cs="Arial"/>
          <w:bCs/>
          <w:sz w:val="24"/>
          <w:szCs w:val="24"/>
        </w:rPr>
        <w:t xml:space="preserve"> e</w:t>
      </w:r>
      <w:r w:rsidR="001C04F8" w:rsidRPr="00AC3C8A">
        <w:rPr>
          <w:rFonts w:ascii="Arial" w:hAnsi="Arial" w:cs="Arial"/>
          <w:bCs/>
          <w:sz w:val="24"/>
          <w:szCs w:val="24"/>
        </w:rPr>
        <w:t xml:space="preserve"> tra queste sono state individuate quelle </w:t>
      </w:r>
      <w:r w:rsidR="003960B4" w:rsidRPr="00AC3C8A">
        <w:rPr>
          <w:rFonts w:ascii="Arial" w:hAnsi="Arial" w:cs="Arial"/>
          <w:bCs/>
          <w:sz w:val="24"/>
          <w:szCs w:val="24"/>
        </w:rPr>
        <w:t xml:space="preserve">con un </w:t>
      </w:r>
      <w:r w:rsidR="003960B4" w:rsidRPr="00AC3C8A">
        <w:rPr>
          <w:rFonts w:ascii="Arial" w:hAnsi="Arial" w:cs="Arial"/>
          <w:b/>
          <w:bCs/>
          <w:sz w:val="24"/>
          <w:szCs w:val="24"/>
        </w:rPr>
        <w:t xml:space="preserve">tasso di disoccupazione </w:t>
      </w:r>
      <w:r w:rsidR="003960B4" w:rsidRPr="00AC3C8A">
        <w:rPr>
          <w:rFonts w:ascii="Arial" w:hAnsi="Arial" w:cs="Arial"/>
          <w:bCs/>
          <w:sz w:val="24"/>
          <w:szCs w:val="24"/>
        </w:rPr>
        <w:t>inferiore alla media nazionale</w:t>
      </w:r>
      <w:r w:rsidR="00A34D38" w:rsidRPr="00AC3C8A">
        <w:rPr>
          <w:rFonts w:ascii="Arial" w:hAnsi="Arial" w:cs="Arial"/>
          <w:bCs/>
          <w:sz w:val="24"/>
          <w:szCs w:val="24"/>
        </w:rPr>
        <w:t xml:space="preserve">. È stata poi considerata la percentuale di </w:t>
      </w:r>
      <w:r w:rsidR="00A34D38" w:rsidRPr="00AC3C8A">
        <w:rPr>
          <w:rFonts w:ascii="Arial" w:hAnsi="Arial" w:cs="Arial"/>
          <w:b/>
          <w:sz w:val="24"/>
          <w:szCs w:val="24"/>
        </w:rPr>
        <w:t xml:space="preserve">bilocali accessibili dal cittadino </w:t>
      </w:r>
      <w:r w:rsidR="00AC24C2" w:rsidRPr="00AC3C8A">
        <w:rPr>
          <w:rFonts w:ascii="Arial" w:hAnsi="Arial" w:cs="Arial"/>
          <w:b/>
          <w:sz w:val="24"/>
          <w:szCs w:val="24"/>
        </w:rPr>
        <w:t xml:space="preserve">medio </w:t>
      </w:r>
      <w:r w:rsidR="00A34D38" w:rsidRPr="00AC3C8A">
        <w:rPr>
          <w:rFonts w:ascii="Arial" w:hAnsi="Arial" w:cs="Arial"/>
          <w:b/>
          <w:sz w:val="24"/>
          <w:szCs w:val="24"/>
        </w:rPr>
        <w:t>monoreddito</w:t>
      </w:r>
      <w:r w:rsidR="00A34D38" w:rsidRPr="00AC3C8A">
        <w:rPr>
          <w:rFonts w:ascii="Arial" w:hAnsi="Arial" w:cs="Arial"/>
          <w:bCs/>
          <w:sz w:val="24"/>
          <w:szCs w:val="24"/>
        </w:rPr>
        <w:t xml:space="preserve">, ovvero </w:t>
      </w:r>
      <w:r w:rsidR="00AC24C2" w:rsidRPr="00AC3C8A">
        <w:rPr>
          <w:rFonts w:ascii="Arial" w:hAnsi="Arial" w:cs="Arial"/>
          <w:bCs/>
          <w:sz w:val="24"/>
          <w:szCs w:val="24"/>
        </w:rPr>
        <w:t>quelli per cui l’eventuale rata mensile del mutuo non super</w:t>
      </w:r>
      <w:r w:rsidR="00234A1E" w:rsidRPr="00AC3C8A">
        <w:rPr>
          <w:rFonts w:ascii="Arial" w:hAnsi="Arial" w:cs="Arial"/>
          <w:bCs/>
          <w:sz w:val="24"/>
          <w:szCs w:val="24"/>
        </w:rPr>
        <w:t>i</w:t>
      </w:r>
      <w:r w:rsidR="00AC24C2" w:rsidRPr="00AC3C8A">
        <w:rPr>
          <w:rFonts w:ascii="Arial" w:hAnsi="Arial" w:cs="Arial"/>
          <w:bCs/>
          <w:sz w:val="24"/>
          <w:szCs w:val="24"/>
        </w:rPr>
        <w:t xml:space="preserve"> un terzo dello stipendio</w:t>
      </w:r>
      <w:r w:rsidR="003960B4" w:rsidRPr="00AC3C8A">
        <w:rPr>
          <w:rFonts w:ascii="Arial" w:hAnsi="Arial" w:cs="Arial"/>
          <w:bCs/>
          <w:sz w:val="24"/>
          <w:szCs w:val="24"/>
        </w:rPr>
        <w:t>.</w:t>
      </w:r>
    </w:p>
    <w:p w14:paraId="736CED61" w14:textId="3E175FA8" w:rsidR="00234A1E" w:rsidRPr="00AC3C8A" w:rsidRDefault="00234A1E" w:rsidP="00AC3C8A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AC3C8A">
        <w:rPr>
          <w:rFonts w:ascii="Arial" w:hAnsi="Arial" w:cs="Arial"/>
          <w:b/>
          <w:iCs/>
          <w:sz w:val="24"/>
          <w:szCs w:val="24"/>
        </w:rPr>
        <w:t>Il Nord offre più chance per trovare un nido e qualcuno con cui condividerlo</w:t>
      </w:r>
    </w:p>
    <w:p w14:paraId="2A80E970" w14:textId="233C127E" w:rsidR="003960B4" w:rsidRPr="00AC3C8A" w:rsidRDefault="002E7A3D" w:rsidP="00AC3C8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C3C8A">
        <w:rPr>
          <w:rFonts w:ascii="Arial" w:hAnsi="Arial" w:cs="Arial"/>
          <w:bCs/>
          <w:iCs/>
          <w:sz w:val="24"/>
          <w:szCs w:val="24"/>
        </w:rPr>
        <w:t xml:space="preserve">In generale la classifica premia le città del </w:t>
      </w:r>
      <w:r w:rsidRPr="00AC3C8A">
        <w:rPr>
          <w:rFonts w:ascii="Arial" w:hAnsi="Arial" w:cs="Arial"/>
          <w:b/>
          <w:iCs/>
          <w:sz w:val="24"/>
          <w:szCs w:val="24"/>
        </w:rPr>
        <w:t>Nord Italia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2342CA" w:rsidRPr="00AC3C8A">
        <w:rPr>
          <w:rFonts w:ascii="Arial" w:hAnsi="Arial" w:cs="Arial"/>
          <w:bCs/>
          <w:iCs/>
          <w:sz w:val="24"/>
          <w:szCs w:val="24"/>
        </w:rPr>
        <w:t>le prime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5 infatti si collocano tutte in questa area geografica. </w:t>
      </w:r>
      <w:r w:rsidR="001D1208" w:rsidRPr="00AC3C8A">
        <w:rPr>
          <w:rFonts w:ascii="Arial" w:hAnsi="Arial" w:cs="Arial"/>
          <w:bCs/>
          <w:iCs/>
          <w:sz w:val="24"/>
          <w:szCs w:val="24"/>
        </w:rPr>
        <w:t>Al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primo posto troviamo quindi </w:t>
      </w:r>
      <w:r w:rsidRPr="00AC3C8A">
        <w:rPr>
          <w:rFonts w:ascii="Arial" w:hAnsi="Arial" w:cs="Arial"/>
          <w:b/>
          <w:iCs/>
          <w:sz w:val="24"/>
          <w:szCs w:val="24"/>
        </w:rPr>
        <w:t>Trieste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, città di confine affacciata sull’Adriatico, dove ben 1 persona su 4 è single </w:t>
      </w:r>
      <w:r w:rsidR="001D1208" w:rsidRPr="00AC3C8A">
        <w:rPr>
          <w:rFonts w:ascii="Arial" w:hAnsi="Arial" w:cs="Arial"/>
          <w:bCs/>
          <w:iCs/>
          <w:sz w:val="24"/>
          <w:szCs w:val="24"/>
        </w:rPr>
        <w:t xml:space="preserve">e dove chi si dovesse trasferire per amore potrebbe accedere a ben il 70% dei bilocali in 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vendita in </w:t>
      </w:r>
      <w:r w:rsidR="001D1208" w:rsidRPr="00AC3C8A">
        <w:rPr>
          <w:rFonts w:ascii="Arial" w:hAnsi="Arial" w:cs="Arial"/>
          <w:bCs/>
          <w:iCs/>
          <w:sz w:val="24"/>
          <w:szCs w:val="24"/>
        </w:rPr>
        <w:t>città ad un costo medio di poco superiore a</w:t>
      </w:r>
      <w:r w:rsidR="007039A9" w:rsidRPr="00AC3C8A">
        <w:rPr>
          <w:rFonts w:ascii="Arial" w:hAnsi="Arial" w:cs="Arial"/>
          <w:bCs/>
          <w:iCs/>
          <w:sz w:val="24"/>
          <w:szCs w:val="24"/>
        </w:rPr>
        <w:t>i</w:t>
      </w:r>
      <w:r w:rsidR="001D1208" w:rsidRPr="00AC3C8A">
        <w:rPr>
          <w:rFonts w:ascii="Arial" w:hAnsi="Arial" w:cs="Arial"/>
          <w:bCs/>
          <w:iCs/>
          <w:sz w:val="24"/>
          <w:szCs w:val="24"/>
        </w:rPr>
        <w:t xml:space="preserve"> 100mila euro. </w:t>
      </w:r>
    </w:p>
    <w:p w14:paraId="108F57BC" w14:textId="1DC9D6CF" w:rsidR="001D1208" w:rsidRPr="00AC3C8A" w:rsidRDefault="001D1208" w:rsidP="00AC3C8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C3C8A">
        <w:rPr>
          <w:rFonts w:ascii="Arial" w:hAnsi="Arial" w:cs="Arial"/>
          <w:bCs/>
          <w:iCs/>
          <w:sz w:val="24"/>
          <w:szCs w:val="24"/>
        </w:rPr>
        <w:t xml:space="preserve">È facile trovare la casa dei propri sogni a </w:t>
      </w:r>
      <w:r w:rsidRPr="00AC3C8A">
        <w:rPr>
          <w:rFonts w:ascii="Arial" w:hAnsi="Arial" w:cs="Arial"/>
          <w:b/>
          <w:iCs/>
          <w:sz w:val="24"/>
          <w:szCs w:val="24"/>
        </w:rPr>
        <w:t>Genova e Torino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– rispettivamente seconda e terza classificata – che presentano entrambe 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>una percentuale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superiore all’80%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 di bilocali accessibili,</w:t>
      </w:r>
      <w:r w:rsidR="00997E77" w:rsidRPr="00AC3C8A">
        <w:rPr>
          <w:rFonts w:ascii="Arial" w:hAnsi="Arial" w:cs="Arial"/>
          <w:bCs/>
          <w:iCs/>
          <w:sz w:val="24"/>
          <w:szCs w:val="24"/>
        </w:rPr>
        <w:t xml:space="preserve"> con un prezzo medio che si aggira sugli 80mila euro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. E 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qui inoltre 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ci sono buone possibilità di </w:t>
      </w:r>
      <w:r w:rsidRPr="00AC3C8A">
        <w:rPr>
          <w:rFonts w:ascii="Arial" w:hAnsi="Arial" w:cs="Arial"/>
          <w:b/>
          <w:iCs/>
          <w:sz w:val="24"/>
          <w:szCs w:val="24"/>
        </w:rPr>
        <w:t>trovare anche la propria metà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dal momento che </w:t>
      </w:r>
      <w:r w:rsidR="00854CC4">
        <w:rPr>
          <w:rFonts w:ascii="Arial" w:hAnsi="Arial" w:cs="Arial"/>
          <w:b/>
          <w:iCs/>
          <w:sz w:val="24"/>
          <w:szCs w:val="24"/>
        </w:rPr>
        <w:t>quasi</w:t>
      </w:r>
      <w:r w:rsidR="00234A1E" w:rsidRPr="00AC3C8A">
        <w:rPr>
          <w:rFonts w:ascii="Arial" w:hAnsi="Arial" w:cs="Arial"/>
          <w:b/>
          <w:iCs/>
          <w:sz w:val="24"/>
          <w:szCs w:val="24"/>
        </w:rPr>
        <w:t xml:space="preserve"> un quarto</w:t>
      </w:r>
      <w:r w:rsidRPr="00AC3C8A">
        <w:rPr>
          <w:rFonts w:ascii="Arial" w:hAnsi="Arial" w:cs="Arial"/>
          <w:b/>
          <w:iCs/>
          <w:sz w:val="24"/>
          <w:szCs w:val="24"/>
        </w:rPr>
        <w:t xml:space="preserve"> dei residenti </w:t>
      </w:r>
      <w:r w:rsidR="00234A1E" w:rsidRPr="00AC3C8A">
        <w:rPr>
          <w:rFonts w:ascii="Arial" w:hAnsi="Arial" w:cs="Arial"/>
          <w:b/>
          <w:iCs/>
          <w:sz w:val="24"/>
          <w:szCs w:val="24"/>
        </w:rPr>
        <w:t>è un cuore solitario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 (rispettivamente 22 e 23%)</w:t>
      </w:r>
      <w:r w:rsidRPr="00AC3C8A">
        <w:rPr>
          <w:rFonts w:ascii="Arial" w:hAnsi="Arial" w:cs="Arial"/>
          <w:bCs/>
          <w:iCs/>
          <w:sz w:val="24"/>
          <w:szCs w:val="24"/>
        </w:rPr>
        <w:t>.</w:t>
      </w:r>
    </w:p>
    <w:p w14:paraId="76A41FE9" w14:textId="323212EC" w:rsidR="001D1208" w:rsidRPr="00AC3C8A" w:rsidRDefault="00997E77" w:rsidP="00AC3C8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C3C8A">
        <w:rPr>
          <w:rFonts w:ascii="Arial" w:hAnsi="Arial" w:cs="Arial"/>
          <w:bCs/>
          <w:iCs/>
          <w:sz w:val="24"/>
          <w:szCs w:val="24"/>
        </w:rPr>
        <w:t xml:space="preserve">Quarta posizione per </w:t>
      </w:r>
      <w:r w:rsidRPr="00AC3C8A">
        <w:rPr>
          <w:rFonts w:ascii="Arial" w:hAnsi="Arial" w:cs="Arial"/>
          <w:b/>
          <w:iCs/>
          <w:sz w:val="24"/>
          <w:szCs w:val="24"/>
        </w:rPr>
        <w:t>Padova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dove se è abbastanza facile trovare un partner (il 22% dei residenti è single)</w:t>
      </w:r>
      <w:r w:rsidR="007039A9" w:rsidRPr="00AC3C8A">
        <w:rPr>
          <w:rFonts w:ascii="Arial" w:hAnsi="Arial" w:cs="Arial"/>
          <w:bCs/>
          <w:iCs/>
          <w:sz w:val="24"/>
          <w:szCs w:val="24"/>
        </w:rPr>
        <w:t>,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non lo è altrettanto trovare un tetto: qui purtroppo meno della metà dei bilocali (46%) risultano alla portata dello stipendio medio del singolo cittadino. Va meglio a </w:t>
      </w:r>
      <w:r w:rsidRPr="00AC3C8A">
        <w:rPr>
          <w:rFonts w:ascii="Arial" w:hAnsi="Arial" w:cs="Arial"/>
          <w:b/>
          <w:iCs/>
          <w:sz w:val="24"/>
          <w:szCs w:val="24"/>
        </w:rPr>
        <w:t>Brescia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che presenta la stessa percentuale di persone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 potenzialmente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alla ricerca dell’amore ma un’accessibilità che sfiora il 60% dell’offerta in città.</w:t>
      </w:r>
    </w:p>
    <w:p w14:paraId="7E4195DC" w14:textId="526FF43C" w:rsidR="005C2EF5" w:rsidRPr="00AC3C8A" w:rsidRDefault="005C2EF5" w:rsidP="00AC3C8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C3C8A">
        <w:rPr>
          <w:rFonts w:ascii="Arial" w:hAnsi="Arial" w:cs="Arial"/>
          <w:bCs/>
          <w:iCs/>
          <w:sz w:val="24"/>
          <w:szCs w:val="24"/>
        </w:rPr>
        <w:t xml:space="preserve">L’Emilia-Romagna raccoglie le prime due posizioni della parte bassa della classifica con le città di </w:t>
      </w:r>
      <w:r w:rsidRPr="00AC3C8A">
        <w:rPr>
          <w:rFonts w:ascii="Arial" w:hAnsi="Arial" w:cs="Arial"/>
          <w:b/>
          <w:iCs/>
          <w:sz w:val="24"/>
          <w:szCs w:val="24"/>
        </w:rPr>
        <w:t>Parma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e </w:t>
      </w:r>
      <w:r w:rsidRPr="00AC3C8A">
        <w:rPr>
          <w:rFonts w:ascii="Arial" w:hAnsi="Arial" w:cs="Arial"/>
          <w:b/>
          <w:iCs/>
          <w:sz w:val="24"/>
          <w:szCs w:val="24"/>
        </w:rPr>
        <w:t>Reggio nell’Emilia</w:t>
      </w:r>
      <w:r w:rsidRPr="00AC3C8A">
        <w:rPr>
          <w:rFonts w:ascii="Arial" w:hAnsi="Arial" w:cs="Arial"/>
          <w:bCs/>
          <w:iCs/>
          <w:sz w:val="24"/>
          <w:szCs w:val="24"/>
        </w:rPr>
        <w:t>. Qui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può </w:t>
      </w:r>
      <w:r w:rsidR="009A0F0C" w:rsidRPr="00AC3C8A">
        <w:rPr>
          <w:rFonts w:ascii="Arial" w:hAnsi="Arial" w:cs="Arial"/>
          <w:bCs/>
          <w:iCs/>
          <w:sz w:val="24"/>
          <w:szCs w:val="24"/>
        </w:rPr>
        <w:t xml:space="preserve">capitare </w:t>
      </w:r>
      <w:r w:rsidRPr="00AC3C8A">
        <w:rPr>
          <w:rFonts w:ascii="Arial" w:hAnsi="Arial" w:cs="Arial"/>
          <w:bCs/>
          <w:iCs/>
          <w:sz w:val="24"/>
          <w:szCs w:val="24"/>
        </w:rPr>
        <w:t>di imbattersi nella persona della propria vita tra quel 20%</w:t>
      </w:r>
      <w:r w:rsidR="007039A9" w:rsidRPr="00AC3C8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non ancora </w:t>
      </w:r>
      <w:r w:rsidR="009A0F0C" w:rsidRPr="00AC3C8A">
        <w:rPr>
          <w:rFonts w:ascii="Arial" w:hAnsi="Arial" w:cs="Arial"/>
          <w:bCs/>
          <w:iCs/>
          <w:sz w:val="24"/>
          <w:szCs w:val="24"/>
        </w:rPr>
        <w:t>accoppiato. E se a Reggio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 Emilia</w:t>
      </w:r>
      <w:r w:rsidR="009A0F0C" w:rsidRPr="00AC3C8A">
        <w:rPr>
          <w:rFonts w:ascii="Arial" w:hAnsi="Arial" w:cs="Arial"/>
          <w:bCs/>
          <w:iCs/>
          <w:sz w:val="24"/>
          <w:szCs w:val="24"/>
        </w:rPr>
        <w:t xml:space="preserve"> un residente può </w:t>
      </w:r>
      <w:r w:rsidR="009A0F0C" w:rsidRPr="00AC3C8A">
        <w:rPr>
          <w:rFonts w:ascii="Arial" w:hAnsi="Arial" w:cs="Arial"/>
          <w:bCs/>
          <w:iCs/>
          <w:sz w:val="24"/>
          <w:szCs w:val="24"/>
        </w:rPr>
        <w:lastRenderedPageBreak/>
        <w:t>permettersi di scegliere tra ben il 65% dell’offerta di bilocali, a Parma è accessibile circa 1 su 2.</w:t>
      </w:r>
    </w:p>
    <w:p w14:paraId="5B2EE5D3" w14:textId="2407C557" w:rsidR="009A0F0C" w:rsidRPr="00AC3C8A" w:rsidRDefault="009A0F0C" w:rsidP="00AC3C8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C3C8A">
        <w:rPr>
          <w:rFonts w:ascii="Arial" w:hAnsi="Arial" w:cs="Arial"/>
          <w:bCs/>
          <w:iCs/>
          <w:sz w:val="24"/>
          <w:szCs w:val="24"/>
        </w:rPr>
        <w:t xml:space="preserve">A </w:t>
      </w:r>
      <w:r w:rsidRPr="00AC3C8A">
        <w:rPr>
          <w:rFonts w:ascii="Arial" w:hAnsi="Arial" w:cs="Arial"/>
          <w:b/>
          <w:iCs/>
          <w:sz w:val="24"/>
          <w:szCs w:val="24"/>
        </w:rPr>
        <w:t>Perugia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quasi l’intero stock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 di bilocali in vendita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(97%) risulta accessibile a chi dovesse scegliere di vivere in città</w:t>
      </w:r>
      <w:r w:rsidR="008703B8" w:rsidRPr="00AC3C8A">
        <w:rPr>
          <w:rFonts w:ascii="Arial" w:hAnsi="Arial" w:cs="Arial"/>
          <w:bCs/>
          <w:iCs/>
          <w:sz w:val="24"/>
          <w:szCs w:val="24"/>
        </w:rPr>
        <w:t>, dove un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 xml:space="preserve">a casa </w:t>
      </w:r>
      <w:r w:rsidR="008703B8" w:rsidRPr="00AC3C8A">
        <w:rPr>
          <w:rFonts w:ascii="Arial" w:hAnsi="Arial" w:cs="Arial"/>
          <w:bCs/>
          <w:iCs/>
          <w:sz w:val="24"/>
          <w:szCs w:val="24"/>
        </w:rPr>
        <w:t xml:space="preserve">costa poco più di 60mila euro. E ci sono buone speranze anche di trovare l’amore dal momento che circa il 18% dei cittadini 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>vive da solo</w:t>
      </w:r>
      <w:r w:rsidR="008703B8" w:rsidRPr="00AC3C8A">
        <w:rPr>
          <w:rFonts w:ascii="Arial" w:hAnsi="Arial" w:cs="Arial"/>
          <w:bCs/>
          <w:iCs/>
          <w:sz w:val="24"/>
          <w:szCs w:val="24"/>
        </w:rPr>
        <w:t>.</w:t>
      </w:r>
    </w:p>
    <w:p w14:paraId="5B2DAD50" w14:textId="4877FC7D" w:rsidR="008703B8" w:rsidRPr="00AC3C8A" w:rsidRDefault="008703B8" w:rsidP="00AC3C8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C3C8A">
        <w:rPr>
          <w:rFonts w:ascii="Arial" w:hAnsi="Arial" w:cs="Arial"/>
          <w:bCs/>
          <w:iCs/>
          <w:sz w:val="24"/>
          <w:szCs w:val="24"/>
        </w:rPr>
        <w:t xml:space="preserve">Chiudono la classifica due città toscane: </w:t>
      </w:r>
      <w:r w:rsidRPr="00AC3C8A">
        <w:rPr>
          <w:rFonts w:ascii="Arial" w:hAnsi="Arial" w:cs="Arial"/>
          <w:b/>
          <w:iCs/>
          <w:sz w:val="24"/>
          <w:szCs w:val="24"/>
        </w:rPr>
        <w:t>Livorno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e </w:t>
      </w:r>
      <w:r w:rsidRPr="00AC3C8A">
        <w:rPr>
          <w:rFonts w:ascii="Arial" w:hAnsi="Arial" w:cs="Arial"/>
          <w:b/>
          <w:iCs/>
          <w:sz w:val="24"/>
          <w:szCs w:val="24"/>
        </w:rPr>
        <w:t>Prato</w:t>
      </w:r>
      <w:r w:rsidRPr="00AC3C8A">
        <w:rPr>
          <w:rFonts w:ascii="Arial" w:hAnsi="Arial" w:cs="Arial"/>
          <w:bCs/>
          <w:iCs/>
          <w:sz w:val="24"/>
          <w:szCs w:val="24"/>
        </w:rPr>
        <w:t>. E se nella città marittima oltre 1 su 6 è alla ricerca dell’anima gemella e 2 bilocali su 3 sono alla porta</w:t>
      </w:r>
      <w:r w:rsidR="00234A1E" w:rsidRPr="00AC3C8A">
        <w:rPr>
          <w:rFonts w:ascii="Arial" w:hAnsi="Arial" w:cs="Arial"/>
          <w:bCs/>
          <w:iCs/>
          <w:sz w:val="24"/>
          <w:szCs w:val="24"/>
        </w:rPr>
        <w:t>ta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delle tasche di un single, la situazione si complica a Prato: poco più di 1 cittadino su 8 è disponibile per iniziare una relazione romantica e solo il 10% delle case in città</w:t>
      </w:r>
      <w:r w:rsidR="007039A9" w:rsidRPr="00AC3C8A">
        <w:rPr>
          <w:rFonts w:ascii="Arial" w:hAnsi="Arial" w:cs="Arial"/>
          <w:bCs/>
          <w:iCs/>
          <w:sz w:val="24"/>
          <w:szCs w:val="24"/>
        </w:rPr>
        <w:t xml:space="preserve"> risulta accessibile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406FA" w:rsidRPr="00AC3C8A">
        <w:rPr>
          <w:rFonts w:ascii="Arial" w:hAnsi="Arial" w:cs="Arial"/>
          <w:bCs/>
          <w:iCs/>
          <w:sz w:val="24"/>
          <w:szCs w:val="24"/>
        </w:rPr>
        <w:t>Qui, infatti,</w:t>
      </w:r>
      <w:r w:rsidRPr="00AC3C8A">
        <w:rPr>
          <w:rFonts w:ascii="Arial" w:hAnsi="Arial" w:cs="Arial"/>
          <w:bCs/>
          <w:iCs/>
          <w:sz w:val="24"/>
          <w:szCs w:val="24"/>
        </w:rPr>
        <w:t xml:space="preserve"> un bilocale costa circa 130mila euro, la seconda cifra più altra della nostra classifica dopo Padova.</w:t>
      </w:r>
    </w:p>
    <w:p w14:paraId="3230D335" w14:textId="4D9A39F3" w:rsidR="00AC24C2" w:rsidRDefault="00AC24C2" w:rsidP="008D5122">
      <w:pPr>
        <w:jc w:val="both"/>
        <w:rPr>
          <w:rFonts w:ascii="Arial" w:hAnsi="Arial" w:cs="Arial"/>
          <w:bCs/>
          <w:iCs/>
        </w:rPr>
      </w:pPr>
      <w:r w:rsidRPr="002E7A3D">
        <w:rPr>
          <w:rFonts w:ascii="Arial" w:hAnsi="Arial" w:cs="Arial"/>
          <w:bCs/>
          <w:iCs/>
        </w:rPr>
        <w:t>*dati Istat 2019</w:t>
      </w:r>
      <w:r w:rsidR="007B7C2B">
        <w:rPr>
          <w:rFonts w:ascii="Arial" w:hAnsi="Arial" w:cs="Arial"/>
          <w:bCs/>
          <w:iCs/>
        </w:rPr>
        <w:t>:</w:t>
      </w:r>
      <w:r w:rsidRPr="002E7A3D">
        <w:rPr>
          <w:rFonts w:ascii="Arial" w:hAnsi="Arial" w:cs="Arial"/>
          <w:bCs/>
          <w:iCs/>
        </w:rPr>
        <w:t xml:space="preserve"> Famiglie per numero di componenti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835"/>
        <w:gridCol w:w="2084"/>
        <w:gridCol w:w="1024"/>
        <w:gridCol w:w="1983"/>
        <w:gridCol w:w="1574"/>
        <w:gridCol w:w="1418"/>
      </w:tblGrid>
      <w:tr w:rsidR="00A279E0" w:rsidRPr="00A279E0" w14:paraId="061BFF5F" w14:textId="77777777" w:rsidTr="00A279E0">
        <w:trPr>
          <w:trHeight w:val="819"/>
        </w:trPr>
        <w:tc>
          <w:tcPr>
            <w:tcW w:w="1835" w:type="dxa"/>
            <w:shd w:val="clear" w:color="auto" w:fill="B4C6E7" w:themeFill="accent1" w:themeFillTint="66"/>
            <w:vAlign w:val="center"/>
            <w:hideMark/>
          </w:tcPr>
          <w:p w14:paraId="101D7A15" w14:textId="30A64E70" w:rsidR="00A279E0" w:rsidRPr="00A279E0" w:rsidRDefault="00A279E0" w:rsidP="00A279E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C</w:t>
            </w: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omune</w:t>
            </w:r>
          </w:p>
        </w:tc>
        <w:tc>
          <w:tcPr>
            <w:tcW w:w="2084" w:type="dxa"/>
            <w:shd w:val="clear" w:color="auto" w:fill="B4C6E7" w:themeFill="accent1" w:themeFillTint="66"/>
            <w:vAlign w:val="center"/>
            <w:hideMark/>
          </w:tcPr>
          <w:p w14:paraId="55E14375" w14:textId="239D1A9D" w:rsidR="00A279E0" w:rsidRPr="00A279E0" w:rsidRDefault="00A279E0" w:rsidP="00A279E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Regione</w:t>
            </w:r>
          </w:p>
        </w:tc>
        <w:tc>
          <w:tcPr>
            <w:tcW w:w="1024" w:type="dxa"/>
            <w:shd w:val="clear" w:color="auto" w:fill="B4C6E7" w:themeFill="accent1" w:themeFillTint="66"/>
            <w:vAlign w:val="center"/>
            <w:hideMark/>
          </w:tcPr>
          <w:p w14:paraId="6862FD06" w14:textId="77777777" w:rsidR="00A279E0" w:rsidRPr="00A279E0" w:rsidRDefault="00A279E0" w:rsidP="00A279E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% single su residenti</w:t>
            </w:r>
          </w:p>
        </w:tc>
        <w:tc>
          <w:tcPr>
            <w:tcW w:w="1983" w:type="dxa"/>
            <w:shd w:val="clear" w:color="auto" w:fill="B4C6E7" w:themeFill="accent1" w:themeFillTint="66"/>
            <w:vAlign w:val="center"/>
          </w:tcPr>
          <w:p w14:paraId="30276AA0" w14:textId="28D6558D" w:rsidR="00A279E0" w:rsidRPr="00A279E0" w:rsidRDefault="00A279E0" w:rsidP="00A279E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T</w:t>
            </w: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asso disoccupazione &lt;9.7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(media nazionale)</w:t>
            </w:r>
          </w:p>
        </w:tc>
        <w:tc>
          <w:tcPr>
            <w:tcW w:w="1574" w:type="dxa"/>
            <w:shd w:val="clear" w:color="auto" w:fill="B4C6E7" w:themeFill="accent1" w:themeFillTint="66"/>
            <w:vAlign w:val="center"/>
            <w:hideMark/>
          </w:tcPr>
          <w:p w14:paraId="4BA5A198" w14:textId="78CF92EC" w:rsidR="00A279E0" w:rsidRPr="00A279E0" w:rsidRDefault="00A279E0" w:rsidP="00A279E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Prezzo</w:t>
            </w: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medio bilocale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2C352015" w14:textId="327966BF" w:rsidR="00A279E0" w:rsidRPr="00A279E0" w:rsidRDefault="00A279E0" w:rsidP="00A279E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A</w:t>
            </w: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ccessibilità bilocali</w:t>
            </w:r>
          </w:p>
        </w:tc>
      </w:tr>
      <w:tr w:rsidR="00A279E0" w:rsidRPr="00A279E0" w14:paraId="1AF5F8C3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7B2098E7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Trieste</w:t>
            </w:r>
          </w:p>
        </w:tc>
        <w:tc>
          <w:tcPr>
            <w:tcW w:w="2084" w:type="dxa"/>
            <w:noWrap/>
            <w:hideMark/>
          </w:tcPr>
          <w:p w14:paraId="2C96DB5E" w14:textId="30A1CD10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Friuli Venezia Giulia</w:t>
            </w:r>
          </w:p>
        </w:tc>
        <w:tc>
          <w:tcPr>
            <w:tcW w:w="1024" w:type="dxa"/>
            <w:noWrap/>
            <w:hideMark/>
          </w:tcPr>
          <w:p w14:paraId="5118FA4A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25%</w:t>
            </w:r>
          </w:p>
        </w:tc>
        <w:tc>
          <w:tcPr>
            <w:tcW w:w="1983" w:type="dxa"/>
          </w:tcPr>
          <w:p w14:paraId="68F9C5DD" w14:textId="4F118419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5.7</w:t>
            </w:r>
          </w:p>
        </w:tc>
        <w:tc>
          <w:tcPr>
            <w:tcW w:w="1574" w:type="dxa"/>
            <w:noWrap/>
            <w:hideMark/>
          </w:tcPr>
          <w:p w14:paraId="24E81687" w14:textId="73323A76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€ 102.698</w:t>
            </w:r>
          </w:p>
        </w:tc>
        <w:tc>
          <w:tcPr>
            <w:tcW w:w="1418" w:type="dxa"/>
            <w:noWrap/>
            <w:hideMark/>
          </w:tcPr>
          <w:p w14:paraId="76B4EEFD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67,4%</w:t>
            </w:r>
          </w:p>
        </w:tc>
      </w:tr>
      <w:tr w:rsidR="00A279E0" w:rsidRPr="00A279E0" w14:paraId="33EB6622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69551758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Genova</w:t>
            </w:r>
          </w:p>
        </w:tc>
        <w:tc>
          <w:tcPr>
            <w:tcW w:w="2084" w:type="dxa"/>
            <w:noWrap/>
            <w:hideMark/>
          </w:tcPr>
          <w:p w14:paraId="006D8841" w14:textId="5D12ADC9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Liguria</w:t>
            </w:r>
          </w:p>
        </w:tc>
        <w:tc>
          <w:tcPr>
            <w:tcW w:w="1024" w:type="dxa"/>
            <w:noWrap/>
            <w:hideMark/>
          </w:tcPr>
          <w:p w14:paraId="31AF270D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23%</w:t>
            </w:r>
          </w:p>
        </w:tc>
        <w:tc>
          <w:tcPr>
            <w:tcW w:w="1983" w:type="dxa"/>
          </w:tcPr>
          <w:p w14:paraId="1D82C6E2" w14:textId="6E0593AA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7.7</w:t>
            </w:r>
          </w:p>
        </w:tc>
        <w:tc>
          <w:tcPr>
            <w:tcW w:w="1574" w:type="dxa"/>
            <w:noWrap/>
            <w:hideMark/>
          </w:tcPr>
          <w:p w14:paraId="09A5C8D2" w14:textId="51289902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€ 78.952</w:t>
            </w:r>
          </w:p>
        </w:tc>
        <w:tc>
          <w:tcPr>
            <w:tcW w:w="1418" w:type="dxa"/>
            <w:noWrap/>
            <w:hideMark/>
          </w:tcPr>
          <w:p w14:paraId="3815D69D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81,1%</w:t>
            </w:r>
          </w:p>
        </w:tc>
      </w:tr>
      <w:tr w:rsidR="00A279E0" w:rsidRPr="00A279E0" w14:paraId="580E7C42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68BA05BC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Torino</w:t>
            </w:r>
          </w:p>
        </w:tc>
        <w:tc>
          <w:tcPr>
            <w:tcW w:w="2084" w:type="dxa"/>
            <w:noWrap/>
            <w:hideMark/>
          </w:tcPr>
          <w:p w14:paraId="437ADFE7" w14:textId="07F30C39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Piemonte</w:t>
            </w: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1024" w:type="dxa"/>
            <w:noWrap/>
            <w:hideMark/>
          </w:tcPr>
          <w:p w14:paraId="17606F03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22%</w:t>
            </w:r>
          </w:p>
        </w:tc>
        <w:tc>
          <w:tcPr>
            <w:tcW w:w="1983" w:type="dxa"/>
          </w:tcPr>
          <w:p w14:paraId="57AB5436" w14:textId="66FEBFC4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8.4</w:t>
            </w:r>
          </w:p>
        </w:tc>
        <w:tc>
          <w:tcPr>
            <w:tcW w:w="1574" w:type="dxa"/>
            <w:noWrap/>
            <w:hideMark/>
          </w:tcPr>
          <w:p w14:paraId="3F996876" w14:textId="3D1487D2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€ 84.352</w:t>
            </w:r>
          </w:p>
        </w:tc>
        <w:tc>
          <w:tcPr>
            <w:tcW w:w="1418" w:type="dxa"/>
            <w:noWrap/>
            <w:hideMark/>
          </w:tcPr>
          <w:p w14:paraId="7B494CBB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80,6%</w:t>
            </w:r>
          </w:p>
        </w:tc>
      </w:tr>
      <w:tr w:rsidR="00A279E0" w:rsidRPr="00A279E0" w14:paraId="67E5FDC9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3EC1D8CD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Padova</w:t>
            </w:r>
          </w:p>
        </w:tc>
        <w:tc>
          <w:tcPr>
            <w:tcW w:w="2084" w:type="dxa"/>
            <w:noWrap/>
            <w:hideMark/>
          </w:tcPr>
          <w:p w14:paraId="2DA70EBC" w14:textId="50D452F5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Veneto</w:t>
            </w:r>
          </w:p>
        </w:tc>
        <w:tc>
          <w:tcPr>
            <w:tcW w:w="1024" w:type="dxa"/>
            <w:noWrap/>
            <w:hideMark/>
          </w:tcPr>
          <w:p w14:paraId="3D056B20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22%</w:t>
            </w:r>
          </w:p>
        </w:tc>
        <w:tc>
          <w:tcPr>
            <w:tcW w:w="1983" w:type="dxa"/>
          </w:tcPr>
          <w:p w14:paraId="0D05CFCC" w14:textId="560FA854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5.6</w:t>
            </w:r>
          </w:p>
        </w:tc>
        <w:tc>
          <w:tcPr>
            <w:tcW w:w="1574" w:type="dxa"/>
            <w:noWrap/>
            <w:hideMark/>
          </w:tcPr>
          <w:p w14:paraId="4E84AC8C" w14:textId="62CA7C0C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€ 136.082</w:t>
            </w:r>
          </w:p>
        </w:tc>
        <w:tc>
          <w:tcPr>
            <w:tcW w:w="1418" w:type="dxa"/>
            <w:noWrap/>
            <w:hideMark/>
          </w:tcPr>
          <w:p w14:paraId="52DC532C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45,8%</w:t>
            </w:r>
          </w:p>
        </w:tc>
      </w:tr>
      <w:tr w:rsidR="00A279E0" w:rsidRPr="00A279E0" w14:paraId="5D5C1F49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7D45F915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Brescia</w:t>
            </w:r>
          </w:p>
        </w:tc>
        <w:tc>
          <w:tcPr>
            <w:tcW w:w="2084" w:type="dxa"/>
            <w:noWrap/>
            <w:hideMark/>
          </w:tcPr>
          <w:p w14:paraId="00719E82" w14:textId="7C7F5FEF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Lombardia</w:t>
            </w:r>
          </w:p>
        </w:tc>
        <w:tc>
          <w:tcPr>
            <w:tcW w:w="1024" w:type="dxa"/>
            <w:noWrap/>
            <w:hideMark/>
          </w:tcPr>
          <w:p w14:paraId="54860F32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21%</w:t>
            </w:r>
          </w:p>
        </w:tc>
        <w:tc>
          <w:tcPr>
            <w:tcW w:w="1983" w:type="dxa"/>
          </w:tcPr>
          <w:p w14:paraId="5D8F80BA" w14:textId="31B98E76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5.0</w:t>
            </w:r>
          </w:p>
        </w:tc>
        <w:tc>
          <w:tcPr>
            <w:tcW w:w="1574" w:type="dxa"/>
            <w:noWrap/>
            <w:hideMark/>
          </w:tcPr>
          <w:p w14:paraId="00CF74C5" w14:textId="33018D1E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€ 107.774</w:t>
            </w:r>
          </w:p>
        </w:tc>
        <w:tc>
          <w:tcPr>
            <w:tcW w:w="1418" w:type="dxa"/>
            <w:noWrap/>
            <w:hideMark/>
          </w:tcPr>
          <w:p w14:paraId="31BF4AB0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57,1%</w:t>
            </w:r>
          </w:p>
        </w:tc>
      </w:tr>
      <w:tr w:rsidR="00A279E0" w:rsidRPr="00A279E0" w14:paraId="40BE70D7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32291288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Parma</w:t>
            </w:r>
          </w:p>
        </w:tc>
        <w:tc>
          <w:tcPr>
            <w:tcW w:w="2084" w:type="dxa"/>
            <w:noWrap/>
            <w:hideMark/>
          </w:tcPr>
          <w:p w14:paraId="6CB8AB2B" w14:textId="5ABA90B3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Emilia</w:t>
            </w:r>
            <w:r>
              <w:rPr>
                <w:rFonts w:eastAsia="Times New Roman" w:cs="Calibri"/>
                <w:color w:val="000000"/>
                <w:kern w:val="0"/>
                <w:lang w:eastAsia="it-IT"/>
              </w:rPr>
              <w:t xml:space="preserve"> Romagna</w:t>
            </w:r>
          </w:p>
        </w:tc>
        <w:tc>
          <w:tcPr>
            <w:tcW w:w="1024" w:type="dxa"/>
            <w:noWrap/>
            <w:hideMark/>
          </w:tcPr>
          <w:p w14:paraId="5B180702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20%</w:t>
            </w:r>
          </w:p>
        </w:tc>
        <w:tc>
          <w:tcPr>
            <w:tcW w:w="1983" w:type="dxa"/>
          </w:tcPr>
          <w:p w14:paraId="6EB99E16" w14:textId="369B0695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5.8</w:t>
            </w:r>
          </w:p>
        </w:tc>
        <w:tc>
          <w:tcPr>
            <w:tcW w:w="1574" w:type="dxa"/>
            <w:noWrap/>
            <w:hideMark/>
          </w:tcPr>
          <w:p w14:paraId="60AC814B" w14:textId="654A4EB0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€ 124.374</w:t>
            </w:r>
          </w:p>
        </w:tc>
        <w:tc>
          <w:tcPr>
            <w:tcW w:w="1418" w:type="dxa"/>
            <w:noWrap/>
            <w:hideMark/>
          </w:tcPr>
          <w:p w14:paraId="54E8F462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51,0%</w:t>
            </w:r>
          </w:p>
        </w:tc>
      </w:tr>
      <w:tr w:rsidR="00A279E0" w:rsidRPr="00A279E0" w14:paraId="0FE0586E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64FBCC22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Reggio nell'Emilia</w:t>
            </w:r>
          </w:p>
        </w:tc>
        <w:tc>
          <w:tcPr>
            <w:tcW w:w="2084" w:type="dxa"/>
            <w:noWrap/>
            <w:hideMark/>
          </w:tcPr>
          <w:p w14:paraId="2AD32100" w14:textId="145EA029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Emilia</w:t>
            </w:r>
            <w:r>
              <w:rPr>
                <w:rFonts w:eastAsia="Times New Roman" w:cs="Calibri"/>
                <w:color w:val="000000"/>
                <w:kern w:val="0"/>
                <w:lang w:eastAsia="it-IT"/>
              </w:rPr>
              <w:t xml:space="preserve"> Romagna</w:t>
            </w:r>
          </w:p>
        </w:tc>
        <w:tc>
          <w:tcPr>
            <w:tcW w:w="1024" w:type="dxa"/>
            <w:noWrap/>
            <w:hideMark/>
          </w:tcPr>
          <w:p w14:paraId="49986D74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19%</w:t>
            </w:r>
          </w:p>
        </w:tc>
        <w:tc>
          <w:tcPr>
            <w:tcW w:w="1983" w:type="dxa"/>
          </w:tcPr>
          <w:p w14:paraId="33AE5C50" w14:textId="74584111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5.3</w:t>
            </w:r>
          </w:p>
        </w:tc>
        <w:tc>
          <w:tcPr>
            <w:tcW w:w="1574" w:type="dxa"/>
            <w:noWrap/>
            <w:hideMark/>
          </w:tcPr>
          <w:p w14:paraId="157B39D8" w14:textId="61F29E43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€ 104.543</w:t>
            </w:r>
          </w:p>
        </w:tc>
        <w:tc>
          <w:tcPr>
            <w:tcW w:w="1418" w:type="dxa"/>
            <w:noWrap/>
            <w:hideMark/>
          </w:tcPr>
          <w:p w14:paraId="3366BEDA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65,8%</w:t>
            </w:r>
          </w:p>
        </w:tc>
      </w:tr>
      <w:tr w:rsidR="00A279E0" w:rsidRPr="00A279E0" w14:paraId="66C1217E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2CAD3C6B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Perugia</w:t>
            </w:r>
          </w:p>
        </w:tc>
        <w:tc>
          <w:tcPr>
            <w:tcW w:w="2084" w:type="dxa"/>
            <w:noWrap/>
            <w:hideMark/>
          </w:tcPr>
          <w:p w14:paraId="0CF3A127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Umbria</w:t>
            </w:r>
          </w:p>
        </w:tc>
        <w:tc>
          <w:tcPr>
            <w:tcW w:w="1024" w:type="dxa"/>
            <w:noWrap/>
            <w:hideMark/>
          </w:tcPr>
          <w:p w14:paraId="2A7B2075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18%</w:t>
            </w:r>
          </w:p>
        </w:tc>
        <w:tc>
          <w:tcPr>
            <w:tcW w:w="1983" w:type="dxa"/>
          </w:tcPr>
          <w:p w14:paraId="1352DA89" w14:textId="78C51931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6.6</w:t>
            </w:r>
          </w:p>
        </w:tc>
        <w:tc>
          <w:tcPr>
            <w:tcW w:w="1574" w:type="dxa"/>
            <w:noWrap/>
            <w:hideMark/>
          </w:tcPr>
          <w:p w14:paraId="14A90D6F" w14:textId="43183916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€ 62.809</w:t>
            </w:r>
          </w:p>
        </w:tc>
        <w:tc>
          <w:tcPr>
            <w:tcW w:w="1418" w:type="dxa"/>
            <w:noWrap/>
            <w:hideMark/>
          </w:tcPr>
          <w:p w14:paraId="34751C10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96,9%</w:t>
            </w:r>
          </w:p>
        </w:tc>
      </w:tr>
      <w:tr w:rsidR="00A279E0" w:rsidRPr="00A279E0" w14:paraId="5FF4318E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1A2EC760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Livorno</w:t>
            </w:r>
          </w:p>
        </w:tc>
        <w:tc>
          <w:tcPr>
            <w:tcW w:w="2084" w:type="dxa"/>
            <w:noWrap/>
            <w:hideMark/>
          </w:tcPr>
          <w:p w14:paraId="0FA3773C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1024" w:type="dxa"/>
            <w:noWrap/>
            <w:hideMark/>
          </w:tcPr>
          <w:p w14:paraId="00A5ED92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16%</w:t>
            </w:r>
          </w:p>
        </w:tc>
        <w:tc>
          <w:tcPr>
            <w:tcW w:w="1983" w:type="dxa"/>
          </w:tcPr>
          <w:p w14:paraId="6242F78C" w14:textId="3C645BEC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5.5</w:t>
            </w:r>
          </w:p>
        </w:tc>
        <w:tc>
          <w:tcPr>
            <w:tcW w:w="1574" w:type="dxa"/>
            <w:noWrap/>
            <w:hideMark/>
          </w:tcPr>
          <w:p w14:paraId="6CEB7E01" w14:textId="6C966F91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€ 94.764</w:t>
            </w:r>
          </w:p>
        </w:tc>
        <w:tc>
          <w:tcPr>
            <w:tcW w:w="1418" w:type="dxa"/>
            <w:noWrap/>
            <w:hideMark/>
          </w:tcPr>
          <w:p w14:paraId="214DE2AD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66,6%</w:t>
            </w:r>
          </w:p>
        </w:tc>
      </w:tr>
      <w:tr w:rsidR="00A279E0" w:rsidRPr="00A279E0" w14:paraId="02B5E13D" w14:textId="77777777" w:rsidTr="00A279E0">
        <w:trPr>
          <w:trHeight w:val="300"/>
        </w:trPr>
        <w:tc>
          <w:tcPr>
            <w:tcW w:w="1835" w:type="dxa"/>
            <w:noWrap/>
            <w:hideMark/>
          </w:tcPr>
          <w:p w14:paraId="7B224687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Prato</w:t>
            </w:r>
          </w:p>
        </w:tc>
        <w:tc>
          <w:tcPr>
            <w:tcW w:w="2084" w:type="dxa"/>
            <w:noWrap/>
            <w:hideMark/>
          </w:tcPr>
          <w:p w14:paraId="6CF8B4A2" w14:textId="77777777" w:rsidR="00A279E0" w:rsidRPr="00A279E0" w:rsidRDefault="00A279E0" w:rsidP="00A279E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1024" w:type="dxa"/>
            <w:noWrap/>
            <w:hideMark/>
          </w:tcPr>
          <w:p w14:paraId="11C7AA6A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12%</w:t>
            </w:r>
          </w:p>
        </w:tc>
        <w:tc>
          <w:tcPr>
            <w:tcW w:w="1983" w:type="dxa"/>
          </w:tcPr>
          <w:p w14:paraId="5FA42BFC" w14:textId="71272E98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7.2</w:t>
            </w:r>
          </w:p>
        </w:tc>
        <w:tc>
          <w:tcPr>
            <w:tcW w:w="1574" w:type="dxa"/>
            <w:noWrap/>
            <w:hideMark/>
          </w:tcPr>
          <w:p w14:paraId="6A57896B" w14:textId="3E1FA906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€ 130.593</w:t>
            </w:r>
          </w:p>
        </w:tc>
        <w:tc>
          <w:tcPr>
            <w:tcW w:w="1418" w:type="dxa"/>
            <w:noWrap/>
            <w:hideMark/>
          </w:tcPr>
          <w:p w14:paraId="3B3FC4EF" w14:textId="77777777" w:rsidR="00A279E0" w:rsidRPr="00A279E0" w:rsidRDefault="00A279E0" w:rsidP="00A279E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279E0">
              <w:rPr>
                <w:rFonts w:eastAsia="Times New Roman" w:cs="Calibri"/>
                <w:color w:val="000000"/>
                <w:kern w:val="0"/>
                <w:lang w:eastAsia="it-IT"/>
              </w:rPr>
              <w:t>10,0%</w:t>
            </w:r>
          </w:p>
        </w:tc>
      </w:tr>
    </w:tbl>
    <w:p w14:paraId="30ADF106" w14:textId="77777777" w:rsidR="00A279E0" w:rsidRPr="002E7A3D" w:rsidRDefault="00A279E0" w:rsidP="008D5122">
      <w:pPr>
        <w:jc w:val="both"/>
        <w:rPr>
          <w:rFonts w:ascii="Arial" w:hAnsi="Arial" w:cs="Arial"/>
          <w:bCs/>
          <w:iCs/>
        </w:rPr>
      </w:pPr>
    </w:p>
    <w:p w14:paraId="21651008" w14:textId="77777777" w:rsidR="004E728E" w:rsidRPr="002E7A3D" w:rsidRDefault="004E728E" w:rsidP="00D666C4">
      <w:pPr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</w:p>
    <w:p w14:paraId="2A27C44B" w14:textId="3F14F0C2" w:rsidR="00D666C4" w:rsidRPr="002E7A3D" w:rsidRDefault="00D666C4" w:rsidP="00D666C4">
      <w:pPr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 w:rsidRPr="002E7A3D">
        <w:rPr>
          <w:rFonts w:ascii="Arial" w:hAnsi="Arial" w:cs="Arial"/>
          <w:b/>
          <w:bCs/>
          <w:i/>
          <w:iCs/>
        </w:rPr>
        <w:t>Per ulteriori informazioni:</w:t>
      </w:r>
    </w:p>
    <w:p w14:paraId="0941E012" w14:textId="52A2362F" w:rsidR="00D666C4" w:rsidRPr="002E7A3D" w:rsidRDefault="00D666C4" w:rsidP="00D666C4">
      <w:pPr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2E7A3D">
        <w:rPr>
          <w:rFonts w:ascii="Arial" w:hAnsi="Arial" w:cs="Arial"/>
          <w:b/>
          <w:bCs/>
          <w:iCs/>
        </w:rPr>
        <w:t>Ufficio Stampa Immobiliare.it</w:t>
      </w:r>
    </w:p>
    <w:p w14:paraId="3F3DCDCF" w14:textId="142595DA" w:rsidR="00D666C4" w:rsidRPr="002E7A3D" w:rsidRDefault="00D666C4" w:rsidP="00D666C4">
      <w:pPr>
        <w:spacing w:after="0" w:line="0" w:lineRule="atLeast"/>
        <w:ind w:right="-2198"/>
        <w:rPr>
          <w:rFonts w:ascii="Arial" w:hAnsi="Arial" w:cs="Arial"/>
          <w:bCs/>
          <w:iCs/>
        </w:rPr>
      </w:pPr>
      <w:r w:rsidRPr="002E7A3D">
        <w:rPr>
          <w:rFonts w:ascii="Arial" w:hAnsi="Arial" w:cs="Arial"/>
          <w:bCs/>
          <w:iCs/>
        </w:rPr>
        <w:t>Federica Tordi, Camilla Tomadini</w:t>
      </w:r>
      <w:r w:rsidR="0059026C" w:rsidRPr="002E7A3D">
        <w:rPr>
          <w:rFonts w:ascii="Arial" w:hAnsi="Arial" w:cs="Arial"/>
          <w:bCs/>
          <w:iCs/>
        </w:rPr>
        <w:t>, Federico Costa Zaccarelli</w:t>
      </w:r>
      <w:r w:rsidRPr="002E7A3D">
        <w:rPr>
          <w:rFonts w:ascii="Arial" w:hAnsi="Arial" w:cs="Arial"/>
          <w:bCs/>
          <w:iCs/>
        </w:rPr>
        <w:br/>
        <w:t>392.1176397; 320.6429259</w:t>
      </w:r>
    </w:p>
    <w:p w14:paraId="5A7467E5" w14:textId="3EB74189" w:rsidR="002B4BB7" w:rsidRPr="002E7A3D" w:rsidRDefault="00854CC4">
      <w:pPr>
        <w:rPr>
          <w:rFonts w:ascii="Arial" w:hAnsi="Arial" w:cs="Arial"/>
        </w:rPr>
      </w:pPr>
      <w:hyperlink r:id="rId8" w:history="1">
        <w:r w:rsidR="00D666C4" w:rsidRPr="002E7A3D">
          <w:rPr>
            <w:rStyle w:val="Collegamentoipertestuale"/>
            <w:rFonts w:ascii="Arial" w:hAnsi="Arial" w:cs="Arial"/>
          </w:rPr>
          <w:t>ufficiostampa@immobiliare.it</w:t>
        </w:r>
      </w:hyperlink>
      <w:r w:rsidR="00D666C4" w:rsidRPr="002E7A3D">
        <w:rPr>
          <w:rFonts w:ascii="Arial" w:hAnsi="Arial" w:cs="Arial"/>
        </w:rPr>
        <w:t xml:space="preserve"> </w:t>
      </w:r>
    </w:p>
    <w:p w14:paraId="1759F937" w14:textId="71BA81A7" w:rsidR="00B62197" w:rsidRDefault="00B62197">
      <w:pPr>
        <w:rPr>
          <w:sz w:val="24"/>
          <w:szCs w:val="24"/>
        </w:rPr>
      </w:pPr>
    </w:p>
    <w:p w14:paraId="1B0CD93C" w14:textId="1879C8D4" w:rsidR="00B62197" w:rsidRDefault="00B62197">
      <w:pPr>
        <w:rPr>
          <w:bCs/>
          <w:iCs/>
          <w:sz w:val="24"/>
          <w:szCs w:val="24"/>
        </w:rPr>
      </w:pPr>
    </w:p>
    <w:p w14:paraId="131A25F7" w14:textId="6D2F2A01" w:rsidR="00AD14AE" w:rsidRDefault="00AD14AE">
      <w:pPr>
        <w:rPr>
          <w:bCs/>
          <w:iCs/>
          <w:sz w:val="24"/>
          <w:szCs w:val="24"/>
        </w:rPr>
      </w:pPr>
    </w:p>
    <w:p w14:paraId="5FC7BDB1" w14:textId="572DD635" w:rsidR="00AD14AE" w:rsidRPr="00AD14AE" w:rsidRDefault="00AD14AE">
      <w:pPr>
        <w:rPr>
          <w:bCs/>
          <w:i/>
          <w:sz w:val="20"/>
          <w:szCs w:val="20"/>
        </w:rPr>
      </w:pPr>
    </w:p>
    <w:sectPr w:rsidR="00AD14AE" w:rsidRPr="00AD14A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1095" w14:textId="77777777" w:rsidR="00D666C4" w:rsidRDefault="00D666C4" w:rsidP="00D666C4">
      <w:pPr>
        <w:spacing w:after="0" w:line="240" w:lineRule="auto"/>
      </w:pPr>
      <w:r>
        <w:separator/>
      </w:r>
    </w:p>
  </w:endnote>
  <w:endnote w:type="continuationSeparator" w:id="0">
    <w:p w14:paraId="40E9B196" w14:textId="77777777" w:rsidR="00D666C4" w:rsidRDefault="00D666C4" w:rsidP="00D6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7E01" w14:textId="77777777" w:rsidR="00D666C4" w:rsidRDefault="00D666C4" w:rsidP="00D666C4">
      <w:pPr>
        <w:spacing w:after="0" w:line="240" w:lineRule="auto"/>
      </w:pPr>
      <w:r>
        <w:separator/>
      </w:r>
    </w:p>
  </w:footnote>
  <w:footnote w:type="continuationSeparator" w:id="0">
    <w:p w14:paraId="122B13A7" w14:textId="77777777" w:rsidR="00D666C4" w:rsidRDefault="00D666C4" w:rsidP="00D6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4F0D" w14:textId="3DBA86B7" w:rsidR="00D666C4" w:rsidRDefault="00D666C4">
    <w:pPr>
      <w:pStyle w:val="Intestazione"/>
    </w:pPr>
    <w:r>
      <w:rPr>
        <w:rFonts w:ascii="Times New Roman" w:hAnsi="Times New Roman" w:cs="Times New Roman"/>
        <w:noProof/>
      </w:rPr>
      <w:drawing>
        <wp:inline distT="0" distB="0" distL="0" distR="0" wp14:anchorId="13BB3D80" wp14:editId="2EFC2798">
          <wp:extent cx="26860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EF884" w14:textId="77777777" w:rsidR="00B7171A" w:rsidRDefault="00B717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B438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40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B7"/>
    <w:rsid w:val="00042461"/>
    <w:rsid w:val="00045335"/>
    <w:rsid w:val="00047E1B"/>
    <w:rsid w:val="00072501"/>
    <w:rsid w:val="000C0E6F"/>
    <w:rsid w:val="000C6EE4"/>
    <w:rsid w:val="000D6991"/>
    <w:rsid w:val="000F205D"/>
    <w:rsid w:val="00103F3C"/>
    <w:rsid w:val="00152611"/>
    <w:rsid w:val="0016107C"/>
    <w:rsid w:val="00166C68"/>
    <w:rsid w:val="00180273"/>
    <w:rsid w:val="001914C0"/>
    <w:rsid w:val="001A2BAB"/>
    <w:rsid w:val="001A51C5"/>
    <w:rsid w:val="001A7107"/>
    <w:rsid w:val="001B296D"/>
    <w:rsid w:val="001C04F8"/>
    <w:rsid w:val="001D1208"/>
    <w:rsid w:val="001F46B2"/>
    <w:rsid w:val="00212463"/>
    <w:rsid w:val="002342CA"/>
    <w:rsid w:val="00234A1E"/>
    <w:rsid w:val="00237C12"/>
    <w:rsid w:val="0027686B"/>
    <w:rsid w:val="002A2EA5"/>
    <w:rsid w:val="002B02DF"/>
    <w:rsid w:val="002B2CD1"/>
    <w:rsid w:val="002B3A62"/>
    <w:rsid w:val="002B4BB7"/>
    <w:rsid w:val="002D4BF7"/>
    <w:rsid w:val="002E7A3D"/>
    <w:rsid w:val="00310B3A"/>
    <w:rsid w:val="003221D9"/>
    <w:rsid w:val="0034279D"/>
    <w:rsid w:val="00350FA1"/>
    <w:rsid w:val="00351FEC"/>
    <w:rsid w:val="0035587F"/>
    <w:rsid w:val="00362721"/>
    <w:rsid w:val="003960B4"/>
    <w:rsid w:val="003F1C96"/>
    <w:rsid w:val="00405AC8"/>
    <w:rsid w:val="0046433A"/>
    <w:rsid w:val="00472AA2"/>
    <w:rsid w:val="004B7CAF"/>
    <w:rsid w:val="004E728E"/>
    <w:rsid w:val="0059026C"/>
    <w:rsid w:val="005C2EF5"/>
    <w:rsid w:val="0068138B"/>
    <w:rsid w:val="006A0A4B"/>
    <w:rsid w:val="006E6C8C"/>
    <w:rsid w:val="007039A9"/>
    <w:rsid w:val="00764452"/>
    <w:rsid w:val="007A38FA"/>
    <w:rsid w:val="007B3730"/>
    <w:rsid w:val="007B7C2B"/>
    <w:rsid w:val="008057CD"/>
    <w:rsid w:val="00850451"/>
    <w:rsid w:val="00854CC4"/>
    <w:rsid w:val="00855541"/>
    <w:rsid w:val="00862D9F"/>
    <w:rsid w:val="008703B8"/>
    <w:rsid w:val="008D5122"/>
    <w:rsid w:val="008F6763"/>
    <w:rsid w:val="00910C85"/>
    <w:rsid w:val="0093768B"/>
    <w:rsid w:val="009406FA"/>
    <w:rsid w:val="00952348"/>
    <w:rsid w:val="00997E77"/>
    <w:rsid w:val="009A04D9"/>
    <w:rsid w:val="009A0F0C"/>
    <w:rsid w:val="009B77D7"/>
    <w:rsid w:val="00A0401F"/>
    <w:rsid w:val="00A279E0"/>
    <w:rsid w:val="00A34D38"/>
    <w:rsid w:val="00A511D4"/>
    <w:rsid w:val="00AA70C9"/>
    <w:rsid w:val="00AB7941"/>
    <w:rsid w:val="00AC20AE"/>
    <w:rsid w:val="00AC24C2"/>
    <w:rsid w:val="00AC3C8A"/>
    <w:rsid w:val="00AD14AE"/>
    <w:rsid w:val="00B16B27"/>
    <w:rsid w:val="00B34483"/>
    <w:rsid w:val="00B467FD"/>
    <w:rsid w:val="00B62197"/>
    <w:rsid w:val="00B7171A"/>
    <w:rsid w:val="00BC7844"/>
    <w:rsid w:val="00C10D76"/>
    <w:rsid w:val="00C2482B"/>
    <w:rsid w:val="00C65AC3"/>
    <w:rsid w:val="00C709CD"/>
    <w:rsid w:val="00C861A6"/>
    <w:rsid w:val="00C969B4"/>
    <w:rsid w:val="00CC04E6"/>
    <w:rsid w:val="00CE03E5"/>
    <w:rsid w:val="00D666C4"/>
    <w:rsid w:val="00D8378F"/>
    <w:rsid w:val="00E85F17"/>
    <w:rsid w:val="00EA4F0F"/>
    <w:rsid w:val="00F1599C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2EA3"/>
  <w15:chartTrackingRefBased/>
  <w15:docId w15:val="{1873BA5C-6186-4802-9718-2AC2FB0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6C4"/>
    <w:pPr>
      <w:suppressAutoHyphens/>
      <w:spacing w:after="200" w:line="276" w:lineRule="auto"/>
    </w:pPr>
    <w:rPr>
      <w:rFonts w:ascii="Calibri" w:eastAsia="Lucida Sans Unicode" w:hAnsi="Calibri" w:cs="font209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6C4"/>
    <w:rPr>
      <w:rFonts w:ascii="Calibri" w:eastAsia="Lucida Sans Unicode" w:hAnsi="Calibri" w:cs="font209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6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6C4"/>
    <w:rPr>
      <w:rFonts w:ascii="Calibri" w:eastAsia="Lucida Sans Unicode" w:hAnsi="Calibri" w:cs="font209"/>
      <w:kern w:val="1"/>
      <w:lang w:eastAsia="ar-SA"/>
    </w:rPr>
  </w:style>
  <w:style w:type="character" w:styleId="Collegamentoipertestuale">
    <w:name w:val="Hyperlink"/>
    <w:semiHidden/>
    <w:rsid w:val="00D666C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5F1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F1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040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40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401F"/>
    <w:rPr>
      <w:rFonts w:ascii="Calibri" w:eastAsia="Lucida Sans Unicode" w:hAnsi="Calibri" w:cs="font209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40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01F"/>
    <w:rPr>
      <w:rFonts w:ascii="Calibri" w:eastAsia="Lucida Sans Unicode" w:hAnsi="Calibri" w:cs="font209"/>
      <w:b/>
      <w:bCs/>
      <w:kern w:val="1"/>
      <w:sz w:val="20"/>
      <w:szCs w:val="20"/>
      <w:lang w:eastAsia="ar-SA"/>
    </w:rPr>
  </w:style>
  <w:style w:type="paragraph" w:styleId="Puntoelenco">
    <w:name w:val="List Bullet"/>
    <w:basedOn w:val="Normale"/>
    <w:uiPriority w:val="99"/>
    <w:semiHidden/>
    <w:unhideWhenUsed/>
    <w:rsid w:val="003960B4"/>
    <w:pPr>
      <w:numPr>
        <w:numId w:val="1"/>
      </w:numPr>
      <w:suppressAutoHyphens w:val="0"/>
      <w:contextualSpacing/>
    </w:pPr>
    <w:rPr>
      <w:rFonts w:eastAsia="Calibri" w:cs="Times New Roman"/>
      <w:kern w:val="0"/>
      <w:lang w:eastAsia="en-US"/>
    </w:rPr>
  </w:style>
  <w:style w:type="table" w:styleId="Grigliatabella">
    <w:name w:val="Table Grid"/>
    <w:basedOn w:val="Tabellanormale"/>
    <w:uiPriority w:val="39"/>
    <w:rsid w:val="00A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obilia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66</cp:revision>
  <dcterms:created xsi:type="dcterms:W3CDTF">2023-01-03T15:53:00Z</dcterms:created>
  <dcterms:modified xsi:type="dcterms:W3CDTF">2023-02-09T08:37:00Z</dcterms:modified>
</cp:coreProperties>
</file>