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1BB" w14:textId="03384BDD" w:rsidR="002F334C" w:rsidRPr="005A1A55" w:rsidRDefault="002F334C" w:rsidP="00AE43C5">
      <w:pPr>
        <w:jc w:val="center"/>
        <w:rPr>
          <w:rFonts w:ascii="Arial" w:hAnsi="Arial" w:cs="Arial"/>
          <w:b/>
          <w:bCs/>
        </w:rPr>
      </w:pPr>
      <w:r w:rsidRPr="005A1A55">
        <w:rPr>
          <w:rFonts w:ascii="Arial" w:hAnsi="Arial" w:cs="Arial"/>
          <w:b/>
          <w:bCs/>
        </w:rPr>
        <w:t>Il sondaggio di Immobiliare.it sull’efficienza energetica</w:t>
      </w:r>
    </w:p>
    <w:p w14:paraId="6D12F51E" w14:textId="56E7C279" w:rsidR="007B43AE" w:rsidRPr="00AA71F7" w:rsidRDefault="009861FA" w:rsidP="007B43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 gli italiani alla ricerca di casa </w:t>
      </w:r>
      <w:r w:rsidR="007B43AE" w:rsidRPr="00AA71F7">
        <w:rPr>
          <w:rFonts w:ascii="Arial" w:hAnsi="Arial" w:cs="Arial"/>
          <w:b/>
          <w:bCs/>
          <w:sz w:val="28"/>
          <w:szCs w:val="28"/>
        </w:rPr>
        <w:t xml:space="preserve">l’efficienza energetica è </w:t>
      </w:r>
      <w:r w:rsidR="00AA71F7" w:rsidRPr="00AA71F7">
        <w:rPr>
          <w:rFonts w:ascii="Arial" w:hAnsi="Arial" w:cs="Arial"/>
          <w:b/>
          <w:bCs/>
          <w:sz w:val="28"/>
          <w:szCs w:val="28"/>
        </w:rPr>
        <w:t>fondamentale</w:t>
      </w:r>
      <w:r w:rsidR="00AA71F7">
        <w:rPr>
          <w:rFonts w:ascii="Arial" w:hAnsi="Arial" w:cs="Arial"/>
          <w:b/>
          <w:bCs/>
          <w:sz w:val="28"/>
          <w:szCs w:val="28"/>
        </w:rPr>
        <w:t>,</w:t>
      </w:r>
      <w:r w:rsidR="00AA71F7" w:rsidRPr="00AA71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 più della metà non conosce</w:t>
      </w:r>
      <w:r w:rsidR="00592262" w:rsidRPr="00AA71F7">
        <w:rPr>
          <w:rFonts w:ascii="Arial" w:hAnsi="Arial" w:cs="Arial"/>
          <w:b/>
          <w:bCs/>
          <w:sz w:val="28"/>
          <w:szCs w:val="28"/>
        </w:rPr>
        <w:t xml:space="preserve"> la classe </w:t>
      </w:r>
      <w:r w:rsidR="0025302E">
        <w:rPr>
          <w:rFonts w:ascii="Arial" w:hAnsi="Arial" w:cs="Arial"/>
          <w:b/>
          <w:bCs/>
          <w:sz w:val="28"/>
          <w:szCs w:val="28"/>
        </w:rPr>
        <w:t>del suo immobile</w:t>
      </w:r>
    </w:p>
    <w:p w14:paraId="777E68C3" w14:textId="70969FF1" w:rsidR="00C77FFE" w:rsidRPr="00AA71F7" w:rsidRDefault="004C2063" w:rsidP="00C77FFE">
      <w:pPr>
        <w:jc w:val="center"/>
        <w:rPr>
          <w:rFonts w:ascii="Arial" w:hAnsi="Arial" w:cs="Arial"/>
          <w:b/>
          <w:bCs/>
          <w:i/>
          <w:iCs/>
        </w:rPr>
      </w:pPr>
      <w:r w:rsidRPr="00AA71F7">
        <w:rPr>
          <w:rFonts w:ascii="Arial" w:hAnsi="Arial" w:cs="Arial"/>
          <w:b/>
          <w:bCs/>
          <w:sz w:val="28"/>
          <w:szCs w:val="28"/>
        </w:rPr>
        <w:t xml:space="preserve"> </w:t>
      </w:r>
      <w:r w:rsidR="007B43AE" w:rsidRPr="00AA71F7">
        <w:rPr>
          <w:rFonts w:ascii="Arial" w:hAnsi="Arial" w:cs="Arial"/>
          <w:b/>
          <w:bCs/>
          <w:i/>
          <w:iCs/>
        </w:rPr>
        <w:t>Dal 2012 l’indicazione della classe</w:t>
      </w:r>
      <w:r w:rsidR="00E947D7">
        <w:rPr>
          <w:rFonts w:ascii="Arial" w:hAnsi="Arial" w:cs="Arial"/>
          <w:b/>
          <w:bCs/>
          <w:i/>
          <w:iCs/>
        </w:rPr>
        <w:t xml:space="preserve"> energetica</w:t>
      </w:r>
      <w:r w:rsidR="007B43AE" w:rsidRPr="00AA71F7">
        <w:rPr>
          <w:rFonts w:ascii="Arial" w:hAnsi="Arial" w:cs="Arial"/>
          <w:b/>
          <w:bCs/>
          <w:i/>
          <w:iCs/>
        </w:rPr>
        <w:t xml:space="preserve"> </w:t>
      </w:r>
      <w:r w:rsidR="009861FA">
        <w:rPr>
          <w:rFonts w:ascii="Arial" w:hAnsi="Arial" w:cs="Arial"/>
          <w:b/>
          <w:bCs/>
          <w:i/>
          <w:iCs/>
        </w:rPr>
        <w:t>è obbligatoria</w:t>
      </w:r>
      <w:r w:rsidR="007B43AE" w:rsidRPr="00AA71F7">
        <w:rPr>
          <w:rFonts w:ascii="Arial" w:hAnsi="Arial" w:cs="Arial"/>
          <w:b/>
          <w:bCs/>
          <w:i/>
          <w:iCs/>
        </w:rPr>
        <w:t xml:space="preserve"> ma solo </w:t>
      </w:r>
      <w:r w:rsidR="009861FA">
        <w:rPr>
          <w:rFonts w:ascii="Arial" w:hAnsi="Arial" w:cs="Arial"/>
          <w:b/>
          <w:bCs/>
          <w:i/>
          <w:iCs/>
        </w:rPr>
        <w:t>negli ultimi mesi se n’è scoperta l’importanza</w:t>
      </w:r>
    </w:p>
    <w:p w14:paraId="3A7CF426" w14:textId="66AF36D6" w:rsidR="00C77FFE" w:rsidRPr="00AA71F7" w:rsidRDefault="00C77FFE" w:rsidP="00C77FFE">
      <w:pPr>
        <w:jc w:val="center"/>
        <w:rPr>
          <w:rFonts w:ascii="Arial" w:hAnsi="Arial" w:cs="Arial"/>
          <w:sz w:val="24"/>
          <w:szCs w:val="24"/>
        </w:rPr>
      </w:pPr>
    </w:p>
    <w:p w14:paraId="0EB12DFA" w14:textId="4714A5F2" w:rsidR="002F334C" w:rsidRPr="00E13390" w:rsidRDefault="001D7CBC" w:rsidP="00CB229F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E13390">
        <w:rPr>
          <w:rFonts w:ascii="Arial" w:hAnsi="Arial" w:cs="Arial"/>
          <w:b/>
          <w:bCs/>
          <w:sz w:val="24"/>
          <w:szCs w:val="24"/>
        </w:rPr>
        <w:t>Milano, febbraio 2023</w:t>
      </w:r>
      <w:r w:rsidRPr="00E13390">
        <w:rPr>
          <w:rFonts w:ascii="Arial" w:hAnsi="Arial" w:cs="Arial"/>
          <w:sz w:val="24"/>
          <w:szCs w:val="24"/>
        </w:rPr>
        <w:t xml:space="preserve"> – </w:t>
      </w:r>
      <w:r w:rsidR="007B43AE" w:rsidRPr="00E13390">
        <w:rPr>
          <w:rFonts w:ascii="Arial" w:hAnsi="Arial" w:cs="Arial"/>
          <w:b/>
          <w:bCs/>
          <w:sz w:val="24"/>
          <w:szCs w:val="24"/>
        </w:rPr>
        <w:t>Pur vivendo</w:t>
      </w:r>
      <w:r w:rsidR="00592262" w:rsidRPr="00E13390">
        <w:rPr>
          <w:rFonts w:ascii="Arial" w:hAnsi="Arial" w:cs="Arial"/>
          <w:b/>
          <w:bCs/>
          <w:sz w:val="24"/>
          <w:szCs w:val="24"/>
        </w:rPr>
        <w:t xml:space="preserve"> in una casa di proprietà</w:t>
      </w:r>
      <w:r w:rsidR="00592262" w:rsidRPr="00E13390">
        <w:rPr>
          <w:rFonts w:ascii="Arial" w:hAnsi="Arial" w:cs="Arial"/>
          <w:sz w:val="24"/>
          <w:szCs w:val="24"/>
        </w:rPr>
        <w:t xml:space="preserve"> (</w:t>
      </w:r>
      <w:r w:rsidR="007B43AE" w:rsidRPr="00E13390">
        <w:rPr>
          <w:rFonts w:ascii="Arial" w:hAnsi="Arial" w:cs="Arial"/>
          <w:sz w:val="24"/>
          <w:szCs w:val="24"/>
        </w:rPr>
        <w:t>in Italia la</w:t>
      </w:r>
      <w:r w:rsidR="00592262" w:rsidRPr="00E13390">
        <w:rPr>
          <w:rFonts w:ascii="Arial" w:hAnsi="Arial" w:cs="Arial"/>
          <w:sz w:val="24"/>
          <w:szCs w:val="24"/>
        </w:rPr>
        <w:t xml:space="preserve"> percentuale </w:t>
      </w:r>
      <w:r w:rsidR="007B43AE" w:rsidRPr="00E13390">
        <w:rPr>
          <w:rFonts w:ascii="Arial" w:hAnsi="Arial" w:cs="Arial"/>
          <w:sz w:val="24"/>
          <w:szCs w:val="24"/>
        </w:rPr>
        <w:t>sfiora l’80</w:t>
      </w:r>
      <w:r w:rsidR="00592262" w:rsidRPr="00E13390">
        <w:rPr>
          <w:rFonts w:ascii="Arial" w:hAnsi="Arial" w:cs="Arial"/>
          <w:sz w:val="24"/>
          <w:szCs w:val="24"/>
        </w:rPr>
        <w:t>%),</w:t>
      </w:r>
      <w:r w:rsidR="00592262" w:rsidRPr="00E13390">
        <w:rPr>
          <w:rFonts w:ascii="Arial" w:hAnsi="Arial" w:cs="Arial"/>
          <w:b/>
          <w:bCs/>
          <w:sz w:val="24"/>
          <w:szCs w:val="24"/>
        </w:rPr>
        <w:t xml:space="preserve"> oltre la metà </w:t>
      </w:r>
      <w:r w:rsidR="007B43AE" w:rsidRPr="00E13390">
        <w:rPr>
          <w:rFonts w:ascii="Arial" w:hAnsi="Arial" w:cs="Arial"/>
          <w:b/>
          <w:bCs/>
          <w:sz w:val="24"/>
          <w:szCs w:val="24"/>
        </w:rPr>
        <w:t xml:space="preserve">delle persone </w:t>
      </w:r>
      <w:r w:rsidR="009861FA">
        <w:rPr>
          <w:rFonts w:ascii="Arial" w:hAnsi="Arial" w:cs="Arial"/>
          <w:b/>
          <w:bCs/>
          <w:sz w:val="24"/>
          <w:szCs w:val="24"/>
        </w:rPr>
        <w:t xml:space="preserve">(55%) </w:t>
      </w:r>
      <w:r w:rsidR="00592262" w:rsidRPr="00E13390">
        <w:rPr>
          <w:rFonts w:ascii="Arial" w:hAnsi="Arial" w:cs="Arial"/>
          <w:b/>
          <w:bCs/>
          <w:sz w:val="24"/>
          <w:szCs w:val="24"/>
        </w:rPr>
        <w:t xml:space="preserve">non conosce la classe energetica </w:t>
      </w:r>
      <w:r w:rsidR="007B43AE" w:rsidRPr="00E13390">
        <w:rPr>
          <w:rFonts w:ascii="Arial" w:hAnsi="Arial" w:cs="Arial"/>
          <w:b/>
          <w:bCs/>
          <w:sz w:val="24"/>
          <w:szCs w:val="24"/>
        </w:rPr>
        <w:t>del proprio immobile</w:t>
      </w:r>
      <w:r w:rsidR="00592262" w:rsidRPr="00E13390">
        <w:rPr>
          <w:rFonts w:ascii="Arial" w:hAnsi="Arial" w:cs="Arial"/>
          <w:sz w:val="24"/>
          <w:szCs w:val="24"/>
        </w:rPr>
        <w:t xml:space="preserve">. </w:t>
      </w:r>
      <w:r w:rsidR="00E13390" w:rsidRPr="00E13390">
        <w:rPr>
          <w:rFonts w:ascii="Arial" w:hAnsi="Arial" w:cs="Arial"/>
          <w:sz w:val="24"/>
          <w:szCs w:val="24"/>
        </w:rPr>
        <w:t>Eppure,</w:t>
      </w:r>
      <w:r w:rsidR="007B43AE" w:rsidRPr="00E13390">
        <w:rPr>
          <w:rFonts w:ascii="Arial" w:hAnsi="Arial" w:cs="Arial"/>
          <w:sz w:val="24"/>
          <w:szCs w:val="24"/>
        </w:rPr>
        <w:t xml:space="preserve"> </w:t>
      </w:r>
      <w:r w:rsidR="00E13390" w:rsidRPr="00E13390">
        <w:rPr>
          <w:rFonts w:ascii="Arial" w:hAnsi="Arial" w:cs="Arial"/>
          <w:noProof/>
          <w:sz w:val="24"/>
          <w:szCs w:val="24"/>
        </w:rPr>
        <w:t>gli italiani stanno prendendo sempre più coscienza</w:t>
      </w:r>
      <w:r w:rsidR="007B43AE" w:rsidRPr="00E13390">
        <w:rPr>
          <w:rFonts w:ascii="Arial" w:hAnsi="Arial" w:cs="Arial"/>
          <w:noProof/>
          <w:sz w:val="24"/>
          <w:szCs w:val="24"/>
        </w:rPr>
        <w:t xml:space="preserve"> dell’importanza di questo dato: </w:t>
      </w:r>
      <w:r w:rsidR="00E13390" w:rsidRPr="00E13390">
        <w:rPr>
          <w:rFonts w:ascii="Arial" w:hAnsi="Arial" w:cs="Arial"/>
          <w:noProof/>
          <w:sz w:val="24"/>
          <w:szCs w:val="24"/>
        </w:rPr>
        <w:t xml:space="preserve">infatti </w:t>
      </w:r>
      <w:r w:rsidR="007B43AE" w:rsidRPr="00E13390">
        <w:rPr>
          <w:rFonts w:ascii="Arial" w:hAnsi="Arial" w:cs="Arial"/>
          <w:noProof/>
          <w:sz w:val="24"/>
          <w:szCs w:val="24"/>
        </w:rPr>
        <w:t xml:space="preserve">nell’ottica di un futuro trasferimento in una nuova abitazione, la classe energetica viene indicata come </w:t>
      </w:r>
      <w:r w:rsidR="007B43AE" w:rsidRPr="00E13390">
        <w:rPr>
          <w:rFonts w:ascii="Arial" w:hAnsi="Arial" w:cs="Arial"/>
          <w:b/>
          <w:bCs/>
          <w:noProof/>
          <w:sz w:val="24"/>
          <w:szCs w:val="24"/>
        </w:rPr>
        <w:t xml:space="preserve">molto importante o fondamentale dall’80% degli intervistati. </w:t>
      </w:r>
      <w:r w:rsidR="00592262" w:rsidRPr="00E13390">
        <w:rPr>
          <w:rFonts w:ascii="Arial" w:hAnsi="Arial" w:cs="Arial"/>
          <w:sz w:val="24"/>
          <w:szCs w:val="24"/>
        </w:rPr>
        <w:t xml:space="preserve">È una delle principali evidenze emerse dall’ultimo sondaggio sull’efficienza energetica degli immobili italiani di </w:t>
      </w:r>
      <w:hyperlink r:id="rId7" w:history="1">
        <w:r w:rsidR="00592262" w:rsidRPr="00E13390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Immobiliare.it</w:t>
        </w:r>
      </w:hyperlink>
      <w:r w:rsidR="00EE3322" w:rsidRPr="00E13390">
        <w:rPr>
          <w:rFonts w:ascii="Arial" w:hAnsi="Arial" w:cs="Arial"/>
          <w:noProof/>
          <w:sz w:val="24"/>
          <w:szCs w:val="24"/>
        </w:rPr>
        <w:t xml:space="preserve">, portale leader immobiliare in Italia, </w:t>
      </w:r>
      <w:r w:rsidR="00592262" w:rsidRPr="00E13390">
        <w:rPr>
          <w:rFonts w:ascii="Arial" w:hAnsi="Arial" w:cs="Arial"/>
          <w:noProof/>
          <w:sz w:val="24"/>
          <w:szCs w:val="24"/>
        </w:rPr>
        <w:t xml:space="preserve">che ha coinvolto un campione di </w:t>
      </w:r>
      <w:r w:rsidR="00472855" w:rsidRPr="00E13390">
        <w:rPr>
          <w:rFonts w:ascii="Arial" w:hAnsi="Arial" w:cs="Arial"/>
          <w:noProof/>
          <w:sz w:val="24"/>
          <w:szCs w:val="24"/>
        </w:rPr>
        <w:t>3.000</w:t>
      </w:r>
      <w:r w:rsidR="00592262" w:rsidRPr="00E13390">
        <w:rPr>
          <w:rFonts w:ascii="Arial" w:hAnsi="Arial" w:cs="Arial"/>
          <w:noProof/>
          <w:sz w:val="24"/>
          <w:szCs w:val="24"/>
        </w:rPr>
        <w:t xml:space="preserve"> utenti</w:t>
      </w:r>
      <w:r w:rsidR="00A4065E">
        <w:rPr>
          <w:rFonts w:ascii="Arial" w:hAnsi="Arial" w:cs="Arial"/>
          <w:noProof/>
          <w:sz w:val="24"/>
          <w:szCs w:val="24"/>
        </w:rPr>
        <w:t>,</w:t>
      </w:r>
      <w:r w:rsidR="00592262" w:rsidRPr="00E13390">
        <w:rPr>
          <w:rFonts w:ascii="Arial" w:hAnsi="Arial" w:cs="Arial"/>
          <w:noProof/>
          <w:sz w:val="24"/>
          <w:szCs w:val="24"/>
        </w:rPr>
        <w:t xml:space="preserve"> </w:t>
      </w:r>
      <w:r w:rsidR="00550453" w:rsidRPr="00E13390">
        <w:rPr>
          <w:rFonts w:ascii="Arial" w:hAnsi="Arial" w:cs="Arial"/>
          <w:noProof/>
          <w:sz w:val="24"/>
          <w:szCs w:val="24"/>
        </w:rPr>
        <w:t>in seguito al</w:t>
      </w:r>
      <w:r w:rsidR="00472855" w:rsidRPr="00E13390">
        <w:rPr>
          <w:rFonts w:ascii="Arial" w:hAnsi="Arial" w:cs="Arial"/>
          <w:noProof/>
          <w:sz w:val="24"/>
          <w:szCs w:val="24"/>
        </w:rPr>
        <w:t xml:space="preserve"> via libera del Parlamento Europeo alla </w:t>
      </w:r>
      <w:r w:rsidR="001F23FB" w:rsidRPr="00E13390">
        <w:rPr>
          <w:rFonts w:ascii="Arial" w:hAnsi="Arial" w:cs="Arial"/>
          <w:noProof/>
          <w:sz w:val="24"/>
          <w:szCs w:val="24"/>
        </w:rPr>
        <w:t xml:space="preserve">direttiva che </w:t>
      </w:r>
      <w:r w:rsidR="007B43AE" w:rsidRPr="00E13390">
        <w:rPr>
          <w:rFonts w:ascii="Arial" w:hAnsi="Arial" w:cs="Arial"/>
          <w:noProof/>
          <w:sz w:val="24"/>
          <w:szCs w:val="24"/>
        </w:rPr>
        <w:t>punta a</w:t>
      </w:r>
      <w:r w:rsidR="001F23FB" w:rsidRPr="00E13390">
        <w:rPr>
          <w:rFonts w:ascii="Arial" w:hAnsi="Arial" w:cs="Arial"/>
          <w:noProof/>
          <w:sz w:val="24"/>
          <w:szCs w:val="24"/>
        </w:rPr>
        <w:t>l passaggio di tutte le abitazioni alla classe energetica E entro il 2030</w:t>
      </w:r>
      <w:r w:rsidR="004C2063" w:rsidRPr="00E13390">
        <w:rPr>
          <w:rFonts w:ascii="Arial" w:hAnsi="Arial" w:cs="Arial"/>
          <w:noProof/>
          <w:sz w:val="24"/>
          <w:szCs w:val="24"/>
        </w:rPr>
        <w:t xml:space="preserve"> e</w:t>
      </w:r>
      <w:r w:rsidR="005169FE" w:rsidRPr="00E13390">
        <w:rPr>
          <w:rFonts w:ascii="Arial" w:hAnsi="Arial" w:cs="Arial"/>
          <w:noProof/>
          <w:sz w:val="24"/>
          <w:szCs w:val="24"/>
        </w:rPr>
        <w:t>d</w:t>
      </w:r>
      <w:r w:rsidR="001F23FB" w:rsidRPr="00E13390">
        <w:rPr>
          <w:rFonts w:ascii="Arial" w:hAnsi="Arial" w:cs="Arial"/>
          <w:noProof/>
          <w:sz w:val="24"/>
          <w:szCs w:val="24"/>
        </w:rPr>
        <w:t xml:space="preserve"> alla D entro il 2033</w:t>
      </w:r>
      <w:r w:rsidR="00EE3322" w:rsidRPr="00E13390">
        <w:rPr>
          <w:rFonts w:ascii="Arial" w:hAnsi="Arial" w:cs="Arial"/>
          <w:noProof/>
          <w:sz w:val="24"/>
          <w:szCs w:val="24"/>
        </w:rPr>
        <w:t>.</w:t>
      </w:r>
    </w:p>
    <w:p w14:paraId="59FF52C4" w14:textId="1D74D637" w:rsidR="00AA71F7" w:rsidRPr="00E13390" w:rsidRDefault="00E13390" w:rsidP="00AA71F7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E13390">
        <w:rPr>
          <w:rFonts w:ascii="Arial" w:hAnsi="Arial" w:cs="Arial"/>
          <w:noProof/>
          <w:sz w:val="24"/>
          <w:szCs w:val="24"/>
        </w:rPr>
        <w:t>Non va dimenticato che, a partire dal 1 gennaio 2012,</w:t>
      </w:r>
      <w:r w:rsidR="005169FE" w:rsidRPr="00E13390">
        <w:rPr>
          <w:rFonts w:ascii="Arial" w:hAnsi="Arial" w:cs="Arial"/>
          <w:noProof/>
          <w:sz w:val="24"/>
          <w:szCs w:val="24"/>
        </w:rPr>
        <w:t xml:space="preserve"> </w:t>
      </w:r>
      <w:r w:rsidR="00AA71F7" w:rsidRPr="00E13390">
        <w:rPr>
          <w:rFonts w:ascii="Arial" w:hAnsi="Arial" w:cs="Arial"/>
          <w:noProof/>
          <w:sz w:val="24"/>
          <w:szCs w:val="24"/>
        </w:rPr>
        <w:t>gli annunci di vendita e locazione di immobili devono contenere obbligatoriamente la classe e l'indice di prestazione energetica dell'immobile, riportati nell'Attestato di Prestazione Energetica (A.P.E.)</w:t>
      </w:r>
      <w:r w:rsidRPr="00E13390">
        <w:rPr>
          <w:rFonts w:ascii="Arial" w:hAnsi="Arial" w:cs="Arial"/>
          <w:noProof/>
          <w:sz w:val="24"/>
          <w:szCs w:val="24"/>
        </w:rPr>
        <w:t>.</w:t>
      </w:r>
      <w:r w:rsidR="00AA71F7" w:rsidRPr="00E13390">
        <w:rPr>
          <w:rFonts w:ascii="Arial" w:hAnsi="Arial" w:cs="Arial"/>
          <w:noProof/>
          <w:sz w:val="24"/>
          <w:szCs w:val="24"/>
        </w:rPr>
        <w:t xml:space="preserve"> </w:t>
      </w:r>
      <w:r w:rsidRPr="00E13390">
        <w:rPr>
          <w:rFonts w:ascii="Arial" w:hAnsi="Arial" w:cs="Arial"/>
          <w:noProof/>
          <w:sz w:val="24"/>
          <w:szCs w:val="24"/>
        </w:rPr>
        <w:t>Ma è solo negli ultimi mesi che la classe energetica ha cominciato ad essere sotto la lente d’ingrandimento:</w:t>
      </w:r>
      <w:r w:rsidR="00AA71F7" w:rsidRPr="00E13390">
        <w:rPr>
          <w:rFonts w:ascii="Arial" w:hAnsi="Arial" w:cs="Arial"/>
          <w:noProof/>
          <w:sz w:val="24"/>
          <w:szCs w:val="24"/>
        </w:rPr>
        <w:t xml:space="preserve"> </w:t>
      </w:r>
      <w:r w:rsidRPr="00E13390">
        <w:rPr>
          <w:rFonts w:ascii="Arial" w:hAnsi="Arial" w:cs="Arial"/>
          <w:noProof/>
          <w:sz w:val="24"/>
          <w:szCs w:val="24"/>
        </w:rPr>
        <w:t xml:space="preserve">non a caso, tra </w:t>
      </w:r>
      <w:r w:rsidR="00AA71F7" w:rsidRPr="00E13390">
        <w:rPr>
          <w:rFonts w:ascii="Arial" w:hAnsi="Arial" w:cs="Arial"/>
          <w:noProof/>
          <w:sz w:val="24"/>
          <w:szCs w:val="24"/>
        </w:rPr>
        <w:t>chi dichiara di conoscere la classe energetica del suo immobile,</w:t>
      </w:r>
      <w:r w:rsidR="00AA71F7" w:rsidRPr="00E13390">
        <w:rPr>
          <w:rFonts w:ascii="Arial" w:hAnsi="Arial" w:cs="Arial"/>
          <w:b/>
          <w:bCs/>
          <w:noProof/>
          <w:sz w:val="24"/>
          <w:szCs w:val="24"/>
        </w:rPr>
        <w:t xml:space="preserve"> il 45% si trova tra le classi A e la D</w:t>
      </w:r>
      <w:r w:rsidR="00AA71F7" w:rsidRPr="00E13390">
        <w:rPr>
          <w:rFonts w:ascii="Arial" w:hAnsi="Arial" w:cs="Arial"/>
          <w:noProof/>
          <w:sz w:val="24"/>
          <w:szCs w:val="24"/>
        </w:rPr>
        <w:t xml:space="preserve">, </w:t>
      </w:r>
      <w:r w:rsidRPr="00E13390">
        <w:rPr>
          <w:rFonts w:ascii="Arial" w:hAnsi="Arial" w:cs="Arial"/>
          <w:noProof/>
          <w:sz w:val="24"/>
          <w:szCs w:val="24"/>
        </w:rPr>
        <w:t>a dimostrazione che si trattava di persone sensibili al tema già al tempo del loro acquisto</w:t>
      </w:r>
      <w:r w:rsidR="00AA71F7" w:rsidRPr="00E13390">
        <w:rPr>
          <w:rFonts w:ascii="Arial" w:hAnsi="Arial" w:cs="Arial"/>
          <w:noProof/>
          <w:sz w:val="24"/>
          <w:szCs w:val="24"/>
        </w:rPr>
        <w:t>.</w:t>
      </w:r>
    </w:p>
    <w:p w14:paraId="17BCF7BD" w14:textId="0975E829" w:rsidR="005169FE" w:rsidRPr="00E13390" w:rsidRDefault="005169FE" w:rsidP="00CB229F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E13390">
        <w:rPr>
          <w:rFonts w:ascii="Arial" w:hAnsi="Arial" w:cs="Arial"/>
          <w:noProof/>
          <w:sz w:val="24"/>
          <w:szCs w:val="24"/>
        </w:rPr>
        <w:t xml:space="preserve">Purtroppo la realtà del nostro paese è di un patrimonio immobiliare ormai vecchio con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la maggior parte di immobili in classe F o G</w:t>
      </w:r>
      <w:r w:rsidRPr="00E13390">
        <w:rPr>
          <w:rFonts w:ascii="Arial" w:hAnsi="Arial" w:cs="Arial"/>
          <w:noProof/>
          <w:sz w:val="24"/>
          <w:szCs w:val="24"/>
        </w:rPr>
        <w:t xml:space="preserve"> </w:t>
      </w:r>
      <w:r w:rsidR="005A1A55">
        <w:rPr>
          <w:rFonts w:ascii="Arial" w:hAnsi="Arial" w:cs="Arial"/>
          <w:noProof/>
          <w:sz w:val="24"/>
          <w:szCs w:val="24"/>
        </w:rPr>
        <w:t>(dati Istat).</w:t>
      </w:r>
    </w:p>
    <w:tbl>
      <w:tblPr>
        <w:tblStyle w:val="Grigliatabella"/>
        <w:tblW w:w="7938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960"/>
        <w:gridCol w:w="1960"/>
        <w:gridCol w:w="2778"/>
      </w:tblGrid>
      <w:tr w:rsidR="005A1A55" w:rsidRPr="00E13390" w14:paraId="7A9C56F2" w14:textId="77777777" w:rsidTr="005A1A55">
        <w:trPr>
          <w:trHeight w:val="20"/>
          <w:jc w:val="center"/>
        </w:trPr>
        <w:tc>
          <w:tcPr>
            <w:tcW w:w="1240" w:type="dxa"/>
            <w:vMerge w:val="restart"/>
            <w:tcBorders>
              <w:right w:val="single" w:sz="12" w:space="0" w:color="auto"/>
            </w:tcBorders>
            <w:shd w:val="clear" w:color="auto" w:fill="8EAADB" w:themeFill="accent1" w:themeFillTint="99"/>
          </w:tcPr>
          <w:p w14:paraId="4042D7DB" w14:textId="0570F34F" w:rsidR="005A1A55" w:rsidRPr="00E13390" w:rsidRDefault="005A1A55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F5FB2EA" w14:textId="6597F998" w:rsidR="005A1A55" w:rsidRPr="00E13390" w:rsidRDefault="005A1A55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Edifici</w:t>
            </w:r>
          </w:p>
        </w:tc>
        <w:tc>
          <w:tcPr>
            <w:tcW w:w="4738" w:type="dxa"/>
            <w:gridSpan w:val="2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2171562" w14:textId="49C71D12" w:rsidR="005A1A55" w:rsidRPr="00E13390" w:rsidRDefault="005A1A55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Alloggi</w:t>
            </w:r>
          </w:p>
        </w:tc>
      </w:tr>
      <w:tr w:rsidR="005A1A55" w:rsidRPr="00E13390" w14:paraId="3D8E9ED4" w14:textId="77777777" w:rsidTr="005A1A55">
        <w:trPr>
          <w:trHeight w:val="20"/>
          <w:jc w:val="center"/>
        </w:trPr>
        <w:tc>
          <w:tcPr>
            <w:tcW w:w="1240" w:type="dxa"/>
            <w:vMerge/>
            <w:tcBorders>
              <w:right w:val="single" w:sz="12" w:space="0" w:color="auto"/>
            </w:tcBorders>
          </w:tcPr>
          <w:p w14:paraId="32ECDB38" w14:textId="77777777" w:rsidR="005A1A55" w:rsidRPr="00E13390" w:rsidRDefault="005A1A55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3A2CAB6" w14:textId="2FBDDE6A" w:rsidR="005A1A55" w:rsidRPr="005A1A55" w:rsidRDefault="0025302E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</w:t>
            </w:r>
            <w:r w:rsidR="005A1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umero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57477A03" w14:textId="7F32F2A0" w:rsidR="005A1A55" w:rsidRPr="005A1A55" w:rsidRDefault="0025302E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</w:t>
            </w:r>
            <w:r w:rsidR="005A1A55" w:rsidRPr="005A1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umero</w:t>
            </w:r>
          </w:p>
        </w:tc>
        <w:tc>
          <w:tcPr>
            <w:tcW w:w="2778" w:type="dxa"/>
            <w:shd w:val="clear" w:color="auto" w:fill="B4C6E7" w:themeFill="accent1" w:themeFillTint="66"/>
          </w:tcPr>
          <w:p w14:paraId="6C20B362" w14:textId="1A1A5890" w:rsidR="005A1A55" w:rsidRPr="005A1A55" w:rsidRDefault="005A1A55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A1A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% </w:t>
            </w:r>
            <w:r w:rsidR="00253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della classe sul totale degli alloggi</w:t>
            </w:r>
          </w:p>
        </w:tc>
      </w:tr>
      <w:tr w:rsidR="00E13390" w:rsidRPr="00E13390" w14:paraId="798B8985" w14:textId="2C5DCC9A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77662DC5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5F6C5AB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678.000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26F7552E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2.041.000</w:t>
            </w:r>
          </w:p>
        </w:tc>
        <w:tc>
          <w:tcPr>
            <w:tcW w:w="2778" w:type="dxa"/>
          </w:tcPr>
          <w:p w14:paraId="257EF27C" w14:textId="63DC2763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6%</w:t>
            </w:r>
          </w:p>
        </w:tc>
      </w:tr>
      <w:tr w:rsidR="00E13390" w:rsidRPr="00E13390" w14:paraId="7478A9CE" w14:textId="12293DEA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79279BEA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F954FB9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288.000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5BEED545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811.000</w:t>
            </w:r>
          </w:p>
        </w:tc>
        <w:tc>
          <w:tcPr>
            <w:tcW w:w="2778" w:type="dxa"/>
          </w:tcPr>
          <w:p w14:paraId="5338FCB1" w14:textId="7F2FA755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2%</w:t>
            </w:r>
          </w:p>
        </w:tc>
      </w:tr>
      <w:tr w:rsidR="00E13390" w:rsidRPr="00E13390" w14:paraId="0A8B1826" w14:textId="4C430577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541739B2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A0D573B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523.000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5B2A8DB4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1.481.000</w:t>
            </w:r>
          </w:p>
        </w:tc>
        <w:tc>
          <w:tcPr>
            <w:tcW w:w="2778" w:type="dxa"/>
          </w:tcPr>
          <w:p w14:paraId="4235870A" w14:textId="62336229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4%</w:t>
            </w:r>
          </w:p>
        </w:tc>
      </w:tr>
      <w:tr w:rsidR="00E13390" w:rsidRPr="00E13390" w14:paraId="7FAF29BF" w14:textId="1A8A5830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152A108C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9C97AD1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1.269.000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788ACB88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3.597.000</w:t>
            </w:r>
          </w:p>
        </w:tc>
        <w:tc>
          <w:tcPr>
            <w:tcW w:w="2778" w:type="dxa"/>
          </w:tcPr>
          <w:p w14:paraId="4865DCD7" w14:textId="6849A984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10%</w:t>
            </w:r>
          </w:p>
        </w:tc>
      </w:tr>
      <w:tr w:rsidR="00E13390" w:rsidRPr="00E13390" w14:paraId="6D672979" w14:textId="06D5EED0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7DE182A3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F5DA9F7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2.119.000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7028EF09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5.960.000</w:t>
            </w:r>
          </w:p>
        </w:tc>
        <w:tc>
          <w:tcPr>
            <w:tcW w:w="2778" w:type="dxa"/>
          </w:tcPr>
          <w:p w14:paraId="583758B5" w14:textId="6CF918FF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17%</w:t>
            </w:r>
          </w:p>
        </w:tc>
      </w:tr>
      <w:tr w:rsidR="00E13390" w:rsidRPr="00E13390" w14:paraId="17B9B057" w14:textId="5E530BF7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29AEF4E1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F52133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3.158.000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00855FD2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8.922.000</w:t>
            </w:r>
          </w:p>
        </w:tc>
        <w:tc>
          <w:tcPr>
            <w:tcW w:w="2778" w:type="dxa"/>
          </w:tcPr>
          <w:p w14:paraId="32FEF85E" w14:textId="2B40EBFE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25%</w:t>
            </w:r>
          </w:p>
        </w:tc>
      </w:tr>
      <w:tr w:rsidR="00E13390" w:rsidRPr="00E13390" w14:paraId="31550FAC" w14:textId="7A8B0EBA" w:rsidTr="005A1A55">
        <w:trPr>
          <w:trHeight w:val="20"/>
          <w:jc w:val="center"/>
        </w:trPr>
        <w:tc>
          <w:tcPr>
            <w:tcW w:w="1240" w:type="dxa"/>
            <w:tcBorders>
              <w:right w:val="single" w:sz="12" w:space="0" w:color="auto"/>
            </w:tcBorders>
            <w:hideMark/>
          </w:tcPr>
          <w:p w14:paraId="49AEC429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0A833F8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4.465.000</w:t>
            </w:r>
          </w:p>
        </w:tc>
        <w:tc>
          <w:tcPr>
            <w:tcW w:w="1960" w:type="dxa"/>
            <w:tcBorders>
              <w:left w:val="single" w:sz="12" w:space="0" w:color="auto"/>
            </w:tcBorders>
            <w:hideMark/>
          </w:tcPr>
          <w:p w14:paraId="792591BE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12.590.000</w:t>
            </w:r>
          </w:p>
        </w:tc>
        <w:tc>
          <w:tcPr>
            <w:tcW w:w="2778" w:type="dxa"/>
          </w:tcPr>
          <w:p w14:paraId="43C0FAF1" w14:textId="74AA44C4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36%</w:t>
            </w:r>
          </w:p>
        </w:tc>
      </w:tr>
      <w:tr w:rsidR="00E13390" w:rsidRPr="00E13390" w14:paraId="33B6D479" w14:textId="5D67D5AD" w:rsidTr="005A1A55">
        <w:trPr>
          <w:trHeight w:val="20"/>
          <w:jc w:val="center"/>
        </w:trPr>
        <w:tc>
          <w:tcPr>
            <w:tcW w:w="1240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74717D2" w14:textId="2B92392A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D69A110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12.500.000</w: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14:paraId="38F54077" w14:textId="77777777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35.402.000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37D3DCA" w14:textId="3FF90A92" w:rsidR="00E13390" w:rsidRPr="00E13390" w:rsidRDefault="00E13390" w:rsidP="00E1339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3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</w:tbl>
    <w:p w14:paraId="496E3882" w14:textId="52C39C25" w:rsidR="005169FE" w:rsidRPr="005A1A55" w:rsidRDefault="005A1A55" w:rsidP="005A1A55">
      <w:pPr>
        <w:tabs>
          <w:tab w:val="left" w:pos="1065"/>
        </w:tabs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5A38FB12" w14:textId="41B3EF76" w:rsidR="005C7452" w:rsidRPr="00E13390" w:rsidRDefault="00404506" w:rsidP="00CB229F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E13390">
        <w:rPr>
          <w:rFonts w:ascii="Arial" w:hAnsi="Arial" w:cs="Arial"/>
          <w:noProof/>
          <w:sz w:val="24"/>
          <w:szCs w:val="24"/>
        </w:rPr>
        <w:t xml:space="preserve">Ma </w:t>
      </w:r>
      <w:r w:rsidR="005169FE" w:rsidRPr="00E13390">
        <w:rPr>
          <w:rFonts w:ascii="Arial" w:hAnsi="Arial" w:cs="Arial"/>
          <w:noProof/>
          <w:sz w:val="24"/>
          <w:szCs w:val="24"/>
        </w:rPr>
        <w:t xml:space="preserve">oggi la sensibilità ai temi energetici è </w:t>
      </w:r>
      <w:r w:rsidR="005A1A55">
        <w:rPr>
          <w:rFonts w:ascii="Arial" w:hAnsi="Arial" w:cs="Arial"/>
          <w:noProof/>
          <w:sz w:val="24"/>
          <w:szCs w:val="24"/>
        </w:rPr>
        <w:t>sicuramente aumentata</w:t>
      </w:r>
      <w:r w:rsidR="005169FE" w:rsidRPr="00E13390">
        <w:rPr>
          <w:rFonts w:ascii="Arial" w:hAnsi="Arial" w:cs="Arial"/>
          <w:noProof/>
          <w:sz w:val="24"/>
          <w:szCs w:val="24"/>
        </w:rPr>
        <w:t>. L</w:t>
      </w:r>
      <w:r w:rsidR="005C7452" w:rsidRPr="00E13390">
        <w:rPr>
          <w:rFonts w:ascii="Arial" w:hAnsi="Arial" w:cs="Arial"/>
          <w:noProof/>
          <w:sz w:val="24"/>
          <w:szCs w:val="24"/>
        </w:rPr>
        <w:t xml:space="preserve">a maggior parte degli intervistati </w:t>
      </w:r>
      <w:r w:rsidR="00E83A11" w:rsidRPr="00E13390">
        <w:rPr>
          <w:rFonts w:ascii="Arial" w:hAnsi="Arial" w:cs="Arial"/>
          <w:noProof/>
          <w:sz w:val="24"/>
          <w:szCs w:val="24"/>
        </w:rPr>
        <w:t>si è messo all’opera</w:t>
      </w:r>
      <w:r w:rsidR="005C7452" w:rsidRPr="00E13390">
        <w:rPr>
          <w:rFonts w:ascii="Arial" w:hAnsi="Arial" w:cs="Arial"/>
          <w:noProof/>
          <w:sz w:val="24"/>
          <w:szCs w:val="24"/>
        </w:rPr>
        <w:t xml:space="preserve"> per migliorare l’efficienza energetica </w:t>
      </w:r>
      <w:r w:rsidRPr="00E13390">
        <w:rPr>
          <w:rFonts w:ascii="Arial" w:hAnsi="Arial" w:cs="Arial"/>
          <w:noProof/>
          <w:sz w:val="24"/>
          <w:szCs w:val="24"/>
        </w:rPr>
        <w:t>di quella in cui vive</w:t>
      </w:r>
      <w:r w:rsidR="005C7452" w:rsidRPr="00E13390">
        <w:rPr>
          <w:rFonts w:ascii="Arial" w:hAnsi="Arial" w:cs="Arial"/>
          <w:noProof/>
          <w:sz w:val="24"/>
          <w:szCs w:val="24"/>
        </w:rPr>
        <w:t xml:space="preserve">, con quasi </w:t>
      </w:r>
      <w:r w:rsidR="005C7452" w:rsidRPr="00E13390">
        <w:rPr>
          <w:rFonts w:ascii="Arial" w:hAnsi="Arial" w:cs="Arial"/>
          <w:b/>
          <w:bCs/>
          <w:noProof/>
          <w:sz w:val="24"/>
          <w:szCs w:val="24"/>
        </w:rPr>
        <w:t xml:space="preserve">il 49% </w:t>
      </w:r>
      <w:r w:rsidR="00E83A11" w:rsidRPr="00E13390">
        <w:rPr>
          <w:rFonts w:ascii="Arial" w:hAnsi="Arial" w:cs="Arial"/>
          <w:b/>
          <w:bCs/>
          <w:noProof/>
          <w:sz w:val="24"/>
          <w:szCs w:val="24"/>
        </w:rPr>
        <w:t>che afferma</w:t>
      </w:r>
      <w:r w:rsidR="005C7452" w:rsidRPr="00E13390">
        <w:rPr>
          <w:rFonts w:ascii="Arial" w:hAnsi="Arial" w:cs="Arial"/>
          <w:b/>
          <w:bCs/>
          <w:noProof/>
          <w:sz w:val="24"/>
          <w:szCs w:val="24"/>
        </w:rPr>
        <w:t xml:space="preserve"> di aver effettuato dei lavori di recente mentre il 1</w:t>
      </w:r>
      <w:r w:rsidR="001F23FB" w:rsidRPr="00E13390">
        <w:rPr>
          <w:rFonts w:ascii="Arial" w:hAnsi="Arial" w:cs="Arial"/>
          <w:b/>
          <w:bCs/>
          <w:noProof/>
          <w:sz w:val="24"/>
          <w:szCs w:val="24"/>
        </w:rPr>
        <w:t>3</w:t>
      </w:r>
      <w:r w:rsidR="005C7452" w:rsidRPr="00E13390">
        <w:rPr>
          <w:rFonts w:ascii="Arial" w:hAnsi="Arial" w:cs="Arial"/>
          <w:b/>
          <w:bCs/>
          <w:noProof/>
          <w:sz w:val="24"/>
          <w:szCs w:val="24"/>
        </w:rPr>
        <w:t xml:space="preserve">% </w:t>
      </w:r>
      <w:r w:rsidR="00E83A11" w:rsidRPr="00E13390">
        <w:rPr>
          <w:rFonts w:ascii="Arial" w:hAnsi="Arial" w:cs="Arial"/>
          <w:b/>
          <w:bCs/>
          <w:noProof/>
          <w:sz w:val="24"/>
          <w:szCs w:val="24"/>
        </w:rPr>
        <w:t xml:space="preserve">che dichiara di averli </w:t>
      </w:r>
      <w:r w:rsidR="005C7452" w:rsidRPr="00E13390">
        <w:rPr>
          <w:rFonts w:ascii="Arial" w:hAnsi="Arial" w:cs="Arial"/>
          <w:b/>
          <w:bCs/>
          <w:noProof/>
          <w:sz w:val="24"/>
          <w:szCs w:val="24"/>
        </w:rPr>
        <w:t xml:space="preserve">programmati </w:t>
      </w:r>
      <w:r w:rsidR="00E83A11" w:rsidRPr="00E13390">
        <w:rPr>
          <w:rFonts w:ascii="Arial" w:hAnsi="Arial" w:cs="Arial"/>
          <w:b/>
          <w:bCs/>
          <w:noProof/>
          <w:sz w:val="24"/>
          <w:szCs w:val="24"/>
        </w:rPr>
        <w:t>nel</w:t>
      </w:r>
      <w:r w:rsidR="005C7452" w:rsidRPr="00E13390">
        <w:rPr>
          <w:rFonts w:ascii="Arial" w:hAnsi="Arial" w:cs="Arial"/>
          <w:b/>
          <w:bCs/>
          <w:noProof/>
          <w:sz w:val="24"/>
          <w:szCs w:val="24"/>
        </w:rPr>
        <w:t xml:space="preserve"> breve.</w:t>
      </w:r>
    </w:p>
    <w:p w14:paraId="4F07C650" w14:textId="2154D6A7" w:rsidR="001A142A" w:rsidRPr="00E13390" w:rsidRDefault="005C7452" w:rsidP="00CB229F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E13390">
        <w:rPr>
          <w:rFonts w:ascii="Arial" w:hAnsi="Arial" w:cs="Arial"/>
          <w:noProof/>
          <w:sz w:val="24"/>
          <w:szCs w:val="24"/>
        </w:rPr>
        <w:lastRenderedPageBreak/>
        <w:t xml:space="preserve">Per quanto riguarda la presenza di impianti quali cappotto termico o pannelli fotovoltaici, </w:t>
      </w:r>
      <w:r w:rsidR="00404506" w:rsidRPr="00E13390">
        <w:rPr>
          <w:rFonts w:ascii="Arial" w:hAnsi="Arial" w:cs="Arial"/>
          <w:noProof/>
          <w:sz w:val="24"/>
          <w:szCs w:val="24"/>
        </w:rPr>
        <w:t>emerge</w:t>
      </w:r>
      <w:r w:rsidRPr="00E13390">
        <w:rPr>
          <w:rFonts w:ascii="Arial" w:hAnsi="Arial" w:cs="Arial"/>
          <w:noProof/>
          <w:sz w:val="24"/>
          <w:szCs w:val="24"/>
        </w:rPr>
        <w:t xml:space="preserve"> una netta differenza tra condomini e abitazioni indipendenti. I</w:t>
      </w:r>
      <w:r w:rsidR="001A142A" w:rsidRPr="00E13390">
        <w:rPr>
          <w:rFonts w:ascii="Arial" w:hAnsi="Arial" w:cs="Arial"/>
          <w:noProof/>
          <w:sz w:val="24"/>
          <w:szCs w:val="24"/>
        </w:rPr>
        <w:t xml:space="preserve">l 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 xml:space="preserve">30% </w:t>
      </w:r>
      <w:r w:rsidRPr="00E13390">
        <w:rPr>
          <w:rFonts w:ascii="Arial" w:hAnsi="Arial" w:cs="Arial"/>
          <w:b/>
          <w:bCs/>
          <w:noProof/>
          <w:sz w:val="24"/>
          <w:szCs w:val="24"/>
        </w:rPr>
        <w:t>di queste</w:t>
      </w:r>
      <w:r w:rsidR="00E83A11" w:rsidRPr="00E13390">
        <w:rPr>
          <w:rFonts w:ascii="Arial" w:hAnsi="Arial" w:cs="Arial"/>
          <w:b/>
          <w:bCs/>
          <w:noProof/>
          <w:sz w:val="24"/>
          <w:szCs w:val="24"/>
        </w:rPr>
        <w:t xml:space="preserve"> ultime, stan</w:t>
      </w:r>
      <w:r w:rsidR="00404506" w:rsidRPr="00E13390">
        <w:rPr>
          <w:rFonts w:ascii="Arial" w:hAnsi="Arial" w:cs="Arial"/>
          <w:b/>
          <w:bCs/>
          <w:noProof/>
          <w:sz w:val="24"/>
          <w:szCs w:val="24"/>
        </w:rPr>
        <w:t>d</w:t>
      </w:r>
      <w:r w:rsidR="00E83A11" w:rsidRPr="00E13390">
        <w:rPr>
          <w:rFonts w:ascii="Arial" w:hAnsi="Arial" w:cs="Arial"/>
          <w:b/>
          <w:bCs/>
          <w:noProof/>
          <w:sz w:val="24"/>
          <w:szCs w:val="24"/>
        </w:rPr>
        <w:t>o al sondaggio,</w:t>
      </w:r>
      <w:r w:rsidR="001A142A" w:rsidRPr="00E1339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 xml:space="preserve">dispone </w:t>
      </w:r>
      <w:r w:rsidR="003A795B" w:rsidRPr="00E13390">
        <w:rPr>
          <w:rFonts w:ascii="Arial" w:hAnsi="Arial" w:cs="Arial"/>
          <w:b/>
          <w:bCs/>
          <w:noProof/>
          <w:sz w:val="24"/>
          <w:szCs w:val="24"/>
        </w:rPr>
        <w:t xml:space="preserve">infatti 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>di cappotto termico</w:t>
      </w:r>
      <w:r w:rsidR="00923C00" w:rsidRPr="00E13390">
        <w:rPr>
          <w:rFonts w:ascii="Arial" w:hAnsi="Arial" w:cs="Arial"/>
          <w:noProof/>
          <w:sz w:val="24"/>
          <w:szCs w:val="24"/>
        </w:rPr>
        <w:t xml:space="preserve">, </w:t>
      </w:r>
      <w:r w:rsidR="001A142A" w:rsidRPr="00E13390">
        <w:rPr>
          <w:rFonts w:ascii="Arial" w:hAnsi="Arial" w:cs="Arial"/>
          <w:noProof/>
          <w:sz w:val="24"/>
          <w:szCs w:val="24"/>
        </w:rPr>
        <w:t xml:space="preserve">percentuale </w:t>
      </w:r>
      <w:r w:rsidR="00923C00" w:rsidRPr="00E13390">
        <w:rPr>
          <w:rFonts w:ascii="Arial" w:hAnsi="Arial" w:cs="Arial"/>
          <w:noProof/>
          <w:sz w:val="24"/>
          <w:szCs w:val="24"/>
        </w:rPr>
        <w:t xml:space="preserve">che arriverà al 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>36%</w:t>
      </w:r>
      <w:r w:rsidR="00923C00" w:rsidRPr="00E13390">
        <w:rPr>
          <w:rFonts w:ascii="Arial" w:hAnsi="Arial" w:cs="Arial"/>
          <w:noProof/>
          <w:sz w:val="24"/>
          <w:szCs w:val="24"/>
        </w:rPr>
        <w:t xml:space="preserve"> contando le abitazioni che ha</w:t>
      </w:r>
      <w:r w:rsidR="001A142A" w:rsidRPr="00E13390">
        <w:rPr>
          <w:rFonts w:ascii="Arial" w:hAnsi="Arial" w:cs="Arial"/>
          <w:noProof/>
          <w:sz w:val="24"/>
          <w:szCs w:val="24"/>
        </w:rPr>
        <w:t>nno</w:t>
      </w:r>
      <w:r w:rsidR="00923C00" w:rsidRPr="00E13390">
        <w:rPr>
          <w:rFonts w:ascii="Arial" w:hAnsi="Arial" w:cs="Arial"/>
          <w:noProof/>
          <w:sz w:val="24"/>
          <w:szCs w:val="24"/>
        </w:rPr>
        <w:t xml:space="preserve"> già in programma i lavori per predisporlo, mentre </w:t>
      </w:r>
      <w:r w:rsidR="001A142A" w:rsidRPr="00E13390">
        <w:rPr>
          <w:rFonts w:ascii="Arial" w:hAnsi="Arial" w:cs="Arial"/>
          <w:b/>
          <w:bCs/>
          <w:noProof/>
          <w:sz w:val="24"/>
          <w:szCs w:val="24"/>
        </w:rPr>
        <w:t>toccherà i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>l 40% la percentuale d</w:t>
      </w:r>
      <w:r w:rsidR="001A142A" w:rsidRPr="00E13390">
        <w:rPr>
          <w:rFonts w:ascii="Arial" w:hAnsi="Arial" w:cs="Arial"/>
          <w:b/>
          <w:bCs/>
          <w:noProof/>
          <w:sz w:val="24"/>
          <w:szCs w:val="24"/>
        </w:rPr>
        <w:t>i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 xml:space="preserve"> case indipendenti con i pannelli fotovoltaici (oggi </w:t>
      </w:r>
      <w:r w:rsidR="002F49E6" w:rsidRPr="00E13390">
        <w:rPr>
          <w:rFonts w:ascii="Arial" w:hAnsi="Arial" w:cs="Arial"/>
          <w:b/>
          <w:bCs/>
          <w:noProof/>
          <w:sz w:val="24"/>
          <w:szCs w:val="24"/>
        </w:rPr>
        <w:t xml:space="preserve">al </w:t>
      </w:r>
      <w:r w:rsidR="00923C00" w:rsidRPr="00E13390">
        <w:rPr>
          <w:rFonts w:ascii="Arial" w:hAnsi="Arial" w:cs="Arial"/>
          <w:b/>
          <w:bCs/>
          <w:noProof/>
          <w:sz w:val="24"/>
          <w:szCs w:val="24"/>
        </w:rPr>
        <w:t>32,2%).</w:t>
      </w:r>
      <w:r w:rsidR="00923C00" w:rsidRPr="00E13390">
        <w:rPr>
          <w:rFonts w:ascii="Arial" w:hAnsi="Arial" w:cs="Arial"/>
          <w:noProof/>
          <w:sz w:val="24"/>
          <w:szCs w:val="24"/>
        </w:rPr>
        <w:t xml:space="preserve"> </w:t>
      </w:r>
      <w:r w:rsidR="001A142A" w:rsidRPr="00E13390">
        <w:rPr>
          <w:rFonts w:ascii="Arial" w:hAnsi="Arial" w:cs="Arial"/>
          <w:noProof/>
          <w:sz w:val="24"/>
          <w:szCs w:val="24"/>
        </w:rPr>
        <w:t xml:space="preserve">Nei condomini, invece, </w:t>
      </w:r>
      <w:r w:rsidR="001A142A" w:rsidRPr="00E13390">
        <w:rPr>
          <w:rFonts w:ascii="Arial" w:hAnsi="Arial" w:cs="Arial"/>
          <w:b/>
          <w:bCs/>
          <w:noProof/>
          <w:sz w:val="24"/>
          <w:szCs w:val="24"/>
        </w:rPr>
        <w:t>più di 8 abitazioni su 10 non dispongono del cappotto termico</w:t>
      </w:r>
      <w:r w:rsidR="001A142A" w:rsidRPr="00E13390">
        <w:rPr>
          <w:rFonts w:ascii="Arial" w:hAnsi="Arial" w:cs="Arial"/>
          <w:noProof/>
          <w:sz w:val="24"/>
          <w:szCs w:val="24"/>
        </w:rPr>
        <w:t xml:space="preserve"> (solo il 5% ha in programma i lavori), </w:t>
      </w:r>
      <w:r w:rsidR="001A142A" w:rsidRPr="00E13390">
        <w:rPr>
          <w:rFonts w:ascii="Arial" w:hAnsi="Arial" w:cs="Arial"/>
          <w:b/>
          <w:bCs/>
          <w:noProof/>
          <w:sz w:val="24"/>
          <w:szCs w:val="24"/>
        </w:rPr>
        <w:t>mentre 9 su 10 non hanno, attualmente, i pannelli solari.</w:t>
      </w:r>
    </w:p>
    <w:p w14:paraId="1165E818" w14:textId="59004EEC" w:rsidR="006A548E" w:rsidRPr="00E13390" w:rsidRDefault="006A548E" w:rsidP="00CB229F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E13390">
        <w:rPr>
          <w:rFonts w:ascii="Arial" w:hAnsi="Arial" w:cs="Arial"/>
          <w:noProof/>
          <w:sz w:val="24"/>
          <w:szCs w:val="24"/>
        </w:rPr>
        <w:t xml:space="preserve">Questa differenza è senz’altro legata, almeno in parte, alle difficoltà riscontrabili nella vita condominiale. Infatti, nonostante nel 47% dei casi il tema delle nuove installazioni non sia mai arrivato in assemblea, tra le ragioni per le mancate implementazioni risalta anche, </w:t>
      </w:r>
      <w:r w:rsidRPr="00E13390">
        <w:rPr>
          <w:rFonts w:ascii="Arial" w:hAnsi="Arial" w:cs="Arial"/>
          <w:b/>
          <w:bCs/>
          <w:noProof/>
          <w:sz w:val="24"/>
          <w:szCs w:val="24"/>
        </w:rPr>
        <w:t>al 44%, il non aver trovato un accordo con tutti i condomini.</w:t>
      </w:r>
      <w:r w:rsidRPr="00E13390">
        <w:rPr>
          <w:rFonts w:ascii="Arial" w:hAnsi="Arial" w:cs="Arial"/>
          <w:noProof/>
          <w:sz w:val="24"/>
          <w:szCs w:val="24"/>
        </w:rPr>
        <w:t xml:space="preserve"> Poco sotto al 10%, invece, il mancato ottenimento dei finanziamenti richiesti dal condominio.</w:t>
      </w:r>
    </w:p>
    <w:p w14:paraId="04B4D545" w14:textId="77777777" w:rsidR="005A1A55" w:rsidRPr="005A1A55" w:rsidRDefault="005A1A55" w:rsidP="005A1A55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5A1A55">
        <w:rPr>
          <w:rFonts w:ascii="Arial" w:hAnsi="Arial" w:cs="Arial"/>
          <w:noProof/>
          <w:sz w:val="24"/>
          <w:szCs w:val="24"/>
        </w:rPr>
        <w:t xml:space="preserve">In merito alle altre tipologie di lavori in casa effettuabili per migliorare l’efficienza energetica, a livello di popolarità si colloca al primo posto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l’installazione di una nuova caldaia e/o condizionatore ad elevata efficienza</w:t>
      </w:r>
      <w:r w:rsidRPr="005A1A55">
        <w:rPr>
          <w:rFonts w:ascii="Arial" w:hAnsi="Arial" w:cs="Arial"/>
          <w:noProof/>
          <w:sz w:val="24"/>
          <w:szCs w:val="24"/>
        </w:rPr>
        <w:t xml:space="preserve">: quasi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i tre quarti dei rispondenti</w:t>
      </w:r>
      <w:r w:rsidRPr="005A1A55">
        <w:rPr>
          <w:rFonts w:ascii="Arial" w:hAnsi="Arial" w:cs="Arial"/>
          <w:noProof/>
          <w:sz w:val="24"/>
          <w:szCs w:val="24"/>
        </w:rPr>
        <w:t xml:space="preserve"> ha agito o agirà in merito. Al secondo posto gli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infissi</w:t>
      </w:r>
      <w:r w:rsidRPr="005A1A55">
        <w:rPr>
          <w:rFonts w:ascii="Arial" w:hAnsi="Arial" w:cs="Arial"/>
          <w:noProof/>
          <w:sz w:val="24"/>
          <w:szCs w:val="24"/>
        </w:rPr>
        <w:t xml:space="preserve">, con il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62%</w:t>
      </w:r>
      <w:r w:rsidRPr="005A1A55">
        <w:rPr>
          <w:rFonts w:ascii="Arial" w:hAnsi="Arial" w:cs="Arial"/>
          <w:noProof/>
          <w:sz w:val="24"/>
          <w:szCs w:val="24"/>
        </w:rPr>
        <w:t xml:space="preserve"> che li ha indicati come miglioramento necessario. Ricordiamo che questi elementi sono spesso determinanti perché un’abitazione in classe G o F possa passare alla E.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Poco più della metà</w:t>
      </w:r>
      <w:r w:rsidRPr="005A1A55">
        <w:rPr>
          <w:rFonts w:ascii="Arial" w:hAnsi="Arial" w:cs="Arial"/>
          <w:noProof/>
          <w:sz w:val="24"/>
          <w:szCs w:val="24"/>
        </w:rPr>
        <w:t xml:space="preserve">, inoltre, ha installato o installerà a breve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nuovi elettrodomestici in classe A o superiore</w:t>
      </w:r>
      <w:r w:rsidRPr="005A1A55">
        <w:rPr>
          <w:rFonts w:ascii="Arial" w:hAnsi="Arial" w:cs="Arial"/>
          <w:noProof/>
          <w:sz w:val="24"/>
          <w:szCs w:val="24"/>
        </w:rPr>
        <w:t>.</w:t>
      </w:r>
    </w:p>
    <w:p w14:paraId="73ED8836" w14:textId="77777777" w:rsidR="005A1A55" w:rsidRDefault="005A1A55" w:rsidP="005A1A55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5A1A55">
        <w:rPr>
          <w:rFonts w:ascii="Arial" w:hAnsi="Arial" w:cs="Arial"/>
          <w:noProof/>
          <w:sz w:val="24"/>
          <w:szCs w:val="24"/>
        </w:rPr>
        <w:t xml:space="preserve">Da evidenziare poi come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 xml:space="preserve">poco meno del 30% del totale dei rispondenti ha risposto di aver già effettuato o di aver in programma a breve tutti e tre gli interventi </w:t>
      </w:r>
      <w:r w:rsidRPr="005A1A55">
        <w:rPr>
          <w:rFonts w:ascii="Arial" w:hAnsi="Arial" w:cs="Arial"/>
          <w:noProof/>
          <w:sz w:val="24"/>
          <w:szCs w:val="24"/>
        </w:rPr>
        <w:t xml:space="preserve">precedentemente menzionati. </w:t>
      </w:r>
    </w:p>
    <w:p w14:paraId="2637017D" w14:textId="0E8071EE" w:rsidR="005169FE" w:rsidRPr="00E13390" w:rsidRDefault="005A1A55" w:rsidP="005A1A55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«</w:t>
      </w:r>
      <w:r w:rsidR="005169FE" w:rsidRPr="009815E9">
        <w:rPr>
          <w:rFonts w:ascii="Arial" w:hAnsi="Arial" w:cs="Arial"/>
          <w:i/>
          <w:iCs/>
          <w:noProof/>
          <w:sz w:val="24"/>
          <w:szCs w:val="24"/>
        </w:rPr>
        <w:t>L</w:t>
      </w:r>
      <w:r w:rsidR="00AA71F7" w:rsidRPr="009815E9">
        <w:rPr>
          <w:rFonts w:ascii="Arial" w:hAnsi="Arial" w:cs="Arial"/>
          <w:i/>
          <w:iCs/>
          <w:noProof/>
          <w:sz w:val="24"/>
          <w:szCs w:val="24"/>
        </w:rPr>
        <w:t xml:space="preserve">a nuova </w:t>
      </w:r>
      <w:r w:rsidR="005169FE" w:rsidRPr="009815E9">
        <w:rPr>
          <w:rFonts w:ascii="Arial" w:hAnsi="Arial" w:cs="Arial"/>
          <w:i/>
          <w:iCs/>
          <w:noProof/>
          <w:sz w:val="24"/>
          <w:szCs w:val="24"/>
        </w:rPr>
        <w:t xml:space="preserve">attenzione </w:t>
      </w:r>
      <w:r w:rsidRPr="009815E9">
        <w:rPr>
          <w:rFonts w:ascii="Arial" w:hAnsi="Arial" w:cs="Arial"/>
          <w:i/>
          <w:iCs/>
          <w:noProof/>
          <w:sz w:val="24"/>
          <w:szCs w:val="24"/>
        </w:rPr>
        <w:t>verso i</w:t>
      </w:r>
      <w:r w:rsidR="005169FE" w:rsidRPr="009815E9">
        <w:rPr>
          <w:rFonts w:ascii="Arial" w:hAnsi="Arial" w:cs="Arial"/>
          <w:i/>
          <w:iCs/>
          <w:noProof/>
          <w:sz w:val="24"/>
          <w:szCs w:val="24"/>
        </w:rPr>
        <w:t xml:space="preserve"> temi energetici delle nostre abitazioni</w:t>
      </w:r>
      <w:r w:rsidR="00AA71F7" w:rsidRPr="009815E9">
        <w:rPr>
          <w:rFonts w:ascii="Arial" w:hAnsi="Arial" w:cs="Arial"/>
          <w:i/>
          <w:iCs/>
          <w:noProof/>
          <w:sz w:val="24"/>
          <w:szCs w:val="24"/>
        </w:rPr>
        <w:t xml:space="preserve"> va letta positivamente ed </w:t>
      </w:r>
      <w:r w:rsidRPr="009815E9">
        <w:rPr>
          <w:rFonts w:ascii="Arial" w:hAnsi="Arial" w:cs="Arial"/>
          <w:i/>
          <w:iCs/>
          <w:noProof/>
          <w:sz w:val="24"/>
          <w:szCs w:val="24"/>
        </w:rPr>
        <w:t xml:space="preserve">è certamente </w:t>
      </w:r>
      <w:r w:rsidR="00AA71F7" w:rsidRPr="009815E9">
        <w:rPr>
          <w:rFonts w:ascii="Arial" w:hAnsi="Arial" w:cs="Arial"/>
          <w:i/>
          <w:iCs/>
          <w:noProof/>
          <w:sz w:val="24"/>
          <w:szCs w:val="24"/>
        </w:rPr>
        <w:t>in linea con la direzione di raggiungere la neutralità climatica in Europa entro il 2050</w:t>
      </w:r>
      <w:r>
        <w:rPr>
          <w:rFonts w:ascii="Arial" w:hAnsi="Arial" w:cs="Arial"/>
          <w:noProof/>
          <w:sz w:val="24"/>
          <w:szCs w:val="24"/>
        </w:rPr>
        <w:t xml:space="preserve"> – </w:t>
      </w:r>
      <w:r w:rsidR="009861FA">
        <w:rPr>
          <w:rFonts w:ascii="Arial" w:hAnsi="Arial" w:cs="Arial"/>
          <w:noProof/>
          <w:sz w:val="24"/>
          <w:szCs w:val="24"/>
        </w:rPr>
        <w:t>dice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A1A55">
        <w:rPr>
          <w:rFonts w:ascii="Arial" w:hAnsi="Arial" w:cs="Arial"/>
          <w:b/>
          <w:bCs/>
          <w:noProof/>
          <w:sz w:val="24"/>
          <w:szCs w:val="24"/>
        </w:rPr>
        <w:t>Carlo Giordano, Board Member di Immobiliare.it</w:t>
      </w:r>
      <w:r>
        <w:rPr>
          <w:rFonts w:ascii="Arial" w:hAnsi="Arial" w:cs="Arial"/>
          <w:noProof/>
          <w:sz w:val="24"/>
          <w:szCs w:val="24"/>
        </w:rPr>
        <w:t xml:space="preserve"> – </w:t>
      </w:r>
      <w:r w:rsidR="009861FA" w:rsidRPr="009815E9">
        <w:rPr>
          <w:rFonts w:ascii="Arial" w:hAnsi="Arial" w:cs="Arial"/>
          <w:i/>
          <w:iCs/>
          <w:noProof/>
          <w:sz w:val="24"/>
          <w:szCs w:val="24"/>
        </w:rPr>
        <w:t xml:space="preserve">Ci sarà bisogno però della massima attenzione da parte della classe politica del Paese per evitare situazioni di povertà energetica, ovvero la sovrapposizione di redditi bassi, costo energetico crescente, e forte riduzione del valore degli immobili </w:t>
      </w:r>
      <w:r w:rsidR="009815E9">
        <w:rPr>
          <w:rFonts w:ascii="Arial" w:hAnsi="Arial" w:cs="Arial"/>
          <w:i/>
          <w:iCs/>
          <w:noProof/>
          <w:sz w:val="24"/>
          <w:szCs w:val="24"/>
        </w:rPr>
        <w:t>energivori</w:t>
      </w:r>
      <w:r>
        <w:rPr>
          <w:rFonts w:ascii="Arial" w:hAnsi="Arial" w:cs="Arial"/>
          <w:noProof/>
          <w:sz w:val="24"/>
          <w:szCs w:val="24"/>
        </w:rPr>
        <w:t>»</w:t>
      </w:r>
      <w:r w:rsidR="003C35DD" w:rsidRPr="00E13390">
        <w:rPr>
          <w:rFonts w:ascii="Arial" w:hAnsi="Arial" w:cs="Arial"/>
          <w:noProof/>
          <w:sz w:val="24"/>
          <w:szCs w:val="24"/>
        </w:rPr>
        <w:t>.</w:t>
      </w:r>
    </w:p>
    <w:p w14:paraId="29B989E9" w14:textId="77777777" w:rsidR="003C35DD" w:rsidRPr="00AA71F7" w:rsidRDefault="003C35DD" w:rsidP="006A548E">
      <w:pPr>
        <w:spacing w:line="276" w:lineRule="auto"/>
        <w:jc w:val="both"/>
        <w:rPr>
          <w:rFonts w:ascii="Arial" w:hAnsi="Arial" w:cs="Arial"/>
          <w:noProof/>
        </w:rPr>
      </w:pPr>
    </w:p>
    <w:p w14:paraId="51D9E2BA" w14:textId="77777777" w:rsidR="007176F5" w:rsidRDefault="007176F5" w:rsidP="009A262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ar-SA"/>
        </w:rPr>
      </w:pPr>
    </w:p>
    <w:p w14:paraId="35A78DDB" w14:textId="66B53C5E" w:rsidR="009A2626" w:rsidRPr="00E13390" w:rsidRDefault="009A2626" w:rsidP="009A262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E13390"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77F9E957" w14:textId="77777777" w:rsidR="009A2626" w:rsidRPr="00E13390" w:rsidRDefault="009A2626" w:rsidP="009A2626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E13390"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4979A631" w14:textId="6A2087CC" w:rsidR="009A2626" w:rsidRPr="00E13390" w:rsidRDefault="009A2626" w:rsidP="009A2626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 w:rsidRPr="00E13390"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 w:rsidRPr="00E13390"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AE97BBE" w14:textId="77777777" w:rsidR="009A2626" w:rsidRPr="00E13390" w:rsidRDefault="00A4065E" w:rsidP="009A2626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9A2626" w:rsidRPr="00E13390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9A2626" w:rsidRPr="00E13390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3B4EBCE0" w14:textId="77777777" w:rsidR="009A2626" w:rsidRPr="00E13390" w:rsidRDefault="009A2626" w:rsidP="009A2626">
      <w:pPr>
        <w:rPr>
          <w:rFonts w:ascii="Arial" w:hAnsi="Arial" w:cs="Arial"/>
          <w:noProof/>
        </w:rPr>
      </w:pPr>
    </w:p>
    <w:sectPr w:rsidR="009A2626" w:rsidRPr="00E1339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FB2E" w14:textId="77777777" w:rsidR="00BD02FD" w:rsidRDefault="00BD02FD" w:rsidP="00C77FFE">
      <w:pPr>
        <w:spacing w:after="0" w:line="240" w:lineRule="auto"/>
      </w:pPr>
      <w:r>
        <w:separator/>
      </w:r>
    </w:p>
  </w:endnote>
  <w:endnote w:type="continuationSeparator" w:id="0">
    <w:p w14:paraId="71D5692D" w14:textId="77777777" w:rsidR="00BD02FD" w:rsidRDefault="00BD02FD" w:rsidP="00C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34BD" w14:textId="77777777" w:rsidR="00BD02FD" w:rsidRDefault="00BD02FD" w:rsidP="00C77FFE">
      <w:pPr>
        <w:spacing w:after="0" w:line="240" w:lineRule="auto"/>
      </w:pPr>
      <w:r>
        <w:separator/>
      </w:r>
    </w:p>
  </w:footnote>
  <w:footnote w:type="continuationSeparator" w:id="0">
    <w:p w14:paraId="72765B38" w14:textId="77777777" w:rsidR="00BD02FD" w:rsidRDefault="00BD02FD" w:rsidP="00C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F198" w14:textId="02C0A108" w:rsidR="00C77FFE" w:rsidRDefault="00C77FFE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69146AA3" wp14:editId="4F4BDE2F">
          <wp:extent cx="26860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8EE" w14:textId="77777777" w:rsidR="002F334C" w:rsidRDefault="002F334C">
    <w:pPr>
      <w:pStyle w:val="Intestazione"/>
    </w:pPr>
  </w:p>
  <w:p w14:paraId="21055330" w14:textId="77777777" w:rsidR="00C77FFE" w:rsidRDefault="00C77F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E"/>
    <w:rsid w:val="000550E4"/>
    <w:rsid w:val="0006608C"/>
    <w:rsid w:val="0009394F"/>
    <w:rsid w:val="001A142A"/>
    <w:rsid w:val="001D7CBC"/>
    <w:rsid w:val="001F23FB"/>
    <w:rsid w:val="0025302E"/>
    <w:rsid w:val="0025561B"/>
    <w:rsid w:val="002F334C"/>
    <w:rsid w:val="002F49E6"/>
    <w:rsid w:val="003A2418"/>
    <w:rsid w:val="003A795B"/>
    <w:rsid w:val="003C35DD"/>
    <w:rsid w:val="003D7879"/>
    <w:rsid w:val="00404506"/>
    <w:rsid w:val="00472855"/>
    <w:rsid w:val="004C2063"/>
    <w:rsid w:val="004F1EF0"/>
    <w:rsid w:val="005169FE"/>
    <w:rsid w:val="005233ED"/>
    <w:rsid w:val="00550453"/>
    <w:rsid w:val="00551BCC"/>
    <w:rsid w:val="00592262"/>
    <w:rsid w:val="005A1A55"/>
    <w:rsid w:val="005C7452"/>
    <w:rsid w:val="006A548E"/>
    <w:rsid w:val="007176F5"/>
    <w:rsid w:val="00731E72"/>
    <w:rsid w:val="00766B7A"/>
    <w:rsid w:val="00767FC8"/>
    <w:rsid w:val="007B43AE"/>
    <w:rsid w:val="00923C00"/>
    <w:rsid w:val="009815E9"/>
    <w:rsid w:val="009861FA"/>
    <w:rsid w:val="009A2626"/>
    <w:rsid w:val="009D3F01"/>
    <w:rsid w:val="00A4065E"/>
    <w:rsid w:val="00AA71F7"/>
    <w:rsid w:val="00AE43C5"/>
    <w:rsid w:val="00B0532E"/>
    <w:rsid w:val="00BD02FD"/>
    <w:rsid w:val="00C6271F"/>
    <w:rsid w:val="00C73C11"/>
    <w:rsid w:val="00C77FFE"/>
    <w:rsid w:val="00CB229F"/>
    <w:rsid w:val="00D10A06"/>
    <w:rsid w:val="00D31CAE"/>
    <w:rsid w:val="00DD70D4"/>
    <w:rsid w:val="00E13390"/>
    <w:rsid w:val="00E14C1E"/>
    <w:rsid w:val="00E20D55"/>
    <w:rsid w:val="00E83A11"/>
    <w:rsid w:val="00E91BEF"/>
    <w:rsid w:val="00E947D7"/>
    <w:rsid w:val="00EC7493"/>
    <w:rsid w:val="00EE3322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55B5"/>
  <w15:chartTrackingRefBased/>
  <w15:docId w15:val="{06B033AA-3CF7-47A1-A878-9F4D4DB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FFE"/>
  </w:style>
  <w:style w:type="paragraph" w:styleId="Pidipagina">
    <w:name w:val="footer"/>
    <w:basedOn w:val="Normale"/>
    <w:link w:val="PidipaginaCarattere"/>
    <w:uiPriority w:val="99"/>
    <w:unhideWhenUsed/>
    <w:rsid w:val="00C7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FFE"/>
  </w:style>
  <w:style w:type="character" w:styleId="Collegamentoipertestuale">
    <w:name w:val="Hyperlink"/>
    <w:basedOn w:val="Carpredefinitoparagrafo"/>
    <w:uiPriority w:val="99"/>
    <w:unhideWhenUsed/>
    <w:rsid w:val="000660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0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08C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504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04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04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4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045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D7C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1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8AC6-3F0E-4F21-B420-C44781CA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10</cp:revision>
  <dcterms:created xsi:type="dcterms:W3CDTF">2023-02-21T13:22:00Z</dcterms:created>
  <dcterms:modified xsi:type="dcterms:W3CDTF">2023-02-22T08:19:00Z</dcterms:modified>
</cp:coreProperties>
</file>