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4AAC" w14:textId="2AB3F65C" w:rsidR="00CE36FF" w:rsidRPr="00910E8E" w:rsidRDefault="00CD34A4">
      <w:pPr>
        <w:rPr>
          <w:b/>
          <w:bCs/>
          <w:sz w:val="24"/>
          <w:szCs w:val="24"/>
        </w:rPr>
      </w:pPr>
      <w:r w:rsidRPr="00910E8E">
        <w:rPr>
          <w:b/>
          <w:bCs/>
          <w:sz w:val="24"/>
          <w:szCs w:val="24"/>
        </w:rPr>
        <w:t xml:space="preserve">Amchor IS – </w:t>
      </w:r>
      <w:bookmarkStart w:id="0" w:name="_Hlk129011070"/>
      <w:r w:rsidR="00F51186">
        <w:rPr>
          <w:b/>
          <w:bCs/>
          <w:sz w:val="24"/>
          <w:szCs w:val="24"/>
        </w:rPr>
        <w:t>L’inflazione è ormai in fase di moderazione?</w:t>
      </w:r>
      <w:bookmarkEnd w:id="0"/>
    </w:p>
    <w:p w14:paraId="166BBC3C" w14:textId="77777777" w:rsidR="00DB231D" w:rsidRPr="00910E8E" w:rsidRDefault="00DB231D" w:rsidP="00DB231D">
      <w:r w:rsidRPr="00910E8E">
        <w:t xml:space="preserve">A cura di </w:t>
      </w:r>
      <w:r w:rsidRPr="00910E8E">
        <w:rPr>
          <w:b/>
          <w:bCs/>
        </w:rPr>
        <w:t xml:space="preserve">Alvaro </w:t>
      </w:r>
      <w:proofErr w:type="spellStart"/>
      <w:r w:rsidRPr="00910E8E">
        <w:rPr>
          <w:b/>
          <w:bCs/>
        </w:rPr>
        <w:t>Sanmartin</w:t>
      </w:r>
      <w:proofErr w:type="spellEnd"/>
      <w:r w:rsidRPr="00910E8E">
        <w:rPr>
          <w:b/>
          <w:bCs/>
        </w:rPr>
        <w:t xml:space="preserve">, </w:t>
      </w:r>
      <w:proofErr w:type="spellStart"/>
      <w:r w:rsidRPr="00910E8E">
        <w:rPr>
          <w:b/>
          <w:bCs/>
        </w:rPr>
        <w:t>Chief</w:t>
      </w:r>
      <w:proofErr w:type="spellEnd"/>
      <w:r w:rsidRPr="00910E8E">
        <w:rPr>
          <w:b/>
          <w:bCs/>
        </w:rPr>
        <w:t xml:space="preserve"> Economist, Amchor</w:t>
      </w:r>
    </w:p>
    <w:p w14:paraId="7E6739D3" w14:textId="31736E0E" w:rsidR="00DB231D" w:rsidRPr="00910E8E" w:rsidRDefault="006E0F34" w:rsidP="006E0F34">
      <w:r w:rsidRPr="00910E8E">
        <w:t>Se consider</w:t>
      </w:r>
      <w:r w:rsidR="00682E15" w:rsidRPr="00910E8E">
        <w:t>assimo</w:t>
      </w:r>
      <w:r w:rsidRPr="00910E8E">
        <w:t xml:space="preserve"> esclusivamente i dati sull'attività e sui prezzi negli Stati Uniti per il mese di gennaio e li proiett</w:t>
      </w:r>
      <w:r w:rsidR="00682E15" w:rsidRPr="00910E8E">
        <w:t>assimo</w:t>
      </w:r>
      <w:r w:rsidRPr="00910E8E">
        <w:t xml:space="preserve"> </w:t>
      </w:r>
      <w:r w:rsidR="00743857" w:rsidRPr="00910E8E">
        <w:t>sui mesi a venire</w:t>
      </w:r>
      <w:r w:rsidRPr="00910E8E">
        <w:t xml:space="preserve"> </w:t>
      </w:r>
      <w:r w:rsidR="00682E15" w:rsidRPr="00910E8E">
        <w:t>concluderemmo che</w:t>
      </w:r>
      <w:r w:rsidRPr="00910E8E">
        <w:t xml:space="preserve"> l'economia statunitense </w:t>
      </w:r>
      <w:r w:rsidR="00682E15" w:rsidRPr="00910E8E">
        <w:t>abba</w:t>
      </w:r>
      <w:r w:rsidRPr="00910E8E">
        <w:t xml:space="preserve"> iniziato un processo di </w:t>
      </w:r>
      <w:proofErr w:type="spellStart"/>
      <w:r w:rsidRPr="00910E8E">
        <w:t>riaccelerazione</w:t>
      </w:r>
      <w:proofErr w:type="spellEnd"/>
      <w:r w:rsidRPr="00910E8E">
        <w:t xml:space="preserve"> che renderà difficile contenere le pressioni inflazionistiche senza un intervento molto aggressivo</w:t>
      </w:r>
      <w:r w:rsidR="00682E15" w:rsidRPr="00910E8E">
        <w:t xml:space="preserve"> </w:t>
      </w:r>
      <w:r w:rsidRPr="00910E8E">
        <w:t>da parte della Fed.</w:t>
      </w:r>
    </w:p>
    <w:p w14:paraId="1C8D5408" w14:textId="02D5D8EE" w:rsidR="006E0F34" w:rsidRPr="00910E8E" w:rsidRDefault="006E0F34" w:rsidP="00853E99">
      <w:r w:rsidRPr="00DF4782">
        <w:rPr>
          <w:b/>
          <w:bCs/>
        </w:rPr>
        <w:t>Riteniamo</w:t>
      </w:r>
      <w:r w:rsidR="005051A1" w:rsidRPr="00910E8E">
        <w:t>,</w:t>
      </w:r>
      <w:r w:rsidRPr="00910E8E">
        <w:t xml:space="preserve"> tuttavia</w:t>
      </w:r>
      <w:r w:rsidR="005051A1" w:rsidRPr="00DF4782">
        <w:rPr>
          <w:b/>
          <w:bCs/>
        </w:rPr>
        <w:t>,</w:t>
      </w:r>
      <w:r w:rsidRPr="00DF4782">
        <w:rPr>
          <w:b/>
          <w:bCs/>
        </w:rPr>
        <w:t xml:space="preserve"> che ciò che si è visto negli Stati Uniti durante il primo mese dell'anno possa essere di natura transitoria</w:t>
      </w:r>
      <w:r w:rsidRPr="00910E8E">
        <w:t>. In primo luogo, perché i cambiamenti nei modelli stagionali sulla scia della pandemia potrebbero aver distorto verso l'alto i dati sull'attività e sui prezzi negli Stati Uniti. In secondo luogo, perché le temperature più alte del normale all'inizio dell'anno possono aver favorito temporaneamente alcuni segmenti del settore dei servizi, come la ristorazione.</w:t>
      </w:r>
      <w:r w:rsidR="00853E99" w:rsidRPr="00910E8E">
        <w:t xml:space="preserve"> </w:t>
      </w:r>
      <w:r w:rsidR="00117BED" w:rsidRPr="00910E8E">
        <w:t xml:space="preserve">Terzo, </w:t>
      </w:r>
      <w:r w:rsidR="00853E99" w:rsidRPr="00910E8E">
        <w:t>e più importante, perché è possibile che la forza mostrata dall'economia statunitense nelle prime settimane del 2023 sia dovuta anche all'allentamento (ora invertito) delle condizioni finanziarie verificatosi tra i mesi di novembre e gennaio</w:t>
      </w:r>
      <w:r w:rsidR="0086717E" w:rsidRPr="00910E8E">
        <w:t>.</w:t>
      </w:r>
      <w:r w:rsidR="00853E99" w:rsidRPr="00910E8E">
        <w:t xml:space="preserve"> Cosa </w:t>
      </w:r>
      <w:r w:rsidR="0086717E" w:rsidRPr="00910E8E">
        <w:t>dobbiamo aspettarci</w:t>
      </w:r>
      <w:r w:rsidR="00853E99" w:rsidRPr="00910E8E">
        <w:t xml:space="preserve"> quindi per gli Stati Uniti nei prossimi mesi?</w:t>
      </w:r>
    </w:p>
    <w:p w14:paraId="4288D6CF" w14:textId="04DDFC2E" w:rsidR="00853E99" w:rsidRPr="00910E8E" w:rsidRDefault="005051A1" w:rsidP="00853E99">
      <w:r w:rsidRPr="00DF4782">
        <w:rPr>
          <w:b/>
          <w:bCs/>
        </w:rPr>
        <w:t>Se</w:t>
      </w:r>
      <w:r w:rsidR="00853E99" w:rsidRPr="00DF4782">
        <w:rPr>
          <w:b/>
          <w:bCs/>
        </w:rPr>
        <w:t xml:space="preserve"> le condizioni finanziarie </w:t>
      </w:r>
      <w:r w:rsidRPr="00DF4782">
        <w:rPr>
          <w:b/>
          <w:bCs/>
        </w:rPr>
        <w:t xml:space="preserve">rimarranno </w:t>
      </w:r>
      <w:r w:rsidR="00853E99" w:rsidRPr="00DF4782">
        <w:rPr>
          <w:b/>
          <w:bCs/>
        </w:rPr>
        <w:t xml:space="preserve">su livelli simili a quelli attuali, la cosa più probabile </w:t>
      </w:r>
      <w:proofErr w:type="gramStart"/>
      <w:r w:rsidR="00853E99" w:rsidRPr="00DF4782">
        <w:rPr>
          <w:b/>
          <w:bCs/>
        </w:rPr>
        <w:t>è</w:t>
      </w:r>
      <w:proofErr w:type="gramEnd"/>
      <w:r w:rsidR="00853E99" w:rsidRPr="00DF4782">
        <w:rPr>
          <w:b/>
          <w:bCs/>
        </w:rPr>
        <w:t xml:space="preserve"> che l'economia </w:t>
      </w:r>
      <w:r w:rsidR="00924B57" w:rsidRPr="00DF4782">
        <w:rPr>
          <w:b/>
          <w:bCs/>
        </w:rPr>
        <w:t>a</w:t>
      </w:r>
      <w:r w:rsidR="00853E99" w:rsidRPr="00DF4782">
        <w:rPr>
          <w:b/>
          <w:bCs/>
        </w:rPr>
        <w:t>mericana riprenda il percorso di un atterraggio morbido</w:t>
      </w:r>
      <w:r w:rsidR="00853E99" w:rsidRPr="00910E8E">
        <w:t xml:space="preserve"> che sembrava </w:t>
      </w:r>
      <w:r w:rsidRPr="00910E8E">
        <w:t xml:space="preserve">iniziato </w:t>
      </w:r>
      <w:r w:rsidR="00853E99" w:rsidRPr="00910E8E">
        <w:t xml:space="preserve">nell'ultima parte del 2022, con una crescita economica al di sotto del potenziale (ma senza recessione) e con pressioni su salari e prezzi progressivamente </w:t>
      </w:r>
      <w:r w:rsidR="00682E15" w:rsidRPr="00910E8E">
        <w:t>in diminuzione</w:t>
      </w:r>
      <w:r w:rsidR="00853E99" w:rsidRPr="00910E8E">
        <w:t>.</w:t>
      </w:r>
    </w:p>
    <w:p w14:paraId="68705552" w14:textId="137512F9" w:rsidR="00924B57" w:rsidRPr="00910E8E" w:rsidRDefault="00924B57" w:rsidP="00924B57">
      <w:r w:rsidRPr="00DF4782">
        <w:rPr>
          <w:b/>
          <w:bCs/>
        </w:rPr>
        <w:t>Nel caso dell'Eurozona, ci aspettiamo qualcosa di simile: nella misura in cui le condizioni finanziarie rimang</w:t>
      </w:r>
      <w:r w:rsidR="005051A1" w:rsidRPr="00DF4782">
        <w:rPr>
          <w:b/>
          <w:bCs/>
        </w:rPr>
        <w:t>a</w:t>
      </w:r>
      <w:r w:rsidRPr="00DF4782">
        <w:rPr>
          <w:b/>
          <w:bCs/>
        </w:rPr>
        <w:t>no in un territorio ragionevolmente ristretto</w:t>
      </w:r>
      <w:r w:rsidRPr="00910E8E">
        <w:t xml:space="preserve"> (e </w:t>
      </w:r>
      <w:r w:rsidR="005051A1" w:rsidRPr="00910E8E">
        <w:t xml:space="preserve">il rendimento di </w:t>
      </w:r>
      <w:r w:rsidRPr="00910E8E">
        <w:t xml:space="preserve">un </w:t>
      </w:r>
      <w:r w:rsidR="005051A1" w:rsidRPr="00910E8E">
        <w:t xml:space="preserve">bund </w:t>
      </w:r>
      <w:r w:rsidRPr="00910E8E">
        <w:t xml:space="preserve">tedesco </w:t>
      </w:r>
      <w:r w:rsidR="005051A1" w:rsidRPr="00910E8E">
        <w:t xml:space="preserve">a 10 anni </w:t>
      </w:r>
      <w:r w:rsidRPr="00910E8E">
        <w:t>sopra il 2,5/2,7% sembra compatibile con questo</w:t>
      </w:r>
      <w:r w:rsidR="005051A1" w:rsidRPr="00910E8E">
        <w:t xml:space="preserve"> scenario</w:t>
      </w:r>
      <w:r w:rsidRPr="00910E8E">
        <w:t xml:space="preserve">), </w:t>
      </w:r>
      <w:r w:rsidRPr="00DF4782">
        <w:rPr>
          <w:b/>
          <w:bCs/>
        </w:rPr>
        <w:t xml:space="preserve">crediamo che, forse da </w:t>
      </w:r>
      <w:r w:rsidR="00682E15" w:rsidRPr="00DF4782">
        <w:rPr>
          <w:b/>
          <w:bCs/>
        </w:rPr>
        <w:t>m</w:t>
      </w:r>
      <w:r w:rsidRPr="00DF4782">
        <w:rPr>
          <w:b/>
          <w:bCs/>
        </w:rPr>
        <w:t>arzo/aprile, l'inflazione core inizierà un percorso di progressiva moderazione</w:t>
      </w:r>
      <w:r w:rsidRPr="00910E8E">
        <w:t xml:space="preserve">, con la crescita economica che in tutto il 2023 </w:t>
      </w:r>
      <w:r w:rsidR="00682E15" w:rsidRPr="00910E8E">
        <w:t xml:space="preserve">probabilmente </w:t>
      </w:r>
      <w:r w:rsidRPr="00910E8E">
        <w:t>sarà breve</w:t>
      </w:r>
      <w:r w:rsidR="005051A1" w:rsidRPr="00910E8E">
        <w:t>,</w:t>
      </w:r>
      <w:r w:rsidRPr="00910E8E">
        <w:t xml:space="preserve"> ma positiva.</w:t>
      </w:r>
    </w:p>
    <w:p w14:paraId="0B1AC683" w14:textId="0845C13F" w:rsidR="00975A3D" w:rsidRPr="00910E8E" w:rsidRDefault="00C10AE0" w:rsidP="00975A3D">
      <w:r w:rsidRPr="00DF4782">
        <w:rPr>
          <w:b/>
          <w:bCs/>
        </w:rPr>
        <w:t xml:space="preserve">Negli Stati Uniti, </w:t>
      </w:r>
      <w:r w:rsidR="00975A3D" w:rsidRPr="00DF4782">
        <w:rPr>
          <w:b/>
          <w:bCs/>
        </w:rPr>
        <w:t>da febbraio/marzo si nota una certa moderazione dell’attività economica</w:t>
      </w:r>
      <w:r w:rsidR="004B36A1">
        <w:t>, data</w:t>
      </w:r>
      <w:r w:rsidR="00975A3D" w:rsidRPr="00910E8E">
        <w:t xml:space="preserve"> da richieste di mutuo per l'acquisto della casa </w:t>
      </w:r>
      <w:r w:rsidR="00910E8E">
        <w:t xml:space="preserve">che, </w:t>
      </w:r>
      <w:r w:rsidR="00975A3D" w:rsidRPr="00910E8E">
        <w:t>nelle ultime due settimane</w:t>
      </w:r>
      <w:r w:rsidR="00910E8E">
        <w:t>,</w:t>
      </w:r>
      <w:r w:rsidR="00975A3D" w:rsidRPr="00910E8E">
        <w:t xml:space="preserve"> starebbe</w:t>
      </w:r>
      <w:r w:rsidR="005051A1" w:rsidRPr="00910E8E">
        <w:t>ro</w:t>
      </w:r>
      <w:r w:rsidR="00975A3D" w:rsidRPr="00910E8E">
        <w:t xml:space="preserve"> mostrando </w:t>
      </w:r>
      <w:r w:rsidR="00861297" w:rsidRPr="00910E8E">
        <w:t>come il</w:t>
      </w:r>
      <w:r w:rsidR="00975A3D" w:rsidRPr="00910E8E">
        <w:t xml:space="preserve"> settore immobiliare sia di nuovo teso a livello finanziario.</w:t>
      </w:r>
      <w:r w:rsidR="00910E8E">
        <w:t xml:space="preserve"> Per questo</w:t>
      </w:r>
      <w:r w:rsidR="00975A3D" w:rsidRPr="00910E8E">
        <w:t>, continuiamo a pensare che</w:t>
      </w:r>
      <w:r w:rsidR="005051A1" w:rsidRPr="00910E8E">
        <w:t xml:space="preserve">, </w:t>
      </w:r>
      <w:r w:rsidR="00975A3D" w:rsidRPr="00DF4782">
        <w:rPr>
          <w:b/>
          <w:bCs/>
        </w:rPr>
        <w:t>nella misura in cui la curva dei tassi di interesse si mantenga su livelli simili a quelli di fine febbraio</w:t>
      </w:r>
      <w:r w:rsidR="005051A1" w:rsidRPr="00DF4782">
        <w:rPr>
          <w:b/>
          <w:bCs/>
        </w:rPr>
        <w:t>,</w:t>
      </w:r>
      <w:r w:rsidR="00975A3D" w:rsidRPr="00DF4782">
        <w:rPr>
          <w:b/>
          <w:bCs/>
        </w:rPr>
        <w:t xml:space="preserve"> lo scenario più probabile per l'economia americana sia ancora l’atterraggio soft, con una Fed che alzer</w:t>
      </w:r>
      <w:r w:rsidR="00C93FAF" w:rsidRPr="00DF4782">
        <w:rPr>
          <w:b/>
          <w:bCs/>
        </w:rPr>
        <w:t>à</w:t>
      </w:r>
      <w:r w:rsidR="00975A3D" w:rsidRPr="00DF4782">
        <w:rPr>
          <w:b/>
          <w:bCs/>
        </w:rPr>
        <w:t xml:space="preserve"> i tassi </w:t>
      </w:r>
      <w:r w:rsidR="00C93FAF" w:rsidRPr="00DF4782">
        <w:rPr>
          <w:b/>
          <w:bCs/>
        </w:rPr>
        <w:t xml:space="preserve">ancora </w:t>
      </w:r>
      <w:r w:rsidR="00975A3D" w:rsidRPr="00DF4782">
        <w:rPr>
          <w:b/>
          <w:bCs/>
        </w:rPr>
        <w:t>una o due volte e li manterr</w:t>
      </w:r>
      <w:r w:rsidR="00C93FAF" w:rsidRPr="00DF4782">
        <w:rPr>
          <w:b/>
          <w:bCs/>
        </w:rPr>
        <w:t>à stabili</w:t>
      </w:r>
      <w:r w:rsidR="00975A3D" w:rsidRPr="00DF4782">
        <w:rPr>
          <w:b/>
          <w:bCs/>
        </w:rPr>
        <w:t xml:space="preserve"> finché l'inflazione di fondo </w:t>
      </w:r>
      <w:r w:rsidR="00C93FAF" w:rsidRPr="00DF4782">
        <w:rPr>
          <w:b/>
          <w:bCs/>
        </w:rPr>
        <w:t>non si muoverà verso</w:t>
      </w:r>
      <w:r w:rsidR="00975A3D" w:rsidRPr="00DF4782">
        <w:rPr>
          <w:b/>
          <w:bCs/>
        </w:rPr>
        <w:t xml:space="preserve"> </w:t>
      </w:r>
      <w:r w:rsidR="0006087D" w:rsidRPr="00DF4782">
        <w:rPr>
          <w:b/>
          <w:bCs/>
        </w:rPr>
        <w:t>l’</w:t>
      </w:r>
      <w:r w:rsidR="00975A3D" w:rsidRPr="00DF4782">
        <w:rPr>
          <w:b/>
          <w:bCs/>
        </w:rPr>
        <w:t>obiettivo del 2%</w:t>
      </w:r>
      <w:r w:rsidR="00975A3D" w:rsidRPr="00910E8E">
        <w:t>.</w:t>
      </w:r>
    </w:p>
    <w:p w14:paraId="7651A77C" w14:textId="6607519D" w:rsidR="00FC2A82" w:rsidRPr="00910E8E" w:rsidRDefault="0006087D" w:rsidP="00FC2A82">
      <w:r w:rsidRPr="003971F0">
        <w:rPr>
          <w:b/>
          <w:bCs/>
        </w:rPr>
        <w:t>Nell'Area Euro</w:t>
      </w:r>
      <w:r w:rsidRPr="00910E8E">
        <w:t>, anche per</w:t>
      </w:r>
      <w:r w:rsidR="00653CFC" w:rsidRPr="00910E8E">
        <w:t xml:space="preserve"> il fatto che</w:t>
      </w:r>
      <w:r w:rsidRPr="00910E8E">
        <w:t xml:space="preserve"> la Bce è stata molto </w:t>
      </w:r>
      <w:r w:rsidR="00220B87" w:rsidRPr="00910E8E">
        <w:t>più</w:t>
      </w:r>
      <w:r w:rsidRPr="00910E8E">
        <w:t xml:space="preserve"> lent</w:t>
      </w:r>
      <w:r w:rsidR="00220B87" w:rsidRPr="00910E8E">
        <w:t>a</w:t>
      </w:r>
      <w:r w:rsidRPr="00910E8E">
        <w:t xml:space="preserve"> ed esitante rispetto alla Fed nell'inasprire</w:t>
      </w:r>
      <w:r w:rsidR="00220B87" w:rsidRPr="00910E8E">
        <w:t xml:space="preserve"> la </w:t>
      </w:r>
      <w:r w:rsidRPr="00910E8E">
        <w:t xml:space="preserve">politica monetaria, </w:t>
      </w:r>
      <w:r w:rsidRPr="003971F0">
        <w:rPr>
          <w:b/>
          <w:bCs/>
        </w:rPr>
        <w:t>non c'è ancora alcun segno di moderazione dei prezzi e dei salari</w:t>
      </w:r>
      <w:r w:rsidR="00837368" w:rsidRPr="00910E8E">
        <w:t xml:space="preserve">. </w:t>
      </w:r>
      <w:r w:rsidR="00220B87" w:rsidRPr="00910E8E">
        <w:t xml:space="preserve">Tuttavia, </w:t>
      </w:r>
      <w:r w:rsidR="00220B87" w:rsidRPr="003971F0">
        <w:rPr>
          <w:b/>
          <w:bCs/>
        </w:rPr>
        <w:t>è innegabile che il cambiamento di atteggiamento dalla B</w:t>
      </w:r>
      <w:r w:rsidR="003E2FB9" w:rsidRPr="003971F0">
        <w:rPr>
          <w:b/>
          <w:bCs/>
        </w:rPr>
        <w:t>ce</w:t>
      </w:r>
      <w:r w:rsidR="00220B87" w:rsidRPr="003971F0">
        <w:rPr>
          <w:b/>
          <w:bCs/>
        </w:rPr>
        <w:t xml:space="preserve"> dallo scorso dicembre </w:t>
      </w:r>
      <w:r w:rsidR="00C93FAF" w:rsidRPr="003971F0">
        <w:rPr>
          <w:b/>
          <w:bCs/>
        </w:rPr>
        <w:t>stia inasprendo</w:t>
      </w:r>
      <w:r w:rsidR="00220B87" w:rsidRPr="003971F0">
        <w:rPr>
          <w:b/>
          <w:bCs/>
        </w:rPr>
        <w:t xml:space="preserve"> in modo significativo le condizioni finanziarie </w:t>
      </w:r>
      <w:r w:rsidR="00C93FAF" w:rsidRPr="003971F0">
        <w:rPr>
          <w:b/>
          <w:bCs/>
        </w:rPr>
        <w:t xml:space="preserve">in tutta </w:t>
      </w:r>
      <w:r w:rsidR="00220B87" w:rsidRPr="003971F0">
        <w:rPr>
          <w:b/>
          <w:bCs/>
        </w:rPr>
        <w:t>l'Eurozona</w:t>
      </w:r>
      <w:r w:rsidR="00837368" w:rsidRPr="00910E8E">
        <w:t xml:space="preserve">. </w:t>
      </w:r>
      <w:r w:rsidR="00C93FAF" w:rsidRPr="003971F0">
        <w:rPr>
          <w:b/>
          <w:bCs/>
        </w:rPr>
        <w:t>In prospettiva</w:t>
      </w:r>
      <w:r w:rsidR="00FC2A82" w:rsidRPr="00910E8E">
        <w:t xml:space="preserve">, </w:t>
      </w:r>
      <w:r w:rsidR="00C93FAF" w:rsidRPr="00910E8E">
        <w:t xml:space="preserve">anche se è molto difficile prevederlo con esattezza, </w:t>
      </w:r>
      <w:r w:rsidR="00FC2A82" w:rsidRPr="003971F0">
        <w:rPr>
          <w:b/>
          <w:bCs/>
        </w:rPr>
        <w:t>un tasso terminale intorno al 3,5% per il tasso di deposito ci sembra</w:t>
      </w:r>
      <w:r w:rsidR="00FC2A82" w:rsidRPr="00910E8E">
        <w:t xml:space="preserve">, in linea di principio, </w:t>
      </w:r>
      <w:r w:rsidR="00FC2A82" w:rsidRPr="003971F0">
        <w:rPr>
          <w:b/>
          <w:bCs/>
        </w:rPr>
        <w:t>sufficiente</w:t>
      </w:r>
      <w:r w:rsidR="00910E8E" w:rsidRPr="003971F0">
        <w:rPr>
          <w:b/>
          <w:bCs/>
        </w:rPr>
        <w:t xml:space="preserve"> a</w:t>
      </w:r>
      <w:r w:rsidR="00FC2A82" w:rsidRPr="003971F0">
        <w:rPr>
          <w:b/>
          <w:bCs/>
        </w:rPr>
        <w:t xml:space="preserve"> </w:t>
      </w:r>
      <w:r w:rsidR="00C93FAF" w:rsidRPr="003971F0">
        <w:rPr>
          <w:b/>
          <w:bCs/>
        </w:rPr>
        <w:t xml:space="preserve">garantire che, forse a partire da marzo o aprile, </w:t>
      </w:r>
      <w:r w:rsidR="00FC2A82" w:rsidRPr="003971F0">
        <w:rPr>
          <w:b/>
          <w:bCs/>
        </w:rPr>
        <w:t xml:space="preserve">l'inflazione core </w:t>
      </w:r>
      <w:r w:rsidR="00C93FAF" w:rsidRPr="003971F0">
        <w:rPr>
          <w:b/>
          <w:bCs/>
        </w:rPr>
        <w:t>possa</w:t>
      </w:r>
      <w:r w:rsidR="00FC2A82" w:rsidRPr="003971F0">
        <w:rPr>
          <w:b/>
          <w:bCs/>
        </w:rPr>
        <w:t xml:space="preserve"> iniziare a moderarsi anche da questa parte dell'Atlantico</w:t>
      </w:r>
      <w:r w:rsidR="00FC2A82" w:rsidRPr="00910E8E">
        <w:t>.</w:t>
      </w:r>
      <w:r w:rsidR="00837368" w:rsidRPr="00910E8E">
        <w:t xml:space="preserve"> </w:t>
      </w:r>
      <w:r w:rsidR="00FC2A82" w:rsidRPr="00910E8E">
        <w:t>Per quanto riguarda Cina e Sud-est asiatico</w:t>
      </w:r>
      <w:r w:rsidR="00861297" w:rsidRPr="00910E8E">
        <w:t xml:space="preserve"> </w:t>
      </w:r>
      <w:r w:rsidR="00FC2A82" w:rsidRPr="00910E8E">
        <w:t>rimaniamo ottimisti sul comportamento macro di questa regione per tutto il 2023.</w:t>
      </w:r>
    </w:p>
    <w:p w14:paraId="26EC1790" w14:textId="6B8E028D" w:rsidR="00FC2A82" w:rsidRPr="003971F0" w:rsidRDefault="00910E8E" w:rsidP="00FC2A82">
      <w:pPr>
        <w:rPr>
          <w:b/>
          <w:bCs/>
        </w:rPr>
      </w:pPr>
      <w:r>
        <w:t>Ci sono alcuni rischi</w:t>
      </w:r>
      <w:r w:rsidR="003971F0">
        <w:t>, tuttavia,</w:t>
      </w:r>
      <w:r>
        <w:t xml:space="preserve"> cui è necessario prestare</w:t>
      </w:r>
      <w:r w:rsidR="003E2FB9" w:rsidRPr="00910E8E">
        <w:t xml:space="preserve"> particolare attenzione. </w:t>
      </w:r>
      <w:r w:rsidR="00943D66" w:rsidRPr="00910E8E">
        <w:t>D</w:t>
      </w:r>
      <w:r w:rsidR="00FC2A82" w:rsidRPr="00910E8E">
        <w:t xml:space="preserve">a un lato, anche se tutti </w:t>
      </w:r>
      <w:r w:rsidR="003E2FB9" w:rsidRPr="00910E8E">
        <w:t xml:space="preserve">lo </w:t>
      </w:r>
      <w:r w:rsidR="00FC2A82" w:rsidRPr="00910E8E">
        <w:t>vorremmo</w:t>
      </w:r>
      <w:r w:rsidR="003E2FB9" w:rsidRPr="00910E8E">
        <w:t>, non è possibile</w:t>
      </w:r>
      <w:r w:rsidR="00FC2A82" w:rsidRPr="00910E8E">
        <w:t xml:space="preserve"> saper</w:t>
      </w:r>
      <w:r w:rsidR="003E2FB9" w:rsidRPr="00910E8E">
        <w:t>e</w:t>
      </w:r>
      <w:r w:rsidR="00FC2A82" w:rsidRPr="00910E8E">
        <w:t xml:space="preserve"> con certezza qual</w:t>
      </w:r>
      <w:r w:rsidR="003E2FB9" w:rsidRPr="00910E8E">
        <w:t xml:space="preserve">e sia l’esatto </w:t>
      </w:r>
      <w:r w:rsidR="00FC2A82" w:rsidRPr="00910E8E">
        <w:t xml:space="preserve">livello dei </w:t>
      </w:r>
      <w:r w:rsidR="00861297" w:rsidRPr="00910E8E">
        <w:t>tassi</w:t>
      </w:r>
      <w:r w:rsidR="00FC2A82" w:rsidRPr="00910E8E">
        <w:t xml:space="preserve"> neutr</w:t>
      </w:r>
      <w:r w:rsidR="003E2FB9" w:rsidRPr="00910E8E">
        <w:t>al</w:t>
      </w:r>
      <w:r w:rsidR="00FC2A82" w:rsidRPr="00910E8E">
        <w:t xml:space="preserve">i e </w:t>
      </w:r>
      <w:r w:rsidR="003E2FB9" w:rsidRPr="00910E8E">
        <w:t xml:space="preserve">quanto al di sopra </w:t>
      </w:r>
      <w:r>
        <w:t>di essi</w:t>
      </w:r>
      <w:r w:rsidR="00FC2A82" w:rsidRPr="00910E8E">
        <w:t xml:space="preserve"> (e per quanto tempo) le banche centrali dovranno </w:t>
      </w:r>
      <w:r w:rsidR="003E2FB9" w:rsidRPr="00910E8E">
        <w:t xml:space="preserve">spingersi per </w:t>
      </w:r>
      <w:r w:rsidR="00FC2A82" w:rsidRPr="00910E8E">
        <w:t xml:space="preserve">controllare l'inflazione. Stando così le cose, </w:t>
      </w:r>
      <w:r w:rsidR="00FC2A82" w:rsidRPr="003971F0">
        <w:rPr>
          <w:b/>
          <w:bCs/>
        </w:rPr>
        <w:t xml:space="preserve">nel caso degli Stati Uniti, siamo </w:t>
      </w:r>
      <w:r w:rsidR="003E2FB9" w:rsidRPr="003971F0">
        <w:rPr>
          <w:b/>
          <w:bCs/>
        </w:rPr>
        <w:t xml:space="preserve">tutti </w:t>
      </w:r>
      <w:r w:rsidR="00943D66" w:rsidRPr="003971F0">
        <w:rPr>
          <w:b/>
          <w:bCs/>
        </w:rPr>
        <w:t xml:space="preserve">in </w:t>
      </w:r>
      <w:r w:rsidR="00FC2A82" w:rsidRPr="003971F0">
        <w:rPr>
          <w:b/>
          <w:bCs/>
        </w:rPr>
        <w:t>attesa</w:t>
      </w:r>
      <w:r w:rsidR="00943D66" w:rsidRPr="003971F0">
        <w:rPr>
          <w:b/>
          <w:bCs/>
        </w:rPr>
        <w:t xml:space="preserve"> </w:t>
      </w:r>
      <w:r w:rsidR="003E2FB9" w:rsidRPr="003971F0">
        <w:rPr>
          <w:b/>
          <w:bCs/>
        </w:rPr>
        <w:t>di</w:t>
      </w:r>
      <w:r w:rsidR="00FC2A82" w:rsidRPr="003971F0">
        <w:rPr>
          <w:b/>
          <w:bCs/>
        </w:rPr>
        <w:t xml:space="preserve"> </w:t>
      </w:r>
      <w:r w:rsidR="00943D66" w:rsidRPr="003971F0">
        <w:rPr>
          <w:b/>
          <w:bCs/>
        </w:rPr>
        <w:t>un</w:t>
      </w:r>
      <w:r w:rsidR="00FC2A82" w:rsidRPr="003971F0">
        <w:rPr>
          <w:b/>
          <w:bCs/>
        </w:rPr>
        <w:t>a moderazione dei dati d</w:t>
      </w:r>
      <w:r w:rsidR="00861297" w:rsidRPr="003971F0">
        <w:rPr>
          <w:b/>
          <w:bCs/>
        </w:rPr>
        <w:t xml:space="preserve">elle </w:t>
      </w:r>
      <w:r w:rsidR="00FC2A82" w:rsidRPr="003971F0">
        <w:rPr>
          <w:b/>
          <w:bCs/>
        </w:rPr>
        <w:t>attività per febbraio/marzo</w:t>
      </w:r>
      <w:r w:rsidR="00FC2A82" w:rsidRPr="00910E8E">
        <w:t xml:space="preserve"> rispetto a quelli di gennaio. </w:t>
      </w:r>
      <w:r w:rsidR="00FC2A82" w:rsidRPr="003971F0">
        <w:rPr>
          <w:b/>
          <w:bCs/>
        </w:rPr>
        <w:t>Se, al contrario, que</w:t>
      </w:r>
      <w:r w:rsidR="00943D66" w:rsidRPr="003971F0">
        <w:rPr>
          <w:b/>
          <w:bCs/>
        </w:rPr>
        <w:t>sta</w:t>
      </w:r>
      <w:r w:rsidR="00FC2A82" w:rsidRPr="003971F0">
        <w:rPr>
          <w:b/>
          <w:bCs/>
        </w:rPr>
        <w:t xml:space="preserve"> moderazione non </w:t>
      </w:r>
      <w:r w:rsidR="003E2FB9" w:rsidRPr="003971F0">
        <w:rPr>
          <w:b/>
          <w:bCs/>
        </w:rPr>
        <w:t xml:space="preserve">avrà </w:t>
      </w:r>
      <w:r w:rsidR="00FC2A82" w:rsidRPr="003971F0">
        <w:rPr>
          <w:b/>
          <w:bCs/>
        </w:rPr>
        <w:t>luogo, dovremo rivedere le nostre stime di quanto ancora</w:t>
      </w:r>
      <w:r w:rsidR="00943D66" w:rsidRPr="003971F0">
        <w:rPr>
          <w:b/>
          <w:bCs/>
        </w:rPr>
        <w:t xml:space="preserve"> la F</w:t>
      </w:r>
      <w:r w:rsidR="003E2FB9" w:rsidRPr="003971F0">
        <w:rPr>
          <w:b/>
          <w:bCs/>
        </w:rPr>
        <w:t>ed</w:t>
      </w:r>
      <w:r w:rsidR="00FC2A82" w:rsidRPr="003971F0">
        <w:rPr>
          <w:b/>
          <w:bCs/>
        </w:rPr>
        <w:t xml:space="preserve"> dovr</w:t>
      </w:r>
      <w:r w:rsidR="00943D66" w:rsidRPr="003971F0">
        <w:rPr>
          <w:b/>
          <w:bCs/>
        </w:rPr>
        <w:t>à</w:t>
      </w:r>
      <w:r w:rsidR="00FC2A82" w:rsidRPr="003971F0">
        <w:rPr>
          <w:b/>
          <w:bCs/>
        </w:rPr>
        <w:t xml:space="preserve"> </w:t>
      </w:r>
      <w:r w:rsidR="00943D66" w:rsidRPr="003971F0">
        <w:rPr>
          <w:b/>
          <w:bCs/>
        </w:rPr>
        <w:t>alzare</w:t>
      </w:r>
      <w:r w:rsidR="00FC2A82" w:rsidRPr="003971F0">
        <w:rPr>
          <w:b/>
          <w:bCs/>
        </w:rPr>
        <w:t xml:space="preserve"> i tassi per controllare l'inflazione.</w:t>
      </w:r>
    </w:p>
    <w:p w14:paraId="5C5F76F9" w14:textId="0CD3353C" w:rsidR="00943D66" w:rsidRPr="00910E8E" w:rsidRDefault="00943D66" w:rsidP="00943D66">
      <w:r w:rsidRPr="00910E8E">
        <w:lastRenderedPageBreak/>
        <w:t>Allo stesso tempo, nel caso dell'Eurozona e per ragioni analog</w:t>
      </w:r>
      <w:r w:rsidR="006721EA" w:rsidRPr="00910E8E">
        <w:t xml:space="preserve">he </w:t>
      </w:r>
      <w:r w:rsidRPr="00910E8E">
        <w:t>a quanto detto per gli Stati Uniti, dovrem</w:t>
      </w:r>
      <w:r w:rsidR="006721EA" w:rsidRPr="00910E8E">
        <w:t>mo</w:t>
      </w:r>
      <w:r w:rsidRPr="00910E8E">
        <w:t xml:space="preserve"> </w:t>
      </w:r>
      <w:r w:rsidRPr="003971F0">
        <w:rPr>
          <w:b/>
          <w:bCs/>
        </w:rPr>
        <w:t>prestare particolare attenzione affinché i salari non accelerino ben oltre la crescita annua del 4-4,5%</w:t>
      </w:r>
      <w:r w:rsidRPr="00910E8E">
        <w:t xml:space="preserve"> che abbiamo come </w:t>
      </w:r>
      <w:r w:rsidR="006721EA" w:rsidRPr="00910E8E">
        <w:t>scenari</w:t>
      </w:r>
      <w:r w:rsidRPr="00910E8E">
        <w:t xml:space="preserve">o centrale. </w:t>
      </w:r>
      <w:r w:rsidR="00910E8E">
        <w:t>Questo p</w:t>
      </w:r>
      <w:r w:rsidRPr="00910E8E">
        <w:t xml:space="preserve">erché </w:t>
      </w:r>
      <w:r w:rsidR="00324928" w:rsidRPr="003971F0">
        <w:rPr>
          <w:b/>
          <w:bCs/>
        </w:rPr>
        <w:t xml:space="preserve">una </w:t>
      </w:r>
      <w:r w:rsidRPr="003971F0">
        <w:rPr>
          <w:b/>
          <w:bCs/>
        </w:rPr>
        <w:t>crescit</w:t>
      </w:r>
      <w:r w:rsidR="00324928" w:rsidRPr="003971F0">
        <w:rPr>
          <w:b/>
          <w:bCs/>
        </w:rPr>
        <w:t>a</w:t>
      </w:r>
      <w:r w:rsidRPr="003971F0">
        <w:rPr>
          <w:b/>
          <w:bCs/>
        </w:rPr>
        <w:t xml:space="preserve"> ben al di sopra di que</w:t>
      </w:r>
      <w:r w:rsidR="003E2FB9" w:rsidRPr="003971F0">
        <w:rPr>
          <w:b/>
          <w:bCs/>
        </w:rPr>
        <w:t>st</w:t>
      </w:r>
      <w:r w:rsidRPr="003971F0">
        <w:rPr>
          <w:b/>
          <w:bCs/>
        </w:rPr>
        <w:t>i tassi genererebbe</w:t>
      </w:r>
      <w:r w:rsidR="00910E8E" w:rsidRPr="003971F0">
        <w:rPr>
          <w:b/>
          <w:bCs/>
        </w:rPr>
        <w:t>,</w:t>
      </w:r>
      <w:r w:rsidRPr="003971F0">
        <w:rPr>
          <w:b/>
          <w:bCs/>
        </w:rPr>
        <w:t xml:space="preserve"> molto probabilmente</w:t>
      </w:r>
      <w:r w:rsidR="00910E8E" w:rsidRPr="003971F0">
        <w:rPr>
          <w:b/>
          <w:bCs/>
        </w:rPr>
        <w:t>,</w:t>
      </w:r>
      <w:r w:rsidRPr="003971F0">
        <w:rPr>
          <w:b/>
          <w:bCs/>
        </w:rPr>
        <w:t xml:space="preserve"> effetti di ritorno dannos</w:t>
      </w:r>
      <w:r w:rsidR="006721EA" w:rsidRPr="003971F0">
        <w:rPr>
          <w:b/>
          <w:bCs/>
        </w:rPr>
        <w:t>i</w:t>
      </w:r>
      <w:r w:rsidRPr="003971F0">
        <w:rPr>
          <w:b/>
          <w:bCs/>
        </w:rPr>
        <w:t>, che darebbe</w:t>
      </w:r>
      <w:r w:rsidR="006721EA" w:rsidRPr="003971F0">
        <w:rPr>
          <w:b/>
          <w:bCs/>
        </w:rPr>
        <w:t>ro</w:t>
      </w:r>
      <w:r w:rsidRPr="003971F0">
        <w:rPr>
          <w:b/>
          <w:bCs/>
        </w:rPr>
        <w:t xml:space="preserve"> ancora più persistenza </w:t>
      </w:r>
      <w:r w:rsidR="006721EA" w:rsidRPr="003971F0">
        <w:rPr>
          <w:b/>
          <w:bCs/>
        </w:rPr>
        <w:t>a</w:t>
      </w:r>
      <w:r w:rsidRPr="003971F0">
        <w:rPr>
          <w:b/>
          <w:bCs/>
        </w:rPr>
        <w:t>ll'inflazione europea e costringerebbe la B</w:t>
      </w:r>
      <w:r w:rsidR="003E2FB9" w:rsidRPr="003971F0">
        <w:rPr>
          <w:b/>
          <w:bCs/>
        </w:rPr>
        <w:t>ce</w:t>
      </w:r>
      <w:r w:rsidRPr="003971F0">
        <w:rPr>
          <w:b/>
          <w:bCs/>
        </w:rPr>
        <w:t xml:space="preserve"> a far aumentare i tassi più di quanto pensiamo</w:t>
      </w:r>
      <w:r w:rsidRPr="00910E8E">
        <w:t>.</w:t>
      </w:r>
    </w:p>
    <w:p w14:paraId="6C1C394B" w14:textId="0FBFEA74" w:rsidR="000D3D84" w:rsidRPr="00910E8E" w:rsidRDefault="006721EA" w:rsidP="006721EA">
      <w:r w:rsidRPr="00910E8E">
        <w:t xml:space="preserve">D'altra parte, sarà necessario </w:t>
      </w:r>
      <w:r w:rsidR="00F51186">
        <w:t>tenere conto anche dei</w:t>
      </w:r>
      <w:r w:rsidRPr="00910E8E">
        <w:t xml:space="preserve"> rischi non economici. E, in </w:t>
      </w:r>
      <w:r w:rsidR="00A26EA0" w:rsidRPr="00910E8E">
        <w:t>particolare</w:t>
      </w:r>
      <w:r w:rsidRPr="00910E8E">
        <w:t xml:space="preserve">, </w:t>
      </w:r>
      <w:r w:rsidR="003E2FB9" w:rsidRPr="00910E8E">
        <w:t>a</w:t>
      </w:r>
      <w:r w:rsidRPr="00910E8E">
        <w:t xml:space="preserve"> possibili azioni disperate d</w:t>
      </w:r>
      <w:r w:rsidR="005111DB" w:rsidRPr="00910E8E">
        <w:t>i</w:t>
      </w:r>
      <w:r w:rsidRPr="00910E8E">
        <w:t xml:space="preserve"> Putin, come </w:t>
      </w:r>
      <w:r w:rsidR="00A26EA0" w:rsidRPr="00910E8E">
        <w:t>il sabotaggio del</w:t>
      </w:r>
      <w:r w:rsidR="005111DB" w:rsidRPr="00910E8E">
        <w:t xml:space="preserve">la </w:t>
      </w:r>
      <w:r w:rsidRPr="00910E8E">
        <w:t xml:space="preserve">fornitura di energia all'Europa dai paesi terzi; </w:t>
      </w:r>
      <w:r w:rsidR="00A26EA0" w:rsidRPr="00910E8E">
        <w:t xml:space="preserve">un </w:t>
      </w:r>
      <w:r w:rsidRPr="00910E8E">
        <w:t xml:space="preserve">potenziale passo falso della Cina, nel senso che l'eventuale eccessivo sostegno alla Russia da parte del </w:t>
      </w:r>
      <w:r w:rsidR="00910E8E">
        <w:t>g</w:t>
      </w:r>
      <w:r w:rsidRPr="00910E8E">
        <w:t xml:space="preserve">igante asiatico potrebbe portare all'applicazione di sanzioni; </w:t>
      </w:r>
      <w:r w:rsidR="00910E8E">
        <w:t xml:space="preserve">e, ancora, </w:t>
      </w:r>
      <w:r w:rsidR="00A26EA0" w:rsidRPr="00910E8E">
        <w:t>una r</w:t>
      </w:r>
      <w:r w:rsidRPr="00910E8E">
        <w:t>isoluzione “</w:t>
      </w:r>
      <w:r w:rsidR="003E2FB9" w:rsidRPr="00910E8E">
        <w:t>non amichevole</w:t>
      </w:r>
      <w:r w:rsidRPr="00910E8E">
        <w:t xml:space="preserve">” del dibattito sul </w:t>
      </w:r>
      <w:r w:rsidR="005111DB" w:rsidRPr="00910E8E">
        <w:t>t</w:t>
      </w:r>
      <w:r w:rsidRPr="00910E8E">
        <w:t xml:space="preserve">etto del debito </w:t>
      </w:r>
      <w:r w:rsidR="005111DB" w:rsidRPr="00910E8E">
        <w:t>americano.</w:t>
      </w:r>
    </w:p>
    <w:p w14:paraId="2B235747" w14:textId="47CAC908" w:rsidR="000D3D84" w:rsidRPr="00910E8E" w:rsidRDefault="003E2FB9" w:rsidP="000D3D84">
      <w:proofErr w:type="spellStart"/>
      <w:r w:rsidRPr="00910E8E">
        <w:rPr>
          <w:u w:val="single"/>
        </w:rPr>
        <w:t>View</w:t>
      </w:r>
      <w:proofErr w:type="spellEnd"/>
      <w:r w:rsidRPr="00910E8E">
        <w:rPr>
          <w:u w:val="single"/>
        </w:rPr>
        <w:t xml:space="preserve"> di mercato</w:t>
      </w:r>
      <w:r w:rsidR="000D3D84" w:rsidRPr="00910E8E">
        <w:t>:</w:t>
      </w:r>
    </w:p>
    <w:p w14:paraId="4AF8BA5E" w14:textId="4FD5B12C" w:rsidR="000D3D84" w:rsidRPr="00910E8E" w:rsidRDefault="000D3D84" w:rsidP="000D3D84">
      <w:r w:rsidRPr="00910E8E">
        <w:rPr>
          <w:b/>
          <w:bCs/>
        </w:rPr>
        <w:t>Reddito fisso governativo</w:t>
      </w:r>
      <w:r w:rsidRPr="00910E8E">
        <w:t xml:space="preserve">: </w:t>
      </w:r>
      <w:r w:rsidR="00910E8E" w:rsidRPr="003971F0">
        <w:rPr>
          <w:b/>
          <w:bCs/>
        </w:rPr>
        <w:t>s</w:t>
      </w:r>
      <w:r w:rsidRPr="003971F0">
        <w:rPr>
          <w:b/>
          <w:bCs/>
        </w:rPr>
        <w:t>embra che le curve USA ed Europa si stiano prezzando, al punto che, per la prima volta da molto tempo</w:t>
      </w:r>
      <w:r w:rsidRPr="00910E8E">
        <w:t xml:space="preserve"> (e con il </w:t>
      </w:r>
      <w:r w:rsidR="00E50A4A" w:rsidRPr="00910E8E">
        <w:t>rendimento a 10 anni</w:t>
      </w:r>
      <w:r w:rsidRPr="00910E8E">
        <w:t xml:space="preserve"> americano sopra il 3,90% e il tedesco sopra il 2,60%), </w:t>
      </w:r>
      <w:r w:rsidRPr="003971F0">
        <w:rPr>
          <w:b/>
          <w:bCs/>
        </w:rPr>
        <w:t>comincia</w:t>
      </w:r>
      <w:r w:rsidR="00C04FC1" w:rsidRPr="003971F0">
        <w:rPr>
          <w:b/>
          <w:bCs/>
        </w:rPr>
        <w:t>mo a pensare</w:t>
      </w:r>
      <w:r w:rsidRPr="003971F0">
        <w:rPr>
          <w:b/>
          <w:bCs/>
        </w:rPr>
        <w:t xml:space="preserve"> che </w:t>
      </w:r>
      <w:r w:rsidR="00C04FC1" w:rsidRPr="003971F0">
        <w:rPr>
          <w:b/>
          <w:bCs/>
        </w:rPr>
        <w:t xml:space="preserve">detenere alcune </w:t>
      </w:r>
      <w:r w:rsidRPr="003971F0">
        <w:rPr>
          <w:b/>
          <w:bCs/>
        </w:rPr>
        <w:t>posizion</w:t>
      </w:r>
      <w:r w:rsidR="00C04FC1" w:rsidRPr="003971F0">
        <w:rPr>
          <w:b/>
          <w:bCs/>
        </w:rPr>
        <w:t>i</w:t>
      </w:r>
      <w:r w:rsidRPr="003971F0">
        <w:rPr>
          <w:b/>
          <w:bCs/>
        </w:rPr>
        <w:t xml:space="preserve"> lunghe possa essere una buona idea </w:t>
      </w:r>
      <w:r w:rsidR="00C04FC1" w:rsidRPr="003971F0">
        <w:rPr>
          <w:b/>
          <w:bCs/>
        </w:rPr>
        <w:t>come copertura</w:t>
      </w:r>
      <w:r w:rsidRPr="003971F0">
        <w:rPr>
          <w:b/>
          <w:bCs/>
        </w:rPr>
        <w:t xml:space="preserve"> da eventuali shock negativi che potrebbero verificarsi nei prossimi mesi</w:t>
      </w:r>
      <w:r w:rsidRPr="00910E8E">
        <w:t xml:space="preserve">. </w:t>
      </w:r>
      <w:r w:rsidRPr="003971F0">
        <w:rPr>
          <w:b/>
          <w:bCs/>
        </w:rPr>
        <w:t>In Giappone</w:t>
      </w:r>
      <w:r w:rsidRPr="00910E8E">
        <w:t xml:space="preserve">, invece, continuiamo a vedere significativi rischi al rialzo per il rendimento a </w:t>
      </w:r>
      <w:proofErr w:type="gramStart"/>
      <w:r w:rsidRPr="00910E8E">
        <w:t>10</w:t>
      </w:r>
      <w:proofErr w:type="gramEnd"/>
      <w:r w:rsidRPr="00910E8E">
        <w:t xml:space="preserve"> anni. In particolare, continuiamo a ritenere </w:t>
      </w:r>
      <w:r w:rsidRPr="003971F0">
        <w:rPr>
          <w:b/>
          <w:bCs/>
        </w:rPr>
        <w:t>che la B</w:t>
      </w:r>
      <w:r w:rsidR="00C04FC1" w:rsidRPr="003971F0">
        <w:rPr>
          <w:b/>
          <w:bCs/>
        </w:rPr>
        <w:t>o</w:t>
      </w:r>
      <w:r w:rsidR="003971F0" w:rsidRPr="003971F0">
        <w:rPr>
          <w:b/>
          <w:bCs/>
        </w:rPr>
        <w:t>J</w:t>
      </w:r>
      <w:r w:rsidRPr="003971F0">
        <w:rPr>
          <w:b/>
          <w:bCs/>
        </w:rPr>
        <w:t xml:space="preserve"> sarà costretta ad allentare nuovamente la politica di controllo della curva nei prossimi mesi, soprattutto se i salari inizieranno a crescere oltre il 3% a partire dalla primavera</w:t>
      </w:r>
      <w:r w:rsidR="00910E8E">
        <w:t>. Q</w:t>
      </w:r>
      <w:r w:rsidRPr="00910E8E">
        <w:t>uest'ultim</w:t>
      </w:r>
      <w:r w:rsidR="00910E8E">
        <w:t>o</w:t>
      </w:r>
      <w:r w:rsidRPr="00910E8E">
        <w:t xml:space="preserve"> </w:t>
      </w:r>
      <w:r w:rsidR="00C04FC1" w:rsidRPr="00910E8E">
        <w:t xml:space="preserve">scenario </w:t>
      </w:r>
      <w:r w:rsidRPr="00910E8E">
        <w:t xml:space="preserve">sembra sempre più probabile, e sarebbe ancora più </w:t>
      </w:r>
      <w:r w:rsidR="00910E8E">
        <w:t>interessante</w:t>
      </w:r>
      <w:r w:rsidRPr="00910E8E">
        <w:t xml:space="preserve"> se tale crescita si estendesse anche alle PMI.</w:t>
      </w:r>
    </w:p>
    <w:p w14:paraId="67CF46E6" w14:textId="33CAB5A2" w:rsidR="00E50A4A" w:rsidRPr="00910E8E" w:rsidRDefault="00E50A4A" w:rsidP="000D3D84">
      <w:r w:rsidRPr="00910E8E">
        <w:rPr>
          <w:b/>
          <w:bCs/>
        </w:rPr>
        <w:t>Credito</w:t>
      </w:r>
      <w:r w:rsidRPr="00910E8E">
        <w:t xml:space="preserve">: </w:t>
      </w:r>
      <w:r w:rsidRPr="003971F0">
        <w:rPr>
          <w:b/>
          <w:bCs/>
        </w:rPr>
        <w:t>continuiamo a preferire il reddito fisso societario</w:t>
      </w:r>
      <w:r w:rsidRPr="00910E8E">
        <w:t xml:space="preserve"> perché nel nostro scenario macro di riferimento i tassi di insolvenza non dovrebbero aumentare di molto. In ogni caso, visto il calo degli spread in atto negli ultimi mesi, </w:t>
      </w:r>
      <w:r w:rsidRPr="003971F0">
        <w:rPr>
          <w:b/>
          <w:bCs/>
        </w:rPr>
        <w:t>vediamo sempre più motivi per affiancare a quest</w:t>
      </w:r>
      <w:r w:rsidR="00BB6591" w:rsidRPr="003971F0">
        <w:rPr>
          <w:b/>
          <w:bCs/>
        </w:rPr>
        <w:t>a</w:t>
      </w:r>
      <w:r w:rsidRPr="003971F0">
        <w:rPr>
          <w:b/>
          <w:bCs/>
        </w:rPr>
        <w:t xml:space="preserve"> asset esposizioni al debito pubblico emergente in valuta locale in paesi con buone performance macro e istituzioni credibili</w:t>
      </w:r>
      <w:r w:rsidRPr="00910E8E">
        <w:t>.</w:t>
      </w:r>
    </w:p>
    <w:p w14:paraId="008367E2" w14:textId="5BEFE9D7" w:rsidR="00E50A4A" w:rsidRPr="00910E8E" w:rsidRDefault="00E50A4A" w:rsidP="000D3D84">
      <w:r w:rsidRPr="00910E8E">
        <w:rPr>
          <w:b/>
          <w:bCs/>
        </w:rPr>
        <w:t>Azioni:</w:t>
      </w:r>
      <w:r w:rsidRPr="00910E8E">
        <w:t xml:space="preserve"> nonostante la correzione osservata a febbraio nell'azionario americano </w:t>
      </w:r>
      <w:r w:rsidR="009160E3" w:rsidRPr="00910E8E">
        <w:t>abbia</w:t>
      </w:r>
      <w:r w:rsidRPr="00910E8E">
        <w:t xml:space="preserve"> attenuat</w:t>
      </w:r>
      <w:r w:rsidR="009160E3" w:rsidRPr="00910E8E">
        <w:t>o</w:t>
      </w:r>
      <w:r w:rsidRPr="00910E8E">
        <w:t xml:space="preserve">, a nostro avviso, i </w:t>
      </w:r>
      <w:r w:rsidR="00D218E7">
        <w:t>segnali</w:t>
      </w:r>
      <w:r w:rsidRPr="00910E8E">
        <w:t xml:space="preserve"> di sopravvalutazione </w:t>
      </w:r>
      <w:r w:rsidR="00D218E7">
        <w:t>del</w:t>
      </w:r>
      <w:r w:rsidRPr="00910E8E">
        <w:t xml:space="preserve"> mercato</w:t>
      </w:r>
      <w:r w:rsidRPr="003971F0">
        <w:rPr>
          <w:b/>
          <w:bCs/>
        </w:rPr>
        <w:t>, continuiamo a preferire le azioni europee e asiatiche a quelle statunitensi</w:t>
      </w:r>
      <w:r w:rsidRPr="00910E8E">
        <w:t xml:space="preserve">. Allo stesso tempo, </w:t>
      </w:r>
      <w:r w:rsidRPr="003971F0">
        <w:rPr>
          <w:b/>
          <w:bCs/>
        </w:rPr>
        <w:t>la resilienza che l'attività economica sta dimostrando in Europa e negli Stati Uniti ci fa pensare che i tassi di interesse rimarranno alti per un bel po' di tempo</w:t>
      </w:r>
      <w:r w:rsidRPr="00910E8E">
        <w:t xml:space="preserve">. In questo </w:t>
      </w:r>
      <w:r w:rsidR="00C04FC1" w:rsidRPr="00910E8E">
        <w:t>caso</w:t>
      </w:r>
      <w:r w:rsidRPr="00910E8E">
        <w:t xml:space="preserve">, non scommetteremmo su un peso eccessivo della crescita (anche se forse possiamo </w:t>
      </w:r>
      <w:r w:rsidR="00D218E7">
        <w:t>optare per</w:t>
      </w:r>
      <w:r w:rsidRPr="00910E8E">
        <w:t xml:space="preserve"> una certa esposizione al segmento delle piccole imprese negli Stati Uniti e in Europa, che offr</w:t>
      </w:r>
      <w:r w:rsidR="00C04FC1" w:rsidRPr="00910E8E">
        <w:t>ono</w:t>
      </w:r>
      <w:r w:rsidRPr="00910E8E">
        <w:t xml:space="preserve"> valutazioni interessanti in termini relativi e potrebbe</w:t>
      </w:r>
      <w:r w:rsidR="00C04FC1" w:rsidRPr="00910E8E">
        <w:t>ro</w:t>
      </w:r>
      <w:r w:rsidRPr="00910E8E">
        <w:t xml:space="preserve"> </w:t>
      </w:r>
      <w:r w:rsidR="00C04FC1" w:rsidRPr="00910E8E">
        <w:t xml:space="preserve">performare </w:t>
      </w:r>
      <w:r w:rsidRPr="00910E8E">
        <w:t>bene nel nostro scenario di atterraggio morbido</w:t>
      </w:r>
      <w:r w:rsidR="009160E3" w:rsidRPr="00910E8E">
        <w:t>)</w:t>
      </w:r>
      <w:r w:rsidRPr="00910E8E">
        <w:t>.</w:t>
      </w:r>
    </w:p>
    <w:p w14:paraId="6FBC0521" w14:textId="4692D2B0" w:rsidR="009160E3" w:rsidRDefault="009160E3" w:rsidP="009160E3">
      <w:r w:rsidRPr="00910E8E">
        <w:rPr>
          <w:b/>
          <w:bCs/>
        </w:rPr>
        <w:t>Valute</w:t>
      </w:r>
      <w:r w:rsidRPr="00910E8E">
        <w:t xml:space="preserve">: </w:t>
      </w:r>
      <w:r w:rsidRPr="003971F0">
        <w:rPr>
          <w:b/>
          <w:bCs/>
        </w:rPr>
        <w:t>i</w:t>
      </w:r>
      <w:r w:rsidR="003B548B" w:rsidRPr="003971F0">
        <w:rPr>
          <w:b/>
          <w:bCs/>
        </w:rPr>
        <w:t xml:space="preserve">l </w:t>
      </w:r>
      <w:r w:rsidRPr="003971F0">
        <w:rPr>
          <w:b/>
          <w:bCs/>
        </w:rPr>
        <w:t>livell</w:t>
      </w:r>
      <w:r w:rsidR="003B548B" w:rsidRPr="003971F0">
        <w:rPr>
          <w:b/>
          <w:bCs/>
        </w:rPr>
        <w:t>o</w:t>
      </w:r>
      <w:r w:rsidRPr="003971F0">
        <w:rPr>
          <w:b/>
          <w:bCs/>
        </w:rPr>
        <w:t xml:space="preserve"> del dollaro intorno a 1,10 (o meglio ancora 1,12, se </w:t>
      </w:r>
      <w:r w:rsidR="00867B1D" w:rsidRPr="003971F0">
        <w:rPr>
          <w:b/>
          <w:bCs/>
        </w:rPr>
        <w:t xml:space="preserve">ci </w:t>
      </w:r>
      <w:r w:rsidRPr="003971F0">
        <w:rPr>
          <w:b/>
          <w:bCs/>
        </w:rPr>
        <w:t>arrivasse) sembr</w:t>
      </w:r>
      <w:r w:rsidR="001B7B5F" w:rsidRPr="003971F0">
        <w:rPr>
          <w:b/>
          <w:bCs/>
        </w:rPr>
        <w:t>a</w:t>
      </w:r>
      <w:r w:rsidRPr="003971F0">
        <w:rPr>
          <w:b/>
          <w:bCs/>
        </w:rPr>
        <w:t xml:space="preserve"> </w:t>
      </w:r>
      <w:r w:rsidR="00C04FC1" w:rsidRPr="003971F0">
        <w:rPr>
          <w:b/>
          <w:bCs/>
        </w:rPr>
        <w:t xml:space="preserve">interessante </w:t>
      </w:r>
      <w:r w:rsidRPr="003971F0">
        <w:rPr>
          <w:b/>
          <w:bCs/>
        </w:rPr>
        <w:t>per rendere questa valuta una buona copertura per gli investitori in euro</w:t>
      </w:r>
      <w:r w:rsidRPr="00910E8E">
        <w:t xml:space="preserve">. Sulla stessa linea, e se nelle prossime settimane </w:t>
      </w:r>
      <w:r w:rsidR="00C04FC1" w:rsidRPr="00910E8E">
        <w:t xml:space="preserve">ci </w:t>
      </w:r>
      <w:r w:rsidRPr="00910E8E">
        <w:t xml:space="preserve">sarà sufficiente dinamismo salariale in Giappone, </w:t>
      </w:r>
      <w:r w:rsidRPr="003971F0">
        <w:rPr>
          <w:b/>
          <w:bCs/>
        </w:rPr>
        <w:t xml:space="preserve">anche lo yen </w:t>
      </w:r>
      <w:proofErr w:type="gramStart"/>
      <w:r w:rsidRPr="003971F0">
        <w:rPr>
          <w:b/>
          <w:bCs/>
        </w:rPr>
        <w:t xml:space="preserve">potrebbe </w:t>
      </w:r>
      <w:r w:rsidR="00910E8E" w:rsidRPr="003971F0">
        <w:rPr>
          <w:b/>
          <w:bCs/>
        </w:rPr>
        <w:t>fungere</w:t>
      </w:r>
      <w:proofErr w:type="gramEnd"/>
      <w:r w:rsidR="00910E8E" w:rsidRPr="003971F0">
        <w:rPr>
          <w:b/>
          <w:bCs/>
        </w:rPr>
        <w:t xml:space="preserve"> da</w:t>
      </w:r>
      <w:r w:rsidRPr="003971F0">
        <w:rPr>
          <w:b/>
          <w:bCs/>
        </w:rPr>
        <w:t xml:space="preserve"> protezione per il resto dell'anno</w:t>
      </w:r>
      <w:r w:rsidRPr="00910E8E">
        <w:t xml:space="preserve">. In caso contrario, e se il nostro scenario di atterraggio morbido negli Stati Uniti reggerà, </w:t>
      </w:r>
      <w:r w:rsidR="00C04FC1" w:rsidRPr="00910E8E">
        <w:t xml:space="preserve">continueremo a preferire </w:t>
      </w:r>
      <w:r w:rsidRPr="00910E8E">
        <w:t xml:space="preserve">le valute </w:t>
      </w:r>
      <w:r w:rsidR="00C04FC1" w:rsidRPr="00910E8E">
        <w:t xml:space="preserve">di paesi </w:t>
      </w:r>
      <w:r w:rsidRPr="00910E8E">
        <w:t xml:space="preserve">emergenti con una buona governance </w:t>
      </w:r>
      <w:r w:rsidR="00C04FC1" w:rsidRPr="00910E8E">
        <w:t xml:space="preserve">a livello </w:t>
      </w:r>
      <w:r w:rsidRPr="00910E8E">
        <w:t>macro.</w:t>
      </w:r>
    </w:p>
    <w:p w14:paraId="05DB1F98" w14:textId="45C0F720" w:rsidR="009160E3" w:rsidRDefault="009160E3" w:rsidP="009160E3"/>
    <w:sectPr w:rsidR="00916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FE"/>
    <w:rsid w:val="0006087D"/>
    <w:rsid w:val="000D3D84"/>
    <w:rsid w:val="00117BED"/>
    <w:rsid w:val="001B7B5F"/>
    <w:rsid w:val="001D667D"/>
    <w:rsid w:val="00220B87"/>
    <w:rsid w:val="002F23F8"/>
    <w:rsid w:val="00324928"/>
    <w:rsid w:val="003971F0"/>
    <w:rsid w:val="003B548B"/>
    <w:rsid w:val="003E2FB9"/>
    <w:rsid w:val="004B36A1"/>
    <w:rsid w:val="004C10CA"/>
    <w:rsid w:val="0050105C"/>
    <w:rsid w:val="005051A1"/>
    <w:rsid w:val="005111DB"/>
    <w:rsid w:val="005E5D97"/>
    <w:rsid w:val="00653CFC"/>
    <w:rsid w:val="006721EA"/>
    <w:rsid w:val="00682E15"/>
    <w:rsid w:val="006E0F34"/>
    <w:rsid w:val="00743857"/>
    <w:rsid w:val="00837368"/>
    <w:rsid w:val="00853E99"/>
    <w:rsid w:val="00861297"/>
    <w:rsid w:val="0086717E"/>
    <w:rsid w:val="00867B1D"/>
    <w:rsid w:val="00910E8E"/>
    <w:rsid w:val="009160E3"/>
    <w:rsid w:val="00924B57"/>
    <w:rsid w:val="00943D66"/>
    <w:rsid w:val="00975A3D"/>
    <w:rsid w:val="009C42C4"/>
    <w:rsid w:val="009E1F16"/>
    <w:rsid w:val="00A26EA0"/>
    <w:rsid w:val="00BB6591"/>
    <w:rsid w:val="00BC45FE"/>
    <w:rsid w:val="00C04FC1"/>
    <w:rsid w:val="00C10AE0"/>
    <w:rsid w:val="00C93FAF"/>
    <w:rsid w:val="00CD34A4"/>
    <w:rsid w:val="00CD365E"/>
    <w:rsid w:val="00CE36FF"/>
    <w:rsid w:val="00D218E7"/>
    <w:rsid w:val="00D25C0C"/>
    <w:rsid w:val="00DB231D"/>
    <w:rsid w:val="00DF4782"/>
    <w:rsid w:val="00E023C4"/>
    <w:rsid w:val="00E12DCF"/>
    <w:rsid w:val="00E50A4A"/>
    <w:rsid w:val="00F51186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2993"/>
  <w15:chartTrackingRefBased/>
  <w15:docId w15:val="{C9D7293C-BF82-449F-B905-1438072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82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2E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2E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E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2E1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D6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Diana Ferla</cp:lastModifiedBy>
  <cp:revision>6</cp:revision>
  <dcterms:created xsi:type="dcterms:W3CDTF">2023-03-06T15:16:00Z</dcterms:created>
  <dcterms:modified xsi:type="dcterms:W3CDTF">2023-03-06T15:43:00Z</dcterms:modified>
</cp:coreProperties>
</file>