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6EC9" w14:textId="21FAD703" w:rsidR="009F7605" w:rsidRPr="00231540" w:rsidRDefault="00EB2A58" w:rsidP="00231540">
      <w:pPr>
        <w:shd w:val="clear" w:color="auto" w:fill="FFFFFF"/>
        <w:spacing w:after="120" w:line="264" w:lineRule="auto"/>
        <w:rPr>
          <w:rFonts w:ascii="Calibri" w:hAnsi="Calibri" w:cs="Calibri"/>
          <w:b/>
          <w:bCs/>
          <w:sz w:val="22"/>
          <w:szCs w:val="22"/>
          <w:lang w:val="it-IT"/>
        </w:rPr>
      </w:pPr>
      <w:r w:rsidRPr="00231540">
        <w:rPr>
          <w:rFonts w:ascii="Calibri" w:eastAsia="Times New Roman" w:hAnsi="Calibri" w:cs="Calibri"/>
          <w:b/>
          <w:bCs/>
          <w:kern w:val="36"/>
          <w:sz w:val="22"/>
          <w:szCs w:val="22"/>
          <w:lang w:val="it-IT" w:eastAsia="en-GB"/>
          <w14:ligatures w14:val="none"/>
        </w:rPr>
        <w:t>Schroders</w:t>
      </w:r>
      <w:r w:rsidR="00CD10E4">
        <w:rPr>
          <w:rFonts w:ascii="Calibri" w:eastAsia="Times New Roman" w:hAnsi="Calibri" w:cs="Calibri"/>
          <w:b/>
          <w:bCs/>
          <w:kern w:val="36"/>
          <w:sz w:val="22"/>
          <w:szCs w:val="22"/>
          <w:lang w:val="it-IT" w:eastAsia="en-GB"/>
          <w14:ligatures w14:val="none"/>
        </w:rPr>
        <w:t xml:space="preserve">: la riapertura della Cina </w:t>
      </w:r>
      <w:r w:rsidR="00D936D1">
        <w:rPr>
          <w:rFonts w:ascii="Calibri" w:eastAsia="Times New Roman" w:hAnsi="Calibri" w:cs="Calibri"/>
          <w:b/>
          <w:bCs/>
          <w:kern w:val="36"/>
          <w:sz w:val="22"/>
          <w:szCs w:val="22"/>
          <w:lang w:val="it-IT" w:eastAsia="en-GB"/>
          <w14:ligatures w14:val="none"/>
        </w:rPr>
        <w:t>è un bene</w:t>
      </w:r>
      <w:r w:rsidR="00CD10E4">
        <w:rPr>
          <w:rFonts w:ascii="Calibri" w:eastAsia="Times New Roman" w:hAnsi="Calibri" w:cs="Calibri"/>
          <w:b/>
          <w:bCs/>
          <w:kern w:val="36"/>
          <w:sz w:val="22"/>
          <w:szCs w:val="22"/>
          <w:lang w:val="it-IT" w:eastAsia="en-GB"/>
          <w14:ligatures w14:val="none"/>
        </w:rPr>
        <w:t xml:space="preserve"> </w:t>
      </w:r>
      <w:r w:rsidR="00F77E72">
        <w:rPr>
          <w:rFonts w:ascii="Calibri" w:eastAsia="Times New Roman" w:hAnsi="Calibri" w:cs="Calibri"/>
          <w:b/>
          <w:bCs/>
          <w:kern w:val="36"/>
          <w:sz w:val="22"/>
          <w:szCs w:val="22"/>
          <w:lang w:val="it-IT" w:eastAsia="en-GB"/>
          <w14:ligatures w14:val="none"/>
        </w:rPr>
        <w:t>per l’economia globale?</w:t>
      </w:r>
    </w:p>
    <w:p w14:paraId="53D7F376" w14:textId="77777777" w:rsidR="009F7605" w:rsidRPr="00231540" w:rsidRDefault="004E11D3" w:rsidP="00231540">
      <w:pPr>
        <w:shd w:val="clear" w:color="auto" w:fill="FFFFFF"/>
        <w:spacing w:after="120" w:line="264" w:lineRule="auto"/>
        <w:rPr>
          <w:rFonts w:ascii="Calibri" w:hAnsi="Calibri" w:cs="Calibri"/>
          <w:b/>
          <w:bCs/>
          <w:sz w:val="22"/>
          <w:szCs w:val="22"/>
        </w:rPr>
      </w:pPr>
      <w:r w:rsidRPr="00231540">
        <w:rPr>
          <w:rFonts w:ascii="Calibri" w:hAnsi="Calibri" w:cs="Calibri"/>
          <w:sz w:val="22"/>
          <w:szCs w:val="22"/>
        </w:rPr>
        <w:t xml:space="preserve">A </w:t>
      </w:r>
      <w:proofErr w:type="spellStart"/>
      <w:r w:rsidRPr="00231540">
        <w:rPr>
          <w:rFonts w:ascii="Calibri" w:hAnsi="Calibri" w:cs="Calibri"/>
          <w:sz w:val="22"/>
          <w:szCs w:val="22"/>
        </w:rPr>
        <w:t>cura</w:t>
      </w:r>
      <w:proofErr w:type="spellEnd"/>
      <w:r w:rsidRPr="00231540">
        <w:rPr>
          <w:rFonts w:ascii="Calibri" w:hAnsi="Calibri" w:cs="Calibri"/>
          <w:sz w:val="22"/>
          <w:szCs w:val="22"/>
        </w:rPr>
        <w:t xml:space="preserve"> di </w:t>
      </w:r>
      <w:r w:rsidRPr="00231540">
        <w:rPr>
          <w:rFonts w:ascii="Calibri" w:hAnsi="Calibri" w:cs="Calibri"/>
          <w:b/>
          <w:bCs/>
          <w:sz w:val="22"/>
          <w:szCs w:val="22"/>
        </w:rPr>
        <w:t>David Rees, Senior Emerging Markets Economist, Schroders</w:t>
      </w:r>
      <w:r w:rsidR="009F7605" w:rsidRPr="00231540">
        <w:rPr>
          <w:rFonts w:ascii="Calibri" w:hAnsi="Calibri" w:cs="Calibri"/>
          <w:b/>
          <w:bCs/>
          <w:sz w:val="22"/>
          <w:szCs w:val="22"/>
        </w:rPr>
        <w:t xml:space="preserve">  </w:t>
      </w:r>
    </w:p>
    <w:p w14:paraId="5D9CE03E" w14:textId="77777777" w:rsidR="00A56E86" w:rsidRPr="00DA1838" w:rsidRDefault="00A56E86" w:rsidP="00231540">
      <w:pPr>
        <w:shd w:val="clear" w:color="auto" w:fill="FFFFFF"/>
        <w:spacing w:after="120" w:line="264" w:lineRule="auto"/>
        <w:rPr>
          <w:rFonts w:ascii="Calibri" w:eastAsia="Times New Roman" w:hAnsi="Calibri" w:cs="Calibri"/>
          <w:b/>
          <w:bCs/>
          <w:kern w:val="0"/>
          <w:sz w:val="22"/>
          <w:szCs w:val="22"/>
          <w:lang w:val="en-US" w:eastAsia="en-GB"/>
          <w14:ligatures w14:val="none"/>
        </w:rPr>
      </w:pPr>
    </w:p>
    <w:p w14:paraId="0DEFC188" w14:textId="795F71C7" w:rsidR="009F7605" w:rsidRPr="00231540" w:rsidRDefault="009F7605" w:rsidP="00231540">
      <w:pPr>
        <w:shd w:val="clear" w:color="auto" w:fill="FFFFFF"/>
        <w:spacing w:after="120" w:line="264" w:lineRule="auto"/>
        <w:rPr>
          <w:rFonts w:ascii="Calibri" w:eastAsia="Times New Roman" w:hAnsi="Calibri" w:cs="Calibri"/>
          <w:kern w:val="0"/>
          <w:sz w:val="22"/>
          <w:szCs w:val="22"/>
          <w:lang w:val="it-IT" w:eastAsia="en-GB"/>
          <w14:ligatures w14:val="none"/>
        </w:rPr>
      </w:pPr>
      <w:r w:rsidRPr="00A56E86">
        <w:rPr>
          <w:rFonts w:ascii="Calibri" w:eastAsia="Times New Roman" w:hAnsi="Calibri" w:cs="Calibri"/>
          <w:b/>
          <w:bCs/>
          <w:kern w:val="0"/>
          <w:sz w:val="22"/>
          <w:szCs w:val="22"/>
          <w:lang w:val="it-IT" w:eastAsia="en-GB"/>
          <w14:ligatures w14:val="none"/>
        </w:rPr>
        <w:t xml:space="preserve">Le prospettive sono decisamente migliori per la Cina dopo il cambio di rotta del governo sulla politica </w:t>
      </w:r>
      <w:r w:rsidRPr="00A56E86">
        <w:rPr>
          <w:rFonts w:ascii="Calibri" w:hAnsi="Calibri" w:cs="Calibri"/>
          <w:b/>
          <w:bCs/>
          <w:sz w:val="22"/>
          <w:szCs w:val="22"/>
          <w:lang w:val="it-IT"/>
        </w:rPr>
        <w:t>Zero-Covid</w:t>
      </w:r>
      <w:r w:rsidRPr="00A56E86">
        <w:rPr>
          <w:rFonts w:ascii="Calibri" w:eastAsia="Times New Roman" w:hAnsi="Calibri" w:cs="Calibri"/>
          <w:b/>
          <w:bCs/>
          <w:kern w:val="0"/>
          <w:sz w:val="22"/>
          <w:szCs w:val="22"/>
          <w:lang w:val="it-IT" w:eastAsia="en-GB"/>
          <w14:ligatures w14:val="none"/>
        </w:rPr>
        <w:t xml:space="preserve"> </w:t>
      </w:r>
      <w:r w:rsidR="00070D87" w:rsidRPr="00231540">
        <w:rPr>
          <w:rFonts w:ascii="Calibri" w:eastAsia="Times New Roman" w:hAnsi="Calibri" w:cs="Calibri"/>
          <w:kern w:val="0"/>
          <w:sz w:val="22"/>
          <w:szCs w:val="22"/>
          <w:lang w:val="it-IT" w:eastAsia="en-GB"/>
          <w14:ligatures w14:val="none"/>
        </w:rPr>
        <w:t xml:space="preserve">avvenuto </w:t>
      </w:r>
      <w:r w:rsidRPr="00231540">
        <w:rPr>
          <w:rFonts w:ascii="Calibri" w:eastAsia="Times New Roman" w:hAnsi="Calibri" w:cs="Calibri"/>
          <w:kern w:val="0"/>
          <w:sz w:val="22"/>
          <w:szCs w:val="22"/>
          <w:lang w:val="it-IT" w:eastAsia="en-GB"/>
          <w14:ligatures w14:val="none"/>
        </w:rPr>
        <w:t>alla fine dello scorso anno. Le prime indicazioni provenienti dai dati ad alta frequenza e da</w:t>
      </w:r>
      <w:r w:rsidR="005F1526">
        <w:rPr>
          <w:rFonts w:ascii="Calibri" w:eastAsia="Times New Roman" w:hAnsi="Calibri" w:cs="Calibri"/>
          <w:kern w:val="0"/>
          <w:sz w:val="22"/>
          <w:szCs w:val="22"/>
          <w:lang w:val="it-IT" w:eastAsia="en-GB"/>
          <w14:ligatures w14:val="none"/>
        </w:rPr>
        <w:t xml:space="preserve">i </w:t>
      </w:r>
      <w:r w:rsidRPr="00231540">
        <w:rPr>
          <w:rFonts w:ascii="Calibri" w:eastAsia="Times New Roman" w:hAnsi="Calibri" w:cs="Calibri"/>
          <w:kern w:val="0"/>
          <w:sz w:val="22"/>
          <w:szCs w:val="22"/>
          <w:lang w:val="it-IT" w:eastAsia="en-GB"/>
          <w14:ligatures w14:val="none"/>
        </w:rPr>
        <w:t xml:space="preserve">PMI di gennaio indicano una </w:t>
      </w:r>
      <w:r w:rsidRPr="00231540">
        <w:rPr>
          <w:rFonts w:ascii="Calibri" w:eastAsia="Times New Roman" w:hAnsi="Calibri" w:cs="Calibri"/>
          <w:b/>
          <w:bCs/>
          <w:kern w:val="0"/>
          <w:sz w:val="22"/>
          <w:szCs w:val="22"/>
          <w:lang w:val="it-IT" w:eastAsia="en-GB"/>
          <w14:ligatures w14:val="none"/>
        </w:rPr>
        <w:t>forte ripresa dell’attività del settore dei servizi</w:t>
      </w:r>
      <w:r w:rsidRPr="00231540">
        <w:rPr>
          <w:rFonts w:ascii="Calibri" w:eastAsia="Times New Roman" w:hAnsi="Calibri" w:cs="Calibri"/>
          <w:kern w:val="0"/>
          <w:sz w:val="22"/>
          <w:szCs w:val="22"/>
          <w:lang w:val="it-IT" w:eastAsia="en-GB"/>
          <w14:ligatures w14:val="none"/>
        </w:rPr>
        <w:t xml:space="preserve">. </w:t>
      </w:r>
      <w:r w:rsidR="00231540">
        <w:rPr>
          <w:rFonts w:ascii="Calibri" w:eastAsia="Times New Roman" w:hAnsi="Calibri" w:cs="Calibri"/>
          <w:kern w:val="0"/>
          <w:sz w:val="22"/>
          <w:szCs w:val="22"/>
          <w:lang w:val="it-IT" w:eastAsia="en-GB"/>
          <w14:ligatures w14:val="none"/>
        </w:rPr>
        <w:t>Al contrario</w:t>
      </w:r>
      <w:r w:rsidRPr="00231540">
        <w:rPr>
          <w:rFonts w:ascii="Calibri" w:eastAsia="Times New Roman" w:hAnsi="Calibri" w:cs="Calibri"/>
          <w:kern w:val="0"/>
          <w:sz w:val="22"/>
          <w:szCs w:val="22"/>
          <w:lang w:val="it-IT" w:eastAsia="en-GB"/>
          <w14:ligatures w14:val="none"/>
        </w:rPr>
        <w:t xml:space="preserve">, l’impatto positivo sul settore manifatturiero è stato limitato dalla debolezza della domanda esterna, mentre le transazioni immobiliari, dopo un iniziale miglioramento, si sono praticamente arenate. </w:t>
      </w:r>
    </w:p>
    <w:p w14:paraId="092981B6" w14:textId="77777777" w:rsidR="009F7605" w:rsidRPr="00231540" w:rsidRDefault="009F7605" w:rsidP="00231540">
      <w:pPr>
        <w:shd w:val="clear" w:color="auto" w:fill="FFFFFF"/>
        <w:spacing w:after="120" w:line="264" w:lineRule="auto"/>
        <w:rPr>
          <w:rStyle w:val="Enfasigrassetto"/>
          <w:rFonts w:ascii="Calibri" w:eastAsiaTheme="majorEastAsia" w:hAnsi="Calibri" w:cs="Calibri"/>
          <w:b w:val="0"/>
          <w:bCs w:val="0"/>
          <w:sz w:val="22"/>
          <w:szCs w:val="22"/>
          <w:u w:val="single"/>
          <w:lang w:val="it-IT"/>
        </w:rPr>
      </w:pPr>
      <w:r w:rsidRPr="00231540">
        <w:rPr>
          <w:rStyle w:val="Enfasigrassetto"/>
          <w:rFonts w:ascii="Calibri" w:eastAsiaTheme="majorEastAsia" w:hAnsi="Calibri" w:cs="Calibri"/>
          <w:b w:val="0"/>
          <w:bCs w:val="0"/>
          <w:sz w:val="22"/>
          <w:szCs w:val="22"/>
          <w:u w:val="single"/>
          <w:lang w:val="it-IT"/>
        </w:rPr>
        <w:t xml:space="preserve">La ripresa in Cina sarà trainata dai servizi </w:t>
      </w:r>
    </w:p>
    <w:p w14:paraId="16A5F991" w14:textId="78C2CDDE" w:rsidR="009F7605" w:rsidRPr="00231540" w:rsidRDefault="009F7605" w:rsidP="00231540">
      <w:pPr>
        <w:shd w:val="clear" w:color="auto" w:fill="FFFFFF"/>
        <w:spacing w:after="120" w:line="264" w:lineRule="auto"/>
        <w:rPr>
          <w:rFonts w:ascii="Calibri" w:eastAsia="Times New Roman" w:hAnsi="Calibri" w:cs="Calibri"/>
          <w:b/>
          <w:bCs/>
          <w:kern w:val="0"/>
          <w:sz w:val="22"/>
          <w:szCs w:val="22"/>
          <w:lang w:val="it-IT" w:eastAsia="en-GB"/>
          <w14:ligatures w14:val="none"/>
        </w:rPr>
      </w:pPr>
      <w:r w:rsidRPr="00231540">
        <w:rPr>
          <w:rFonts w:ascii="Calibri" w:eastAsia="Times New Roman" w:hAnsi="Calibri" w:cs="Calibri"/>
          <w:kern w:val="0"/>
          <w:sz w:val="22"/>
          <w:szCs w:val="22"/>
          <w:lang w:val="it-IT" w:eastAsia="en-GB"/>
          <w14:ligatures w14:val="none"/>
        </w:rPr>
        <w:t>È probabile che questo determini la forma della ripresa. Dopo tutto, il settore dei servizi cinese è stato ostacolato dal</w:t>
      </w:r>
      <w:r w:rsidR="005F1526">
        <w:rPr>
          <w:rFonts w:ascii="Calibri" w:eastAsia="Times New Roman" w:hAnsi="Calibri" w:cs="Calibri"/>
          <w:kern w:val="0"/>
          <w:sz w:val="22"/>
          <w:szCs w:val="22"/>
          <w:lang w:val="it-IT" w:eastAsia="en-GB"/>
          <w14:ligatures w14:val="none"/>
        </w:rPr>
        <w:t>la politica Zero-Covid</w:t>
      </w:r>
      <w:r w:rsidR="00070D87" w:rsidRPr="00231540">
        <w:rPr>
          <w:rFonts w:ascii="Calibri" w:eastAsia="Times New Roman" w:hAnsi="Calibri" w:cs="Calibri"/>
          <w:kern w:val="0"/>
          <w:sz w:val="22"/>
          <w:szCs w:val="22"/>
          <w:lang w:val="it-IT" w:eastAsia="en-GB"/>
          <w14:ligatures w14:val="none"/>
        </w:rPr>
        <w:t xml:space="preserve"> </w:t>
      </w:r>
      <w:r w:rsidRPr="00231540">
        <w:rPr>
          <w:rFonts w:ascii="Calibri" w:eastAsia="Times New Roman" w:hAnsi="Calibri" w:cs="Calibri"/>
          <w:kern w:val="0"/>
          <w:sz w:val="22"/>
          <w:szCs w:val="22"/>
          <w:lang w:val="it-IT" w:eastAsia="en-GB"/>
          <w14:ligatures w14:val="none"/>
        </w:rPr>
        <w:t xml:space="preserve">negli ultimi due anni, </w:t>
      </w:r>
      <w:r w:rsidR="00070D87" w:rsidRPr="00231540">
        <w:rPr>
          <w:rFonts w:ascii="Calibri" w:eastAsia="Times New Roman" w:hAnsi="Calibri" w:cs="Calibri"/>
          <w:kern w:val="0"/>
          <w:sz w:val="22"/>
          <w:szCs w:val="22"/>
          <w:lang w:val="it-IT" w:eastAsia="en-GB"/>
          <w14:ligatures w14:val="none"/>
        </w:rPr>
        <w:t xml:space="preserve">in quanto </w:t>
      </w:r>
      <w:r w:rsidRPr="00231540">
        <w:rPr>
          <w:rFonts w:ascii="Calibri" w:eastAsia="Times New Roman" w:hAnsi="Calibri" w:cs="Calibri"/>
          <w:kern w:val="0"/>
          <w:sz w:val="22"/>
          <w:szCs w:val="22"/>
          <w:lang w:val="it-IT" w:eastAsia="en-GB"/>
          <w14:ligatures w14:val="none"/>
        </w:rPr>
        <w:t xml:space="preserve">le restrizioni hanno limitato </w:t>
      </w:r>
      <w:r w:rsidR="005F1526">
        <w:rPr>
          <w:rFonts w:ascii="Calibri" w:eastAsia="Times New Roman" w:hAnsi="Calibri" w:cs="Calibri"/>
          <w:kern w:val="0"/>
          <w:sz w:val="22"/>
          <w:szCs w:val="22"/>
          <w:lang w:val="it-IT" w:eastAsia="en-GB"/>
          <w14:ligatures w14:val="none"/>
        </w:rPr>
        <w:t>gli spostamenti</w:t>
      </w:r>
      <w:r w:rsidRPr="00231540">
        <w:rPr>
          <w:rFonts w:ascii="Calibri" w:eastAsia="Times New Roman" w:hAnsi="Calibri" w:cs="Calibri"/>
          <w:kern w:val="0"/>
          <w:sz w:val="22"/>
          <w:szCs w:val="22"/>
          <w:lang w:val="it-IT" w:eastAsia="en-GB"/>
          <w14:ligatures w14:val="none"/>
        </w:rPr>
        <w:t xml:space="preserve">. Il </w:t>
      </w:r>
      <w:r w:rsidRPr="00A56E86">
        <w:rPr>
          <w:rFonts w:ascii="Calibri" w:eastAsia="Times New Roman" w:hAnsi="Calibri" w:cs="Calibri"/>
          <w:kern w:val="0"/>
          <w:sz w:val="22"/>
          <w:szCs w:val="22"/>
          <w:lang w:val="it-IT" w:eastAsia="en-GB"/>
          <w14:ligatures w14:val="none"/>
        </w:rPr>
        <w:t xml:space="preserve">fenomeno del </w:t>
      </w:r>
      <w:proofErr w:type="spellStart"/>
      <w:r w:rsidRPr="00A56E86">
        <w:rPr>
          <w:rFonts w:ascii="Calibri" w:eastAsia="Times New Roman" w:hAnsi="Calibri" w:cs="Calibri"/>
          <w:i/>
          <w:iCs/>
          <w:kern w:val="0"/>
          <w:sz w:val="22"/>
          <w:szCs w:val="22"/>
          <w:lang w:val="it-IT" w:eastAsia="en-GB"/>
          <w14:ligatures w14:val="none"/>
        </w:rPr>
        <w:t>revenge</w:t>
      </w:r>
      <w:proofErr w:type="spellEnd"/>
      <w:r w:rsidRPr="00A56E86">
        <w:rPr>
          <w:rFonts w:ascii="Calibri" w:eastAsia="Times New Roman" w:hAnsi="Calibri" w:cs="Calibri"/>
          <w:i/>
          <w:iCs/>
          <w:kern w:val="0"/>
          <w:sz w:val="22"/>
          <w:szCs w:val="22"/>
          <w:lang w:val="it-IT" w:eastAsia="en-GB"/>
          <w14:ligatures w14:val="none"/>
        </w:rPr>
        <w:t xml:space="preserve"> spending</w:t>
      </w:r>
      <w:r w:rsidRPr="00231540">
        <w:rPr>
          <w:rFonts w:ascii="Calibri" w:eastAsia="Times New Roman" w:hAnsi="Calibri" w:cs="Calibri"/>
          <w:kern w:val="0"/>
          <w:sz w:val="22"/>
          <w:szCs w:val="22"/>
          <w:lang w:val="it-IT" w:eastAsia="en-GB"/>
          <w14:ligatures w14:val="none"/>
        </w:rPr>
        <w:t xml:space="preserve"> sui servizi è stato osservato nella maggior parte delle economie del mondo </w:t>
      </w:r>
      <w:r w:rsidR="00070D87" w:rsidRPr="00231540">
        <w:rPr>
          <w:rFonts w:ascii="Calibri" w:eastAsia="Times New Roman" w:hAnsi="Calibri" w:cs="Calibri"/>
          <w:kern w:val="0"/>
          <w:sz w:val="22"/>
          <w:szCs w:val="22"/>
          <w:lang w:val="it-IT" w:eastAsia="en-GB"/>
          <w14:ligatures w14:val="none"/>
        </w:rPr>
        <w:t>dopo la fine delle misure anti-Covid</w:t>
      </w:r>
      <w:r w:rsidRPr="00231540">
        <w:rPr>
          <w:rFonts w:ascii="Calibri" w:eastAsia="Times New Roman" w:hAnsi="Calibri" w:cs="Calibri"/>
          <w:kern w:val="0"/>
          <w:sz w:val="22"/>
          <w:szCs w:val="22"/>
          <w:lang w:val="it-IT" w:eastAsia="en-GB"/>
          <w14:ligatures w14:val="none"/>
        </w:rPr>
        <w:t xml:space="preserve">, ed </w:t>
      </w:r>
      <w:r w:rsidRPr="00231540">
        <w:rPr>
          <w:rFonts w:ascii="Calibri" w:eastAsia="Times New Roman" w:hAnsi="Calibri" w:cs="Calibri"/>
          <w:b/>
          <w:bCs/>
          <w:kern w:val="0"/>
          <w:sz w:val="22"/>
          <w:szCs w:val="22"/>
          <w:lang w:val="it-IT" w:eastAsia="en-GB"/>
          <w14:ligatures w14:val="none"/>
        </w:rPr>
        <w:t xml:space="preserve">è probabile che la Cina sperimenti lo stesso </w:t>
      </w:r>
      <w:r w:rsidR="00070D87" w:rsidRPr="00231540">
        <w:rPr>
          <w:rFonts w:ascii="Calibri" w:eastAsia="Times New Roman" w:hAnsi="Calibri" w:cs="Calibri"/>
          <w:b/>
          <w:bCs/>
          <w:kern w:val="0"/>
          <w:sz w:val="22"/>
          <w:szCs w:val="22"/>
          <w:lang w:val="it-IT" w:eastAsia="en-GB"/>
          <w14:ligatures w14:val="none"/>
        </w:rPr>
        <w:t xml:space="preserve">rimbalzo </w:t>
      </w:r>
      <w:r w:rsidRPr="00231540">
        <w:rPr>
          <w:rFonts w:ascii="Calibri" w:eastAsia="Times New Roman" w:hAnsi="Calibri" w:cs="Calibri"/>
          <w:b/>
          <w:bCs/>
          <w:kern w:val="0"/>
          <w:sz w:val="22"/>
          <w:szCs w:val="22"/>
          <w:lang w:val="it-IT" w:eastAsia="en-GB"/>
          <w14:ligatures w14:val="none"/>
        </w:rPr>
        <w:t>d</w:t>
      </w:r>
      <w:r w:rsidR="00070D87" w:rsidRPr="00231540">
        <w:rPr>
          <w:rFonts w:ascii="Calibri" w:eastAsia="Times New Roman" w:hAnsi="Calibri" w:cs="Calibri"/>
          <w:b/>
          <w:bCs/>
          <w:kern w:val="0"/>
          <w:sz w:val="22"/>
          <w:szCs w:val="22"/>
          <w:lang w:val="it-IT" w:eastAsia="en-GB"/>
          <w14:ligatures w14:val="none"/>
        </w:rPr>
        <w:t>ella</w:t>
      </w:r>
      <w:r w:rsidRPr="00231540">
        <w:rPr>
          <w:rFonts w:ascii="Calibri" w:eastAsia="Times New Roman" w:hAnsi="Calibri" w:cs="Calibri"/>
          <w:b/>
          <w:bCs/>
          <w:kern w:val="0"/>
          <w:sz w:val="22"/>
          <w:szCs w:val="22"/>
          <w:lang w:val="it-IT" w:eastAsia="en-GB"/>
          <w14:ligatures w14:val="none"/>
        </w:rPr>
        <w:t xml:space="preserve"> domanda di consumo repressa. </w:t>
      </w:r>
    </w:p>
    <w:p w14:paraId="259E8566" w14:textId="3FDF5D1A" w:rsidR="009F7605" w:rsidRPr="00231540" w:rsidRDefault="009F2734" w:rsidP="00231540">
      <w:pPr>
        <w:shd w:val="clear" w:color="auto" w:fill="FFFFFF"/>
        <w:spacing w:after="120" w:line="264" w:lineRule="auto"/>
        <w:rPr>
          <w:rFonts w:ascii="Calibri" w:eastAsia="Times New Roman" w:hAnsi="Calibri" w:cs="Calibri"/>
          <w:b/>
          <w:bCs/>
          <w:kern w:val="36"/>
          <w:sz w:val="22"/>
          <w:szCs w:val="22"/>
          <w:lang w:val="it-IT" w:eastAsia="en-GB"/>
          <w14:ligatures w14:val="none"/>
        </w:rPr>
      </w:pPr>
      <w:r w:rsidRPr="00231540">
        <w:rPr>
          <w:rFonts w:ascii="Calibri" w:eastAsia="Times New Roman" w:hAnsi="Calibri" w:cs="Calibri"/>
          <w:kern w:val="0"/>
          <w:sz w:val="22"/>
          <w:szCs w:val="22"/>
          <w:lang w:val="it-IT" w:eastAsia="en-GB"/>
          <w14:ligatures w14:val="none"/>
        </w:rPr>
        <w:t xml:space="preserve">Tuttavia, una </w:t>
      </w:r>
      <w:r w:rsidR="009F7605" w:rsidRPr="00A56E86">
        <w:rPr>
          <w:rFonts w:ascii="Calibri" w:eastAsia="Times New Roman" w:hAnsi="Calibri" w:cs="Calibri"/>
          <w:kern w:val="0"/>
          <w:sz w:val="22"/>
          <w:szCs w:val="22"/>
          <w:lang w:val="it-IT" w:eastAsia="en-GB"/>
          <w14:ligatures w14:val="none"/>
        </w:rPr>
        <w:t>differenza fondamentale rispetto ad altre economie – certamente quelle dei principali mercati sviluppati – è che le famiglie cinesi non sembrano disporre di un’enorme riserva di risparmi a cui attingere per finanziare un periodo prolungato di consumi sfrenati</w:t>
      </w:r>
      <w:r w:rsidR="009F7605" w:rsidRPr="00231540">
        <w:rPr>
          <w:rFonts w:ascii="Calibri" w:eastAsia="Times New Roman" w:hAnsi="Calibri" w:cs="Calibri"/>
          <w:kern w:val="0"/>
          <w:sz w:val="22"/>
          <w:szCs w:val="22"/>
          <w:lang w:val="it-IT" w:eastAsia="en-GB"/>
          <w14:ligatures w14:val="none"/>
        </w:rPr>
        <w:t>. Sebbene il tasso di risparmio cinese sia leggermente aumentato, il sostegno fiscale si è concentrato sull’aiuto al lato dell’offerta dell’economia piuttosto che sui trasferimenti diretti alle famiglie, come è avvenuto, ad esempio, negli Stati Uniti.</w:t>
      </w:r>
    </w:p>
    <w:p w14:paraId="2E857189" w14:textId="77777777" w:rsidR="009F7605" w:rsidRPr="00231540" w:rsidRDefault="009F7605" w:rsidP="00231540">
      <w:pPr>
        <w:pStyle w:val="NormaleWeb"/>
        <w:shd w:val="clear" w:color="auto" w:fill="FFFFFF"/>
        <w:spacing w:before="0" w:beforeAutospacing="0" w:after="120" w:afterAutospacing="0" w:line="264" w:lineRule="auto"/>
        <w:rPr>
          <w:rStyle w:val="Enfasigrassetto"/>
          <w:rFonts w:ascii="Calibri" w:eastAsiaTheme="majorEastAsia" w:hAnsi="Calibri" w:cs="Calibri"/>
          <w:b w:val="0"/>
          <w:bCs w:val="0"/>
          <w:kern w:val="2"/>
          <w:sz w:val="22"/>
          <w:szCs w:val="22"/>
          <w:u w:val="single"/>
          <w:lang w:val="it-IT" w:eastAsia="en-US"/>
          <w14:ligatures w14:val="standardContextual"/>
        </w:rPr>
      </w:pPr>
      <w:r w:rsidRPr="00231540">
        <w:rPr>
          <w:rStyle w:val="Enfasigrassetto"/>
          <w:rFonts w:ascii="Calibri" w:eastAsiaTheme="majorEastAsia" w:hAnsi="Calibri" w:cs="Calibri"/>
          <w:b w:val="0"/>
          <w:bCs w:val="0"/>
          <w:kern w:val="2"/>
          <w:sz w:val="22"/>
          <w:szCs w:val="22"/>
          <w:u w:val="single"/>
          <w:lang w:val="it-IT" w:eastAsia="en-US"/>
          <w14:ligatures w14:val="standardContextual"/>
        </w:rPr>
        <w:t xml:space="preserve">La ripresa “a gonfie vele” rischia di affievolirsi nel 2024 </w:t>
      </w:r>
    </w:p>
    <w:p w14:paraId="121A3C27" w14:textId="260F5B69" w:rsidR="009F7605" w:rsidRPr="00231540" w:rsidRDefault="009F196A" w:rsidP="00231540">
      <w:pPr>
        <w:pStyle w:val="NormaleWeb"/>
        <w:shd w:val="clear" w:color="auto" w:fill="FFFFFF"/>
        <w:spacing w:before="0" w:beforeAutospacing="0" w:after="120" w:afterAutospacing="0" w:line="264" w:lineRule="auto"/>
        <w:rPr>
          <w:rFonts w:ascii="Calibri" w:hAnsi="Calibri" w:cs="Calibri"/>
          <w:sz w:val="22"/>
          <w:szCs w:val="22"/>
          <w:lang w:val="it-IT"/>
        </w:rPr>
      </w:pPr>
      <w:r w:rsidRPr="00231540">
        <w:rPr>
          <w:rFonts w:ascii="Calibri" w:hAnsi="Calibri" w:cs="Calibri"/>
          <w:sz w:val="22"/>
          <w:szCs w:val="22"/>
          <w:lang w:val="it-IT"/>
        </w:rPr>
        <w:t xml:space="preserve">A partire dal </w:t>
      </w:r>
      <w:proofErr w:type="gramStart"/>
      <w:r w:rsidRPr="00231540">
        <w:rPr>
          <w:rFonts w:ascii="Calibri" w:hAnsi="Calibri" w:cs="Calibri"/>
          <w:sz w:val="22"/>
          <w:szCs w:val="22"/>
          <w:lang w:val="it-IT"/>
        </w:rPr>
        <w:t>1°</w:t>
      </w:r>
      <w:proofErr w:type="gramEnd"/>
      <w:r w:rsidRPr="00231540">
        <w:rPr>
          <w:rFonts w:ascii="Calibri" w:hAnsi="Calibri" w:cs="Calibri"/>
          <w:sz w:val="22"/>
          <w:szCs w:val="22"/>
          <w:lang w:val="it-IT"/>
        </w:rPr>
        <w:t xml:space="preserve"> trimestre del 2023, </w:t>
      </w:r>
      <w:r w:rsidRPr="00231540">
        <w:rPr>
          <w:rFonts w:ascii="Calibri" w:hAnsi="Calibri" w:cs="Calibri"/>
          <w:b/>
          <w:bCs/>
          <w:sz w:val="22"/>
          <w:szCs w:val="22"/>
          <w:lang w:val="it-IT"/>
        </w:rPr>
        <w:t>i</w:t>
      </w:r>
      <w:r w:rsidR="009F7605" w:rsidRPr="00231540">
        <w:rPr>
          <w:rFonts w:ascii="Calibri" w:hAnsi="Calibri" w:cs="Calibri"/>
          <w:b/>
          <w:bCs/>
          <w:sz w:val="22"/>
          <w:szCs w:val="22"/>
          <w:lang w:val="it-IT"/>
        </w:rPr>
        <w:t>l nostro scenario di base per la Cina prevede ora tre trimestri consecutivi di crescita superiore al trend</w:t>
      </w:r>
      <w:r w:rsidR="009F7605" w:rsidRPr="00231540">
        <w:rPr>
          <w:rFonts w:ascii="Calibri" w:hAnsi="Calibri" w:cs="Calibri"/>
          <w:sz w:val="22"/>
          <w:szCs w:val="22"/>
          <w:lang w:val="it-IT"/>
        </w:rPr>
        <w:t>, con una prevalenza de</w:t>
      </w:r>
      <w:r w:rsidR="005F1526">
        <w:rPr>
          <w:rFonts w:ascii="Calibri" w:hAnsi="Calibri" w:cs="Calibri"/>
          <w:sz w:val="22"/>
          <w:szCs w:val="22"/>
          <w:lang w:val="it-IT"/>
        </w:rPr>
        <w:t>l settore dei</w:t>
      </w:r>
      <w:r w:rsidR="009F7605" w:rsidRPr="00231540">
        <w:rPr>
          <w:rFonts w:ascii="Calibri" w:hAnsi="Calibri" w:cs="Calibri"/>
          <w:sz w:val="22"/>
          <w:szCs w:val="22"/>
          <w:lang w:val="it-IT"/>
        </w:rPr>
        <w:t xml:space="preserve"> servizi. Riteniamo che ciò farà </w:t>
      </w:r>
      <w:r w:rsidR="005F1526">
        <w:rPr>
          <w:rFonts w:ascii="Calibri" w:hAnsi="Calibri" w:cs="Calibri"/>
          <w:sz w:val="22"/>
          <w:szCs w:val="22"/>
          <w:lang w:val="it-IT"/>
        </w:rPr>
        <w:t>aumentare</w:t>
      </w:r>
      <w:r w:rsidR="005F1526" w:rsidRPr="00231540">
        <w:rPr>
          <w:rFonts w:ascii="Calibri" w:hAnsi="Calibri" w:cs="Calibri"/>
          <w:sz w:val="22"/>
          <w:szCs w:val="22"/>
          <w:lang w:val="it-IT"/>
        </w:rPr>
        <w:t xml:space="preserve"> </w:t>
      </w:r>
      <w:r w:rsidR="009F7605" w:rsidRPr="00231540">
        <w:rPr>
          <w:rFonts w:ascii="Calibri" w:hAnsi="Calibri" w:cs="Calibri"/>
          <w:sz w:val="22"/>
          <w:szCs w:val="22"/>
          <w:lang w:val="it-IT"/>
        </w:rPr>
        <w:t xml:space="preserve">la crescita del PIL </w:t>
      </w:r>
      <w:r w:rsidRPr="00231540">
        <w:rPr>
          <w:rFonts w:ascii="Calibri" w:hAnsi="Calibri" w:cs="Calibri"/>
          <w:sz w:val="22"/>
          <w:szCs w:val="22"/>
          <w:lang w:val="it-IT"/>
        </w:rPr>
        <w:t>nel 2023</w:t>
      </w:r>
      <w:r w:rsidR="005F1526">
        <w:rPr>
          <w:rFonts w:ascii="Calibri" w:hAnsi="Calibri" w:cs="Calibri"/>
          <w:sz w:val="22"/>
          <w:szCs w:val="22"/>
          <w:lang w:val="it-IT"/>
        </w:rPr>
        <w:t xml:space="preserve">, </w:t>
      </w:r>
      <w:r w:rsidR="00D936D1">
        <w:rPr>
          <w:rFonts w:ascii="Calibri" w:hAnsi="Calibri" w:cs="Calibri"/>
          <w:sz w:val="22"/>
          <w:szCs w:val="22"/>
          <w:lang w:val="it-IT"/>
        </w:rPr>
        <w:t xml:space="preserve">e </w:t>
      </w:r>
      <w:r w:rsidR="005F1526" w:rsidRPr="00A56E86">
        <w:rPr>
          <w:rFonts w:ascii="Calibri" w:hAnsi="Calibri" w:cs="Calibri"/>
          <w:b/>
          <w:bCs/>
          <w:sz w:val="22"/>
          <w:szCs w:val="22"/>
          <w:lang w:val="it-IT"/>
        </w:rPr>
        <w:t>abbiamo quindi</w:t>
      </w:r>
      <w:r w:rsidR="005F1526">
        <w:rPr>
          <w:rFonts w:ascii="Calibri" w:hAnsi="Calibri" w:cs="Calibri"/>
          <w:sz w:val="22"/>
          <w:szCs w:val="22"/>
          <w:lang w:val="it-IT"/>
        </w:rPr>
        <w:t xml:space="preserve"> </w:t>
      </w:r>
      <w:r w:rsidR="005F1526" w:rsidRPr="00231540">
        <w:rPr>
          <w:rFonts w:ascii="Calibri" w:hAnsi="Calibri" w:cs="Calibri"/>
          <w:b/>
          <w:bCs/>
          <w:sz w:val="22"/>
          <w:szCs w:val="22"/>
          <w:lang w:val="it-IT"/>
        </w:rPr>
        <w:t xml:space="preserve">rivisto la </w:t>
      </w:r>
      <w:r w:rsidR="009F7605" w:rsidRPr="00231540">
        <w:rPr>
          <w:rFonts w:ascii="Calibri" w:hAnsi="Calibri" w:cs="Calibri"/>
          <w:b/>
          <w:bCs/>
          <w:sz w:val="22"/>
          <w:szCs w:val="22"/>
          <w:lang w:val="it-IT"/>
        </w:rPr>
        <w:t>nostra precedente</w:t>
      </w:r>
      <w:r w:rsidR="009F7605" w:rsidRPr="00231540">
        <w:rPr>
          <w:rFonts w:ascii="Calibri" w:hAnsi="Calibri" w:cs="Calibri"/>
          <w:sz w:val="22"/>
          <w:szCs w:val="22"/>
          <w:lang w:val="it-IT"/>
        </w:rPr>
        <w:t xml:space="preserve"> </w:t>
      </w:r>
      <w:r w:rsidR="009F7605" w:rsidRPr="00231540">
        <w:rPr>
          <w:rFonts w:ascii="Calibri" w:hAnsi="Calibri" w:cs="Calibri"/>
          <w:b/>
          <w:bCs/>
          <w:sz w:val="22"/>
          <w:szCs w:val="22"/>
          <w:lang w:val="it-IT"/>
        </w:rPr>
        <w:t xml:space="preserve">previsione del 5% </w:t>
      </w:r>
      <w:r w:rsidR="005F1526" w:rsidRPr="00231540">
        <w:rPr>
          <w:rFonts w:ascii="Calibri" w:hAnsi="Calibri" w:cs="Calibri"/>
          <w:b/>
          <w:bCs/>
          <w:sz w:val="22"/>
          <w:szCs w:val="22"/>
          <w:lang w:val="it-IT"/>
        </w:rPr>
        <w:t>portandola al</w:t>
      </w:r>
      <w:r w:rsidR="009F7605" w:rsidRPr="00231540">
        <w:rPr>
          <w:rFonts w:ascii="Calibri" w:hAnsi="Calibri" w:cs="Calibri"/>
          <w:b/>
          <w:bCs/>
          <w:sz w:val="22"/>
          <w:szCs w:val="22"/>
          <w:lang w:val="it-IT"/>
        </w:rPr>
        <w:t xml:space="preserve"> 6,2%</w:t>
      </w:r>
      <w:r w:rsidR="005F1526">
        <w:rPr>
          <w:rFonts w:ascii="Calibri" w:hAnsi="Calibri" w:cs="Calibri"/>
          <w:sz w:val="22"/>
          <w:szCs w:val="22"/>
          <w:lang w:val="it-IT"/>
        </w:rPr>
        <w:t xml:space="preserve"> </w:t>
      </w:r>
      <w:r w:rsidR="005F1526" w:rsidRPr="00A56E86">
        <w:rPr>
          <w:rFonts w:ascii="Calibri" w:hAnsi="Calibri" w:cs="Calibri"/>
          <w:b/>
          <w:bCs/>
          <w:sz w:val="22"/>
          <w:szCs w:val="22"/>
          <w:lang w:val="it-IT"/>
        </w:rPr>
        <w:t>circa</w:t>
      </w:r>
      <w:r w:rsidR="009F7605" w:rsidRPr="00231540">
        <w:rPr>
          <w:rFonts w:ascii="Calibri" w:hAnsi="Calibri" w:cs="Calibri"/>
          <w:sz w:val="22"/>
          <w:szCs w:val="22"/>
          <w:lang w:val="it-IT"/>
        </w:rPr>
        <w:t>. Tuttavia, l’euforia probabilmente svanirà con l’esaurirsi della domanda repressa</w:t>
      </w:r>
      <w:r w:rsidR="005F1526">
        <w:rPr>
          <w:rFonts w:ascii="Calibri" w:hAnsi="Calibri" w:cs="Calibri"/>
          <w:sz w:val="22"/>
          <w:szCs w:val="22"/>
          <w:lang w:val="it-IT"/>
        </w:rPr>
        <w:t xml:space="preserve"> e</w:t>
      </w:r>
      <w:r w:rsidR="009F7605" w:rsidRPr="00231540">
        <w:rPr>
          <w:rFonts w:ascii="Calibri" w:hAnsi="Calibri" w:cs="Calibri"/>
          <w:sz w:val="22"/>
          <w:szCs w:val="22"/>
          <w:lang w:val="it-IT"/>
        </w:rPr>
        <w:t xml:space="preserve"> dei risparmi e l’attenuarsi delle forze cicliche. </w:t>
      </w:r>
      <w:r w:rsidR="00CD10E4">
        <w:rPr>
          <w:rFonts w:ascii="Calibri" w:hAnsi="Calibri" w:cs="Calibri"/>
          <w:sz w:val="22"/>
          <w:szCs w:val="22"/>
          <w:lang w:val="it-IT"/>
        </w:rPr>
        <w:t>Per questo, r</w:t>
      </w:r>
      <w:r w:rsidR="009F7605" w:rsidRPr="00231540">
        <w:rPr>
          <w:rFonts w:ascii="Calibri" w:hAnsi="Calibri" w:cs="Calibri"/>
          <w:sz w:val="22"/>
          <w:szCs w:val="22"/>
          <w:lang w:val="it-IT"/>
        </w:rPr>
        <w:t xml:space="preserve">iteniamo che la crescita del PIL </w:t>
      </w:r>
      <w:r w:rsidR="009F7605" w:rsidRPr="00A56E86">
        <w:rPr>
          <w:rFonts w:ascii="Calibri" w:hAnsi="Calibri" w:cs="Calibri"/>
          <w:b/>
          <w:bCs/>
          <w:sz w:val="22"/>
          <w:szCs w:val="22"/>
          <w:lang w:val="it-IT"/>
        </w:rPr>
        <w:t>si ridurrà al 4,5% nel 2024</w:t>
      </w:r>
      <w:r w:rsidR="009F7605" w:rsidRPr="00231540">
        <w:rPr>
          <w:rFonts w:ascii="Calibri" w:hAnsi="Calibri" w:cs="Calibri"/>
          <w:sz w:val="22"/>
          <w:szCs w:val="22"/>
          <w:lang w:val="it-IT"/>
        </w:rPr>
        <w:t xml:space="preserve">.  </w:t>
      </w:r>
    </w:p>
    <w:p w14:paraId="01E489A0" w14:textId="77777777" w:rsidR="009F7605" w:rsidRPr="00231540" w:rsidRDefault="009F7605" w:rsidP="00231540">
      <w:pPr>
        <w:pStyle w:val="NormaleWeb"/>
        <w:shd w:val="clear" w:color="auto" w:fill="FFFFFF"/>
        <w:spacing w:before="0" w:beforeAutospacing="0" w:after="120" w:afterAutospacing="0" w:line="264" w:lineRule="auto"/>
        <w:rPr>
          <w:rStyle w:val="Enfasigrassetto"/>
          <w:rFonts w:ascii="Calibri" w:hAnsi="Calibri" w:cs="Calibri"/>
          <w:b w:val="0"/>
          <w:bCs w:val="0"/>
          <w:sz w:val="22"/>
          <w:szCs w:val="22"/>
          <w:lang w:val="it-IT"/>
        </w:rPr>
      </w:pPr>
      <w:r w:rsidRPr="00231540">
        <w:rPr>
          <w:rStyle w:val="Enfasigrassetto"/>
          <w:rFonts w:ascii="Calibri" w:hAnsi="Calibri" w:cs="Calibri"/>
          <w:b w:val="0"/>
          <w:bCs w:val="0"/>
          <w:sz w:val="22"/>
          <w:szCs w:val="22"/>
          <w:u w:val="single"/>
          <w:lang w:val="it-IT"/>
        </w:rPr>
        <w:t>Ricadute limitate su altre economie</w:t>
      </w:r>
      <w:r w:rsidRPr="00231540">
        <w:rPr>
          <w:rStyle w:val="Enfasigrassetto"/>
          <w:rFonts w:ascii="Calibri" w:hAnsi="Calibri" w:cs="Calibri"/>
          <w:b w:val="0"/>
          <w:bCs w:val="0"/>
          <w:sz w:val="22"/>
          <w:szCs w:val="22"/>
          <w:lang w:val="it-IT"/>
        </w:rPr>
        <w:t xml:space="preserve"> </w:t>
      </w:r>
    </w:p>
    <w:p w14:paraId="20CBE64F" w14:textId="6C318609" w:rsidR="009F7605" w:rsidRDefault="009F7605" w:rsidP="005F1526">
      <w:pPr>
        <w:pStyle w:val="NormaleWeb"/>
        <w:shd w:val="clear" w:color="auto" w:fill="FFFFFF"/>
        <w:spacing w:before="0" w:beforeAutospacing="0" w:after="120" w:afterAutospacing="0" w:line="264" w:lineRule="auto"/>
        <w:rPr>
          <w:rFonts w:ascii="Calibri" w:hAnsi="Calibri" w:cs="Calibri"/>
          <w:sz w:val="22"/>
          <w:szCs w:val="22"/>
          <w:lang w:val="it-IT"/>
        </w:rPr>
      </w:pPr>
      <w:r w:rsidRPr="00231540">
        <w:rPr>
          <w:rFonts w:ascii="Calibri" w:hAnsi="Calibri" w:cs="Calibri"/>
          <w:sz w:val="22"/>
          <w:szCs w:val="22"/>
          <w:lang w:val="it-IT"/>
        </w:rPr>
        <w:t>Le ricadute positive su altre economie potrebbero essere piuttosto limitate.</w:t>
      </w:r>
    </w:p>
    <w:p w14:paraId="696EE0B5" w14:textId="17C27AEB" w:rsidR="009F7605" w:rsidRPr="00231540" w:rsidRDefault="005F1526" w:rsidP="00231540">
      <w:pPr>
        <w:pStyle w:val="NormaleWeb"/>
        <w:shd w:val="clear" w:color="auto" w:fill="FFFFFF"/>
        <w:spacing w:before="0" w:beforeAutospacing="0" w:after="120" w:afterAutospacing="0" w:line="264" w:lineRule="auto"/>
        <w:rPr>
          <w:rFonts w:ascii="Calibri" w:hAnsi="Calibri" w:cs="Calibri"/>
          <w:sz w:val="22"/>
          <w:szCs w:val="22"/>
          <w:lang w:val="it-IT"/>
        </w:rPr>
      </w:pPr>
      <w:r w:rsidRPr="00231540">
        <w:rPr>
          <w:rFonts w:ascii="Calibri" w:hAnsi="Calibri" w:cs="Calibri"/>
          <w:b/>
          <w:bCs/>
          <w:sz w:val="22"/>
          <w:szCs w:val="22"/>
          <w:lang w:val="it-IT"/>
        </w:rPr>
        <w:t>Le economie asiatiche potrebbero beneficiarne: i</w:t>
      </w:r>
      <w:r w:rsidR="009F7605" w:rsidRPr="00231540">
        <w:rPr>
          <w:rFonts w:ascii="Calibri" w:hAnsi="Calibri" w:cs="Calibri"/>
          <w:b/>
          <w:bCs/>
          <w:sz w:val="22"/>
          <w:szCs w:val="22"/>
          <w:lang w:val="it-IT"/>
        </w:rPr>
        <w:t>l ritorno dei turisti cinesi darà impulso ad altre zone dell’Asia</w:t>
      </w:r>
      <w:r w:rsidR="009F7605" w:rsidRPr="00231540">
        <w:rPr>
          <w:rFonts w:ascii="Calibri" w:hAnsi="Calibri" w:cs="Calibri"/>
          <w:sz w:val="22"/>
          <w:szCs w:val="22"/>
          <w:lang w:val="it-IT"/>
        </w:rPr>
        <w:t xml:space="preserve">, </w:t>
      </w:r>
      <w:r w:rsidR="00CD10E4">
        <w:rPr>
          <w:rFonts w:ascii="Calibri" w:hAnsi="Calibri" w:cs="Calibri"/>
          <w:sz w:val="22"/>
          <w:szCs w:val="22"/>
          <w:lang w:val="it-IT"/>
        </w:rPr>
        <w:t>anche se</w:t>
      </w:r>
      <w:r w:rsidR="00CD10E4" w:rsidRPr="00231540">
        <w:rPr>
          <w:rFonts w:ascii="Calibri" w:hAnsi="Calibri" w:cs="Calibri"/>
          <w:sz w:val="22"/>
          <w:szCs w:val="22"/>
          <w:lang w:val="it-IT"/>
        </w:rPr>
        <w:t xml:space="preserve"> </w:t>
      </w:r>
      <w:r w:rsidR="009F7605" w:rsidRPr="00231540">
        <w:rPr>
          <w:rFonts w:ascii="Calibri" w:hAnsi="Calibri" w:cs="Calibri"/>
          <w:sz w:val="22"/>
          <w:szCs w:val="22"/>
          <w:lang w:val="it-IT"/>
        </w:rPr>
        <w:t xml:space="preserve">probabilmente si tratterà di piccole economie asiatiche che rappresentano solo una </w:t>
      </w:r>
      <w:r w:rsidR="00CD10E4">
        <w:rPr>
          <w:rFonts w:ascii="Calibri" w:hAnsi="Calibri" w:cs="Calibri"/>
          <w:sz w:val="22"/>
          <w:szCs w:val="22"/>
          <w:lang w:val="it-IT"/>
        </w:rPr>
        <w:t xml:space="preserve">piccola </w:t>
      </w:r>
      <w:r w:rsidR="009F7605" w:rsidRPr="00231540">
        <w:rPr>
          <w:rFonts w:ascii="Calibri" w:hAnsi="Calibri" w:cs="Calibri"/>
          <w:sz w:val="22"/>
          <w:szCs w:val="22"/>
          <w:lang w:val="it-IT"/>
        </w:rPr>
        <w:t>frazione del PIL mondiale.</w:t>
      </w:r>
    </w:p>
    <w:p w14:paraId="68608C63" w14:textId="1893FDDB" w:rsidR="00CD10E4" w:rsidRPr="00231540" w:rsidRDefault="00CD10E4" w:rsidP="00231540">
      <w:pPr>
        <w:pStyle w:val="NormaleWeb"/>
        <w:shd w:val="clear" w:color="auto" w:fill="FFFFFF"/>
        <w:spacing w:before="0" w:beforeAutospacing="0" w:after="120" w:afterAutospacing="0" w:line="264" w:lineRule="auto"/>
        <w:rPr>
          <w:rStyle w:val="Enfasicorsivo"/>
          <w:rFonts w:ascii="Calibri" w:hAnsi="Calibri" w:cs="Calibri"/>
          <w:sz w:val="22"/>
          <w:szCs w:val="22"/>
          <w:lang w:val="it-IT"/>
        </w:rPr>
      </w:pPr>
      <w:r>
        <w:rPr>
          <w:rStyle w:val="Enfasicorsivo"/>
          <w:rFonts w:ascii="Calibri" w:hAnsi="Calibri" w:cs="Calibri"/>
          <w:noProof/>
          <w:sz w:val="22"/>
          <w:szCs w:val="22"/>
          <w:lang w:val="it-IT"/>
        </w:rPr>
        <w:lastRenderedPageBreak/>
        <w:drawing>
          <wp:inline distT="0" distB="0" distL="0" distR="0" wp14:anchorId="5068666C" wp14:editId="174C1ED6">
            <wp:extent cx="4203354" cy="2682875"/>
            <wp:effectExtent l="0" t="0" r="698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5820" cy="2684449"/>
                    </a:xfrm>
                    <a:prstGeom prst="rect">
                      <a:avLst/>
                    </a:prstGeom>
                    <a:noFill/>
                  </pic:spPr>
                </pic:pic>
              </a:graphicData>
            </a:graphic>
          </wp:inline>
        </w:drawing>
      </w:r>
    </w:p>
    <w:p w14:paraId="07E5BAF9" w14:textId="0EF98DCE" w:rsidR="009F7605" w:rsidRPr="00231540" w:rsidRDefault="00CD10E4" w:rsidP="00231540">
      <w:pPr>
        <w:pStyle w:val="NormaleWeb"/>
        <w:shd w:val="clear" w:color="auto" w:fill="FFFFFF"/>
        <w:spacing w:before="0" w:beforeAutospacing="0" w:after="120" w:afterAutospacing="0" w:line="264" w:lineRule="auto"/>
        <w:rPr>
          <w:rFonts w:ascii="Calibri" w:hAnsi="Calibri" w:cs="Calibri"/>
          <w:sz w:val="22"/>
          <w:szCs w:val="22"/>
          <w:lang w:val="it-IT"/>
        </w:rPr>
      </w:pPr>
      <w:r w:rsidRPr="00B926A3">
        <w:rPr>
          <w:rFonts w:ascii="Calibri" w:hAnsi="Calibri" w:cs="Calibri"/>
          <w:b/>
          <w:bCs/>
          <w:sz w:val="22"/>
          <w:szCs w:val="22"/>
          <w:lang w:val="it-IT"/>
        </w:rPr>
        <w:t>I Paesi europei che esportano beni in Cina invece potrebbero non trarne vantaggio come in passato.</w:t>
      </w:r>
      <w:r>
        <w:rPr>
          <w:rFonts w:ascii="Calibri" w:hAnsi="Calibri" w:cs="Calibri"/>
          <w:sz w:val="22"/>
          <w:szCs w:val="22"/>
          <w:lang w:val="it-IT"/>
        </w:rPr>
        <w:t xml:space="preserve"> </w:t>
      </w:r>
      <w:r w:rsidR="009F2734" w:rsidRPr="00231540">
        <w:rPr>
          <w:rFonts w:ascii="Calibri" w:hAnsi="Calibri" w:cs="Calibri"/>
          <w:sz w:val="22"/>
          <w:szCs w:val="22"/>
          <w:lang w:val="it-IT"/>
        </w:rPr>
        <w:t>Solitamente,</w:t>
      </w:r>
      <w:r w:rsidR="009F7605" w:rsidRPr="00231540">
        <w:rPr>
          <w:rFonts w:ascii="Calibri" w:hAnsi="Calibri" w:cs="Calibri"/>
          <w:sz w:val="22"/>
          <w:szCs w:val="22"/>
          <w:lang w:val="it-IT"/>
        </w:rPr>
        <w:t xml:space="preserve"> l’Europa beneficia di una ripresa </w:t>
      </w:r>
      <w:r w:rsidR="009F2734" w:rsidRPr="00231540">
        <w:rPr>
          <w:rFonts w:ascii="Calibri" w:hAnsi="Calibri" w:cs="Calibri"/>
          <w:sz w:val="22"/>
          <w:szCs w:val="22"/>
          <w:lang w:val="it-IT"/>
        </w:rPr>
        <w:t>dovuta al</w:t>
      </w:r>
      <w:r w:rsidR="009F7605" w:rsidRPr="00231540">
        <w:rPr>
          <w:rFonts w:ascii="Calibri" w:hAnsi="Calibri" w:cs="Calibri"/>
          <w:sz w:val="22"/>
          <w:szCs w:val="22"/>
          <w:lang w:val="it-IT"/>
        </w:rPr>
        <w:t xml:space="preserve"> ciclo economico cinese, poiché una crescita più sostenuta stimola gli investimenti dei produttori in risposta all’aumento della domanda di beni. Tuttavia, </w:t>
      </w:r>
      <w:r>
        <w:rPr>
          <w:rFonts w:ascii="Calibri" w:hAnsi="Calibri" w:cs="Calibri"/>
          <w:sz w:val="22"/>
          <w:szCs w:val="22"/>
          <w:lang w:val="it-IT"/>
        </w:rPr>
        <w:t xml:space="preserve">questa volta </w:t>
      </w:r>
      <w:r w:rsidR="009F7605" w:rsidRPr="00231540">
        <w:rPr>
          <w:rFonts w:ascii="Calibri" w:hAnsi="Calibri" w:cs="Calibri"/>
          <w:sz w:val="22"/>
          <w:szCs w:val="22"/>
          <w:lang w:val="it-IT"/>
        </w:rPr>
        <w:t>ci aspettiamo che la ripresa sia orientata verso i servizi e non verso il settore manifatturiero.</w:t>
      </w:r>
    </w:p>
    <w:p w14:paraId="13429736" w14:textId="2425D34A" w:rsidR="009F7605" w:rsidRPr="00231540" w:rsidRDefault="009F7605" w:rsidP="00231540">
      <w:pPr>
        <w:pStyle w:val="NormaleWeb"/>
        <w:shd w:val="clear" w:color="auto" w:fill="FFFFFF"/>
        <w:spacing w:before="0" w:beforeAutospacing="0" w:after="120" w:afterAutospacing="0" w:line="264" w:lineRule="auto"/>
        <w:rPr>
          <w:rFonts w:ascii="Calibri" w:hAnsi="Calibri" w:cs="Calibri"/>
          <w:sz w:val="22"/>
          <w:szCs w:val="22"/>
          <w:lang w:val="it-IT"/>
        </w:rPr>
      </w:pPr>
      <w:r w:rsidRPr="00231540">
        <w:rPr>
          <w:rFonts w:ascii="Calibri" w:hAnsi="Calibri" w:cs="Calibri"/>
          <w:sz w:val="22"/>
          <w:szCs w:val="22"/>
          <w:lang w:val="it-IT"/>
        </w:rPr>
        <w:t xml:space="preserve">Inoltre, </w:t>
      </w:r>
      <w:r w:rsidRPr="00A56E86">
        <w:rPr>
          <w:rFonts w:ascii="Calibri" w:hAnsi="Calibri" w:cs="Calibri"/>
          <w:sz w:val="22"/>
          <w:szCs w:val="22"/>
          <w:lang w:val="it-IT"/>
        </w:rPr>
        <w:t>i forti investimenti precedenti e la debolezza della domanda esterna rendono improbabile che la ripresa stimoli un nuovo ciclo di investimenti nel settore manifatturiero</w:t>
      </w:r>
      <w:r w:rsidRPr="00231540">
        <w:rPr>
          <w:rFonts w:ascii="Calibri" w:hAnsi="Calibri" w:cs="Calibri"/>
          <w:sz w:val="22"/>
          <w:szCs w:val="22"/>
          <w:lang w:val="it-IT"/>
        </w:rPr>
        <w:t xml:space="preserve"> che </w:t>
      </w:r>
      <w:r w:rsidR="00CD10E4">
        <w:rPr>
          <w:rFonts w:ascii="Calibri" w:hAnsi="Calibri" w:cs="Calibri"/>
          <w:sz w:val="22"/>
          <w:szCs w:val="22"/>
          <w:lang w:val="it-IT"/>
        </w:rPr>
        <w:t>implichi maggiori</w:t>
      </w:r>
      <w:r w:rsidRPr="00231540">
        <w:rPr>
          <w:rFonts w:ascii="Calibri" w:hAnsi="Calibri" w:cs="Calibri"/>
          <w:sz w:val="22"/>
          <w:szCs w:val="22"/>
          <w:lang w:val="it-IT"/>
        </w:rPr>
        <w:t xml:space="preserve"> importazioni dall’Europa e dal resto del mondo. Infine, sebbene la politica Zero-Covid possa aver ritardato gli investimenti diretti esteri, </w:t>
      </w:r>
      <w:r w:rsidRPr="00A56E86">
        <w:rPr>
          <w:rFonts w:ascii="Calibri" w:hAnsi="Calibri" w:cs="Calibri"/>
          <w:sz w:val="22"/>
          <w:szCs w:val="22"/>
          <w:lang w:val="it-IT"/>
        </w:rPr>
        <w:t xml:space="preserve">non è </w:t>
      </w:r>
      <w:r w:rsidR="00B06BB0" w:rsidRPr="00A56E86">
        <w:rPr>
          <w:rFonts w:ascii="Calibri" w:hAnsi="Calibri" w:cs="Calibri"/>
          <w:sz w:val="22"/>
          <w:szCs w:val="22"/>
          <w:lang w:val="it-IT"/>
        </w:rPr>
        <w:t xml:space="preserve">ancora </w:t>
      </w:r>
      <w:r w:rsidRPr="00A56E86">
        <w:rPr>
          <w:rFonts w:ascii="Calibri" w:hAnsi="Calibri" w:cs="Calibri"/>
          <w:sz w:val="22"/>
          <w:szCs w:val="22"/>
          <w:lang w:val="it-IT"/>
        </w:rPr>
        <w:t>chiaro se le multinazionali aumenteranno gli investimenti in Cina in un momento in cui le pressioni geopolitiche spingono verso la diversificazione della catena di approvvigionamento</w:t>
      </w:r>
      <w:r w:rsidRPr="00B926A3">
        <w:rPr>
          <w:rFonts w:ascii="Calibri" w:hAnsi="Calibri" w:cs="Calibri"/>
          <w:b/>
          <w:bCs/>
          <w:sz w:val="22"/>
          <w:szCs w:val="22"/>
          <w:lang w:val="it-IT"/>
        </w:rPr>
        <w:t>.</w:t>
      </w:r>
    </w:p>
    <w:p w14:paraId="1A583A57" w14:textId="3F8E3073" w:rsidR="009F7605" w:rsidRPr="00231540" w:rsidRDefault="009F7605" w:rsidP="00231540">
      <w:pPr>
        <w:pStyle w:val="NormaleWeb"/>
        <w:shd w:val="clear" w:color="auto" w:fill="FFFFFF"/>
        <w:spacing w:before="0" w:beforeAutospacing="0" w:after="120" w:afterAutospacing="0" w:line="264" w:lineRule="auto"/>
        <w:rPr>
          <w:rFonts w:ascii="Calibri" w:hAnsi="Calibri" w:cs="Calibri"/>
          <w:sz w:val="22"/>
          <w:szCs w:val="22"/>
          <w:lang w:val="it-IT"/>
        </w:rPr>
      </w:pPr>
      <w:r w:rsidRPr="00231540">
        <w:rPr>
          <w:rFonts w:ascii="Calibri" w:hAnsi="Calibri" w:cs="Calibri"/>
          <w:sz w:val="22"/>
          <w:szCs w:val="22"/>
          <w:lang w:val="it-IT"/>
        </w:rPr>
        <w:t xml:space="preserve">Gli esportatori di materie prime potrebbero ricevere un certo sostegno in caso di rialzo dei prezzi, ma questa volta il copione potrebbe essere diverso. Mentre in passato la ripresa trainata dall’edilizia ha sostenuto i prezzi dei metalli industriali, avvantaggiando </w:t>
      </w:r>
      <w:r w:rsidR="00CD10E4">
        <w:rPr>
          <w:rFonts w:ascii="Calibri" w:hAnsi="Calibri" w:cs="Calibri"/>
          <w:sz w:val="22"/>
          <w:szCs w:val="22"/>
          <w:lang w:val="it-IT"/>
        </w:rPr>
        <w:t>P</w:t>
      </w:r>
      <w:r w:rsidRPr="00231540">
        <w:rPr>
          <w:rFonts w:ascii="Calibri" w:hAnsi="Calibri" w:cs="Calibri"/>
          <w:sz w:val="22"/>
          <w:szCs w:val="22"/>
          <w:lang w:val="it-IT"/>
        </w:rPr>
        <w:t xml:space="preserve">aesi </w:t>
      </w:r>
      <w:r w:rsidR="00CD10E4">
        <w:rPr>
          <w:rFonts w:ascii="Calibri" w:hAnsi="Calibri" w:cs="Calibri"/>
          <w:sz w:val="22"/>
          <w:szCs w:val="22"/>
          <w:lang w:val="it-IT"/>
        </w:rPr>
        <w:t xml:space="preserve">esportatori </w:t>
      </w:r>
      <w:r w:rsidRPr="00231540">
        <w:rPr>
          <w:rFonts w:ascii="Calibri" w:hAnsi="Calibri" w:cs="Calibri"/>
          <w:sz w:val="22"/>
          <w:szCs w:val="22"/>
          <w:lang w:val="it-IT"/>
        </w:rPr>
        <w:t xml:space="preserve">come l’America Latina e l’Africa, </w:t>
      </w:r>
      <w:r w:rsidRPr="00B926A3">
        <w:rPr>
          <w:rFonts w:ascii="Calibri" w:hAnsi="Calibri" w:cs="Calibri"/>
          <w:b/>
          <w:bCs/>
          <w:sz w:val="22"/>
          <w:szCs w:val="22"/>
          <w:lang w:val="it-IT"/>
        </w:rPr>
        <w:t xml:space="preserve">una ripresa dei servizi potrebbe sostenere maggiormente </w:t>
      </w:r>
      <w:r w:rsidR="00CD10E4" w:rsidRPr="00B926A3">
        <w:rPr>
          <w:rFonts w:ascii="Calibri" w:hAnsi="Calibri" w:cs="Calibri"/>
          <w:b/>
          <w:bCs/>
          <w:sz w:val="22"/>
          <w:szCs w:val="22"/>
          <w:lang w:val="it-IT"/>
        </w:rPr>
        <w:t xml:space="preserve">il settore </w:t>
      </w:r>
      <w:r w:rsidRPr="00B926A3">
        <w:rPr>
          <w:rFonts w:ascii="Calibri" w:hAnsi="Calibri" w:cs="Calibri"/>
          <w:b/>
          <w:bCs/>
          <w:sz w:val="22"/>
          <w:szCs w:val="22"/>
          <w:lang w:val="it-IT"/>
        </w:rPr>
        <w:t>energ</w:t>
      </w:r>
      <w:r w:rsidR="00CD10E4" w:rsidRPr="00B926A3">
        <w:rPr>
          <w:rFonts w:ascii="Calibri" w:hAnsi="Calibri" w:cs="Calibri"/>
          <w:b/>
          <w:bCs/>
          <w:sz w:val="22"/>
          <w:szCs w:val="22"/>
          <w:lang w:val="it-IT"/>
        </w:rPr>
        <w:t>etico</w:t>
      </w:r>
      <w:r w:rsidRPr="00231540">
        <w:rPr>
          <w:rFonts w:ascii="Calibri" w:hAnsi="Calibri" w:cs="Calibri"/>
          <w:sz w:val="22"/>
          <w:szCs w:val="22"/>
          <w:lang w:val="it-IT"/>
        </w:rPr>
        <w:t xml:space="preserve">. </w:t>
      </w:r>
      <w:r w:rsidRPr="00B926A3">
        <w:rPr>
          <w:rFonts w:ascii="Calibri" w:hAnsi="Calibri" w:cs="Calibri"/>
          <w:b/>
          <w:bCs/>
          <w:sz w:val="22"/>
          <w:szCs w:val="22"/>
          <w:lang w:val="it-IT"/>
        </w:rPr>
        <w:t>Ciò potrebbe riaccendere l’inflazione globale</w:t>
      </w:r>
      <w:r w:rsidRPr="00231540">
        <w:rPr>
          <w:rFonts w:ascii="Calibri" w:hAnsi="Calibri" w:cs="Calibri"/>
          <w:sz w:val="22"/>
          <w:szCs w:val="22"/>
          <w:lang w:val="it-IT"/>
        </w:rPr>
        <w:t xml:space="preserve">, </w:t>
      </w:r>
      <w:r w:rsidRPr="00B926A3">
        <w:rPr>
          <w:rFonts w:ascii="Calibri" w:hAnsi="Calibri" w:cs="Calibri"/>
          <w:b/>
          <w:bCs/>
          <w:sz w:val="22"/>
          <w:szCs w:val="22"/>
          <w:lang w:val="it-IT"/>
        </w:rPr>
        <w:t xml:space="preserve">rimettendo sotto pressione i redditi reali e lasciando meno spazio alle </w:t>
      </w:r>
      <w:r w:rsidR="00CF26E7" w:rsidRPr="00B926A3">
        <w:rPr>
          <w:rFonts w:ascii="Calibri" w:hAnsi="Calibri" w:cs="Calibri"/>
          <w:b/>
          <w:bCs/>
          <w:sz w:val="22"/>
          <w:szCs w:val="22"/>
          <w:lang w:val="it-IT"/>
        </w:rPr>
        <w:t>b</w:t>
      </w:r>
      <w:r w:rsidRPr="00B926A3">
        <w:rPr>
          <w:rFonts w:ascii="Calibri" w:hAnsi="Calibri" w:cs="Calibri"/>
          <w:b/>
          <w:bCs/>
          <w:sz w:val="22"/>
          <w:szCs w:val="22"/>
          <w:lang w:val="it-IT"/>
        </w:rPr>
        <w:t xml:space="preserve">anche </w:t>
      </w:r>
      <w:r w:rsidR="00CF26E7" w:rsidRPr="00B926A3">
        <w:rPr>
          <w:rFonts w:ascii="Calibri" w:hAnsi="Calibri" w:cs="Calibri"/>
          <w:b/>
          <w:bCs/>
          <w:sz w:val="22"/>
          <w:szCs w:val="22"/>
          <w:lang w:val="it-IT"/>
        </w:rPr>
        <w:t>c</w:t>
      </w:r>
      <w:r w:rsidRPr="00B926A3">
        <w:rPr>
          <w:rFonts w:ascii="Calibri" w:hAnsi="Calibri" w:cs="Calibri"/>
          <w:b/>
          <w:bCs/>
          <w:sz w:val="22"/>
          <w:szCs w:val="22"/>
          <w:lang w:val="it-IT"/>
        </w:rPr>
        <w:t>entrali per abbassare i tassi di interesse nel 2024</w:t>
      </w:r>
      <w:r w:rsidRPr="00231540">
        <w:rPr>
          <w:rFonts w:ascii="Calibri" w:hAnsi="Calibri" w:cs="Calibri"/>
          <w:sz w:val="22"/>
          <w:szCs w:val="22"/>
          <w:lang w:val="it-IT"/>
        </w:rPr>
        <w:t xml:space="preserve">. Alcuni mercati emergenti potrebbero prosperare in un contesto di aumento dei prezzi del petrolio, ma la maggior parte di essi si troverà ad affrontare un periodo di crescita lenta a causa dell’aumento dei tassi di interesse e della debolezza della domanda esterna. </w:t>
      </w:r>
    </w:p>
    <w:p w14:paraId="15CCE03F" w14:textId="77777777" w:rsidR="009F7605" w:rsidRPr="00231540" w:rsidRDefault="009F7605" w:rsidP="00231540">
      <w:pPr>
        <w:pStyle w:val="NormaleWeb"/>
        <w:shd w:val="clear" w:color="auto" w:fill="FFFFFF"/>
        <w:spacing w:before="0" w:beforeAutospacing="0" w:after="120" w:afterAutospacing="0" w:line="264" w:lineRule="auto"/>
        <w:rPr>
          <w:rStyle w:val="Enfasigrassetto"/>
          <w:rFonts w:ascii="Calibri" w:hAnsi="Calibri" w:cs="Calibri"/>
          <w:b w:val="0"/>
          <w:bCs w:val="0"/>
          <w:sz w:val="22"/>
          <w:szCs w:val="22"/>
          <w:u w:val="single"/>
          <w:lang w:val="it-IT"/>
        </w:rPr>
      </w:pPr>
      <w:r w:rsidRPr="00231540">
        <w:rPr>
          <w:rStyle w:val="Enfasigrassetto"/>
          <w:rFonts w:ascii="Calibri" w:hAnsi="Calibri" w:cs="Calibri"/>
          <w:b w:val="0"/>
          <w:bCs w:val="0"/>
          <w:sz w:val="22"/>
          <w:szCs w:val="22"/>
          <w:u w:val="single"/>
          <w:lang w:val="it-IT"/>
        </w:rPr>
        <w:t xml:space="preserve">La riapertura della Cina non porterà grandi benefici all’economia globale </w:t>
      </w:r>
    </w:p>
    <w:p w14:paraId="02144495" w14:textId="136501E5" w:rsidR="009F7605" w:rsidRPr="00231540" w:rsidRDefault="00963657" w:rsidP="00231540">
      <w:pPr>
        <w:pStyle w:val="NormaleWeb"/>
        <w:shd w:val="clear" w:color="auto" w:fill="FFFFFF"/>
        <w:spacing w:before="0" w:beforeAutospacing="0" w:after="120" w:afterAutospacing="0" w:line="264" w:lineRule="auto"/>
        <w:rPr>
          <w:rFonts w:ascii="Calibri" w:hAnsi="Calibri" w:cs="Calibri"/>
          <w:sz w:val="22"/>
          <w:szCs w:val="22"/>
          <w:lang w:val="it-IT"/>
        </w:rPr>
      </w:pPr>
      <w:r w:rsidRPr="00231540">
        <w:rPr>
          <w:rFonts w:ascii="Calibri" w:hAnsi="Calibri" w:cs="Calibri"/>
          <w:sz w:val="22"/>
          <w:szCs w:val="22"/>
          <w:lang w:val="it-IT"/>
        </w:rPr>
        <w:t xml:space="preserve">Dunque, </w:t>
      </w:r>
      <w:r w:rsidR="009F7605" w:rsidRPr="00231540">
        <w:rPr>
          <w:rFonts w:ascii="Calibri" w:hAnsi="Calibri" w:cs="Calibri"/>
          <w:sz w:val="22"/>
          <w:szCs w:val="22"/>
          <w:lang w:val="it-IT"/>
        </w:rPr>
        <w:t xml:space="preserve">mentre l’abbandono della </w:t>
      </w:r>
      <w:r w:rsidR="00CF26E7" w:rsidRPr="00231540">
        <w:rPr>
          <w:rFonts w:ascii="Calibri" w:hAnsi="Calibri" w:cs="Calibri"/>
          <w:sz w:val="22"/>
          <w:szCs w:val="22"/>
          <w:lang w:val="it-IT"/>
        </w:rPr>
        <w:t xml:space="preserve">politica Zero-Covid </w:t>
      </w:r>
      <w:r w:rsidRPr="00231540">
        <w:rPr>
          <w:rFonts w:ascii="Calibri" w:hAnsi="Calibri" w:cs="Calibri"/>
          <w:sz w:val="22"/>
          <w:szCs w:val="22"/>
          <w:lang w:val="it-IT"/>
        </w:rPr>
        <w:t>ha</w:t>
      </w:r>
      <w:r w:rsidR="009F7605" w:rsidRPr="00231540">
        <w:rPr>
          <w:rFonts w:ascii="Calibri" w:hAnsi="Calibri" w:cs="Calibri"/>
          <w:sz w:val="22"/>
          <w:szCs w:val="22"/>
          <w:lang w:val="it-IT"/>
        </w:rPr>
        <w:t xml:space="preserve"> chiaramente migliorato le prospettive della Cina per quest’anno, il resto del mondo potrebbe non beneficiarne molto, </w:t>
      </w:r>
      <w:r w:rsidR="009F7605" w:rsidRPr="00CD10E4">
        <w:rPr>
          <w:rFonts w:ascii="Calibri" w:hAnsi="Calibri" w:cs="Calibri"/>
          <w:color w:val="2B2B2A"/>
          <w:sz w:val="22"/>
          <w:szCs w:val="22"/>
          <w:lang w:val="it-IT"/>
        </w:rPr>
        <w:t xml:space="preserve">se non per nulla. </w:t>
      </w:r>
      <w:r w:rsidR="009F7605" w:rsidRPr="00231540">
        <w:rPr>
          <w:rFonts w:ascii="Calibri" w:hAnsi="Calibri" w:cs="Calibri"/>
          <w:sz w:val="22"/>
          <w:szCs w:val="22"/>
          <w:lang w:val="it-IT"/>
        </w:rPr>
        <w:t xml:space="preserve">Infatti, anche se abbiamo rivisto al rialzo le nostre aspettative di crescita </w:t>
      </w:r>
      <w:r w:rsidR="00CD10E4">
        <w:rPr>
          <w:rFonts w:ascii="Calibri" w:hAnsi="Calibri" w:cs="Calibri"/>
          <w:sz w:val="22"/>
          <w:szCs w:val="22"/>
          <w:lang w:val="it-IT"/>
        </w:rPr>
        <w:t>per</w:t>
      </w:r>
      <w:r w:rsidR="009F7605" w:rsidRPr="00231540">
        <w:rPr>
          <w:rFonts w:ascii="Calibri" w:hAnsi="Calibri" w:cs="Calibri"/>
          <w:sz w:val="22"/>
          <w:szCs w:val="22"/>
          <w:lang w:val="it-IT"/>
        </w:rPr>
        <w:t xml:space="preserve"> Stati Uniti e</w:t>
      </w:r>
      <w:r w:rsidR="00CD10E4">
        <w:rPr>
          <w:rFonts w:ascii="Calibri" w:hAnsi="Calibri" w:cs="Calibri"/>
          <w:sz w:val="22"/>
          <w:szCs w:val="22"/>
          <w:lang w:val="it-IT"/>
        </w:rPr>
        <w:t xml:space="preserve">d </w:t>
      </w:r>
      <w:r w:rsidR="009F7605" w:rsidRPr="00231540">
        <w:rPr>
          <w:rFonts w:ascii="Calibri" w:hAnsi="Calibri" w:cs="Calibri"/>
          <w:sz w:val="22"/>
          <w:szCs w:val="22"/>
          <w:lang w:val="it-IT"/>
        </w:rPr>
        <w:t>Eurozona per quest’anno, i miglioramenti sono dovuti a fattori interni piuttosto che alla spinta</w:t>
      </w:r>
      <w:r w:rsidR="00CD10E4">
        <w:rPr>
          <w:rFonts w:ascii="Calibri" w:hAnsi="Calibri" w:cs="Calibri"/>
          <w:sz w:val="22"/>
          <w:szCs w:val="22"/>
          <w:lang w:val="it-IT"/>
        </w:rPr>
        <w:t xml:space="preserve"> proveniente</w:t>
      </w:r>
      <w:r w:rsidR="009F7605" w:rsidRPr="00231540">
        <w:rPr>
          <w:rFonts w:ascii="Calibri" w:hAnsi="Calibri" w:cs="Calibri"/>
          <w:sz w:val="22"/>
          <w:szCs w:val="22"/>
          <w:lang w:val="it-IT"/>
        </w:rPr>
        <w:t xml:space="preserve"> d</w:t>
      </w:r>
      <w:r w:rsidR="00F446C3">
        <w:rPr>
          <w:rFonts w:ascii="Calibri" w:hAnsi="Calibri" w:cs="Calibri"/>
          <w:sz w:val="22"/>
          <w:szCs w:val="22"/>
          <w:lang w:val="it-IT"/>
        </w:rPr>
        <w:t>a</w:t>
      </w:r>
      <w:r w:rsidR="009F7605" w:rsidRPr="00231540">
        <w:rPr>
          <w:rFonts w:ascii="Calibri" w:hAnsi="Calibri" w:cs="Calibri"/>
          <w:sz w:val="22"/>
          <w:szCs w:val="22"/>
          <w:lang w:val="it-IT"/>
        </w:rPr>
        <w:t>lla Cina.</w:t>
      </w:r>
    </w:p>
    <w:p w14:paraId="5E97B1DD" w14:textId="77777777" w:rsidR="009F7605" w:rsidRPr="00231540" w:rsidRDefault="009F7605" w:rsidP="00231540">
      <w:pPr>
        <w:pStyle w:val="NormaleWeb"/>
        <w:shd w:val="clear" w:color="auto" w:fill="FFFFFF"/>
        <w:spacing w:before="0" w:beforeAutospacing="0" w:after="120" w:afterAutospacing="0" w:line="264" w:lineRule="auto"/>
        <w:rPr>
          <w:rFonts w:ascii="Calibri" w:hAnsi="Calibri" w:cs="Calibri"/>
          <w:sz w:val="22"/>
          <w:szCs w:val="22"/>
          <w:lang w:val="it-IT"/>
        </w:rPr>
      </w:pPr>
    </w:p>
    <w:p w14:paraId="7C8F4BCB" w14:textId="77777777" w:rsidR="009F7605" w:rsidRPr="00231540" w:rsidRDefault="009F7605" w:rsidP="00231540">
      <w:pPr>
        <w:pStyle w:val="NormaleWeb"/>
        <w:shd w:val="clear" w:color="auto" w:fill="FFFFFF"/>
        <w:spacing w:before="0" w:beforeAutospacing="0" w:after="120" w:afterAutospacing="0" w:line="264" w:lineRule="auto"/>
        <w:rPr>
          <w:rFonts w:ascii="Calibri" w:hAnsi="Calibri" w:cs="Calibri"/>
          <w:sz w:val="22"/>
          <w:szCs w:val="22"/>
          <w:lang w:val="it-IT"/>
        </w:rPr>
      </w:pPr>
    </w:p>
    <w:p w14:paraId="7BB270CC" w14:textId="684DD3A8" w:rsidR="006E49B2" w:rsidRPr="005F1526" w:rsidRDefault="006E49B2" w:rsidP="00231540">
      <w:pPr>
        <w:pStyle w:val="NormaleWeb"/>
        <w:shd w:val="clear" w:color="auto" w:fill="FFFFFF"/>
        <w:spacing w:before="0" w:beforeAutospacing="0" w:after="120" w:afterAutospacing="0" w:line="264" w:lineRule="auto"/>
        <w:rPr>
          <w:rFonts w:ascii="Calibri" w:hAnsi="Calibri" w:cs="Calibri"/>
          <w:sz w:val="22"/>
          <w:szCs w:val="22"/>
          <w:lang w:val="it-IT"/>
        </w:rPr>
      </w:pPr>
    </w:p>
    <w:sectPr w:rsidR="006E49B2" w:rsidRPr="005F1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3"/>
    <w:rsid w:val="00070D87"/>
    <w:rsid w:val="001F1E0E"/>
    <w:rsid w:val="00212737"/>
    <w:rsid w:val="00231540"/>
    <w:rsid w:val="004A0EB2"/>
    <w:rsid w:val="004E11D3"/>
    <w:rsid w:val="005F1526"/>
    <w:rsid w:val="006E49B2"/>
    <w:rsid w:val="00847A73"/>
    <w:rsid w:val="00963657"/>
    <w:rsid w:val="009F196A"/>
    <w:rsid w:val="009F2734"/>
    <w:rsid w:val="009F7605"/>
    <w:rsid w:val="00A56E86"/>
    <w:rsid w:val="00B06BB0"/>
    <w:rsid w:val="00B926A3"/>
    <w:rsid w:val="00BC4C71"/>
    <w:rsid w:val="00BD4A12"/>
    <w:rsid w:val="00CD10E4"/>
    <w:rsid w:val="00CF26E7"/>
    <w:rsid w:val="00D936D1"/>
    <w:rsid w:val="00DA1838"/>
    <w:rsid w:val="00EB2A58"/>
    <w:rsid w:val="00F446C3"/>
    <w:rsid w:val="00F7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7908"/>
  <w15:chartTrackingRefBased/>
  <w15:docId w15:val="{0DFE897B-9AC4-AC47-AC9A-CB43E3AB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E11D3"/>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Titolo2">
    <w:name w:val="heading 2"/>
    <w:basedOn w:val="Normale"/>
    <w:next w:val="Normale"/>
    <w:link w:val="Titolo2Carattere"/>
    <w:uiPriority w:val="9"/>
    <w:semiHidden/>
    <w:unhideWhenUsed/>
    <w:qFormat/>
    <w:rsid w:val="004E11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11D3"/>
    <w:rPr>
      <w:rFonts w:ascii="Times New Roman" w:eastAsia="Times New Roman" w:hAnsi="Times New Roman" w:cs="Times New Roman"/>
      <w:b/>
      <w:bCs/>
      <w:kern w:val="36"/>
      <w:sz w:val="48"/>
      <w:szCs w:val="48"/>
      <w:lang w:eastAsia="en-GB"/>
      <w14:ligatures w14:val="none"/>
    </w:rPr>
  </w:style>
  <w:style w:type="paragraph" w:customStyle="1" w:styleId="hidden-xs">
    <w:name w:val="hidden-xs"/>
    <w:basedOn w:val="Normale"/>
    <w:rsid w:val="004E11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name">
    <w:name w:val="name"/>
    <w:basedOn w:val="Normale"/>
    <w:rsid w:val="004E11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itle1">
    <w:name w:val="Title1"/>
    <w:basedOn w:val="Normale"/>
    <w:rsid w:val="004E11D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itolo2Carattere">
    <w:name w:val="Titolo 2 Carattere"/>
    <w:basedOn w:val="Carpredefinitoparagrafo"/>
    <w:link w:val="Titolo2"/>
    <w:uiPriority w:val="9"/>
    <w:semiHidden/>
    <w:rsid w:val="004E11D3"/>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unhideWhenUsed/>
    <w:rsid w:val="004E11D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nfasigrassetto">
    <w:name w:val="Strong"/>
    <w:basedOn w:val="Carpredefinitoparagrafo"/>
    <w:uiPriority w:val="22"/>
    <w:qFormat/>
    <w:rsid w:val="004E11D3"/>
    <w:rPr>
      <w:b/>
      <w:bCs/>
    </w:rPr>
  </w:style>
  <w:style w:type="character" w:styleId="Enfasicorsivo">
    <w:name w:val="Emphasis"/>
    <w:basedOn w:val="Carpredefinitoparagrafo"/>
    <w:uiPriority w:val="20"/>
    <w:qFormat/>
    <w:rsid w:val="004E11D3"/>
    <w:rPr>
      <w:i/>
      <w:iCs/>
    </w:rPr>
  </w:style>
  <w:style w:type="paragraph" w:styleId="Revisione">
    <w:name w:val="Revision"/>
    <w:hidden/>
    <w:uiPriority w:val="99"/>
    <w:semiHidden/>
    <w:rsid w:val="00EB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2478">
      <w:bodyDiv w:val="1"/>
      <w:marLeft w:val="0"/>
      <w:marRight w:val="0"/>
      <w:marTop w:val="0"/>
      <w:marBottom w:val="0"/>
      <w:divBdr>
        <w:top w:val="none" w:sz="0" w:space="0" w:color="auto"/>
        <w:left w:val="none" w:sz="0" w:space="0" w:color="auto"/>
        <w:bottom w:val="none" w:sz="0" w:space="0" w:color="auto"/>
        <w:right w:val="none" w:sz="0" w:space="0" w:color="auto"/>
      </w:divBdr>
    </w:div>
    <w:div w:id="343016601">
      <w:bodyDiv w:val="1"/>
      <w:marLeft w:val="0"/>
      <w:marRight w:val="0"/>
      <w:marTop w:val="0"/>
      <w:marBottom w:val="0"/>
      <w:divBdr>
        <w:top w:val="none" w:sz="0" w:space="0" w:color="auto"/>
        <w:left w:val="none" w:sz="0" w:space="0" w:color="auto"/>
        <w:bottom w:val="none" w:sz="0" w:space="0" w:color="auto"/>
        <w:right w:val="none" w:sz="0" w:space="0" w:color="auto"/>
      </w:divBdr>
    </w:div>
    <w:div w:id="589892943">
      <w:bodyDiv w:val="1"/>
      <w:marLeft w:val="0"/>
      <w:marRight w:val="0"/>
      <w:marTop w:val="0"/>
      <w:marBottom w:val="0"/>
      <w:divBdr>
        <w:top w:val="none" w:sz="0" w:space="0" w:color="auto"/>
        <w:left w:val="none" w:sz="0" w:space="0" w:color="auto"/>
        <w:bottom w:val="none" w:sz="0" w:space="0" w:color="auto"/>
        <w:right w:val="none" w:sz="0" w:space="0" w:color="auto"/>
      </w:divBdr>
    </w:div>
    <w:div w:id="15299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Sarah Tuggey</dc:creator>
  <cp:keywords/>
  <dc:description/>
  <cp:lastModifiedBy>Denise Bosotti</cp:lastModifiedBy>
  <cp:revision>3</cp:revision>
  <dcterms:created xsi:type="dcterms:W3CDTF">2023-03-07T15:35:00Z</dcterms:created>
  <dcterms:modified xsi:type="dcterms:W3CDTF">2023-03-07T15:39:00Z</dcterms:modified>
</cp:coreProperties>
</file>