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5222" w14:textId="7D5D059E" w:rsidR="009D17F7" w:rsidRPr="00E94462" w:rsidRDefault="00D16CD9" w:rsidP="009D17F7">
      <w:pPr>
        <w:pStyle w:val="name"/>
        <w:shd w:val="clear" w:color="auto" w:fill="FFFFFF"/>
        <w:spacing w:before="0" w:beforeAutospacing="0" w:after="0" w:afterAutospacing="0"/>
        <w:contextualSpacing/>
        <w:rPr>
          <w:rFonts w:ascii="Calibri" w:hAnsi="Calibri" w:cs="Calibri"/>
          <w:sz w:val="22"/>
          <w:szCs w:val="22"/>
          <w:lang w:val="it-IT"/>
        </w:rPr>
      </w:pPr>
      <w:bookmarkStart w:id="0" w:name="_Hlk131666828"/>
      <w:r w:rsidRPr="003C5DE3">
        <w:rPr>
          <w:rFonts w:ascii="Calibri" w:hAnsi="Calibri" w:cs="Calibri"/>
          <w:b/>
          <w:bCs/>
          <w:kern w:val="36"/>
          <w:sz w:val="22"/>
          <w:szCs w:val="22"/>
          <w:lang w:val="it-IT"/>
        </w:rPr>
        <w:t xml:space="preserve">Schroders </w:t>
      </w:r>
      <w:r w:rsidR="007E2077">
        <w:rPr>
          <w:rFonts w:ascii="Calibri" w:hAnsi="Calibri" w:cs="Calibri"/>
          <w:b/>
          <w:bCs/>
          <w:kern w:val="36"/>
          <w:sz w:val="22"/>
          <w:szCs w:val="22"/>
          <w:lang w:val="it-IT"/>
        </w:rPr>
        <w:t>–</w:t>
      </w:r>
      <w:r w:rsidRPr="003C5DE3">
        <w:rPr>
          <w:rFonts w:ascii="Calibri" w:hAnsi="Calibri" w:cs="Calibri"/>
          <w:b/>
          <w:bCs/>
          <w:kern w:val="36"/>
          <w:sz w:val="22"/>
          <w:szCs w:val="22"/>
          <w:lang w:val="it-IT"/>
        </w:rPr>
        <w:t xml:space="preserve"> </w:t>
      </w:r>
      <w:r w:rsidR="007E2077">
        <w:rPr>
          <w:rFonts w:ascii="Calibri" w:hAnsi="Calibri" w:cs="Calibri"/>
          <w:b/>
          <w:bCs/>
          <w:kern w:val="36"/>
          <w:sz w:val="22"/>
          <w:szCs w:val="22"/>
          <w:lang w:val="it-IT"/>
        </w:rPr>
        <w:t>A</w:t>
      </w:r>
      <w:r w:rsidR="007E2077" w:rsidRPr="003C5DE3">
        <w:rPr>
          <w:rFonts w:ascii="Calibri" w:hAnsi="Calibri" w:cs="Calibri"/>
          <w:b/>
          <w:bCs/>
          <w:kern w:val="36"/>
          <w:sz w:val="22"/>
          <w:szCs w:val="22"/>
          <w:lang w:val="it-IT"/>
        </w:rPr>
        <w:t>zionario</w:t>
      </w:r>
      <w:r w:rsidR="007E2077">
        <w:rPr>
          <w:rFonts w:ascii="Calibri" w:hAnsi="Calibri" w:cs="Calibri"/>
          <w:b/>
          <w:bCs/>
          <w:kern w:val="36"/>
          <w:sz w:val="22"/>
          <w:szCs w:val="22"/>
          <w:lang w:val="it-IT"/>
        </w:rPr>
        <w:t>: d</w:t>
      </w:r>
      <w:r w:rsidR="008264BB" w:rsidRPr="003C5DE3">
        <w:rPr>
          <w:rFonts w:ascii="Calibri" w:hAnsi="Calibri" w:cs="Calibri"/>
          <w:b/>
          <w:bCs/>
          <w:kern w:val="36"/>
          <w:sz w:val="22"/>
          <w:szCs w:val="22"/>
          <w:lang w:val="it-IT"/>
        </w:rPr>
        <w:t xml:space="preserve">ieci temi </w:t>
      </w:r>
      <w:r w:rsidR="009D17F7" w:rsidRPr="00E94462">
        <w:rPr>
          <w:rFonts w:ascii="Calibri" w:hAnsi="Calibri" w:cs="Calibri"/>
          <w:b/>
          <w:bCs/>
          <w:kern w:val="36"/>
          <w:sz w:val="22"/>
          <w:szCs w:val="22"/>
          <w:lang w:val="it-IT"/>
        </w:rPr>
        <w:t xml:space="preserve">ricorrenti </w:t>
      </w:r>
      <w:r w:rsidR="008264BB" w:rsidRPr="003C5DE3">
        <w:rPr>
          <w:rFonts w:ascii="Calibri" w:hAnsi="Calibri" w:cs="Calibri"/>
          <w:b/>
          <w:bCs/>
          <w:kern w:val="36"/>
          <w:sz w:val="22"/>
          <w:szCs w:val="22"/>
          <w:lang w:val="it-IT"/>
        </w:rPr>
        <w:t>per il 2023 e oltre</w:t>
      </w:r>
    </w:p>
    <w:p w14:paraId="7EA8178B" w14:textId="77777777" w:rsidR="009D17F7" w:rsidRPr="00E94462" w:rsidRDefault="009D17F7" w:rsidP="009D17F7">
      <w:pPr>
        <w:pStyle w:val="name"/>
        <w:shd w:val="clear" w:color="auto" w:fill="FFFFFF"/>
        <w:spacing w:before="0" w:beforeAutospacing="0" w:after="0" w:afterAutospacing="0"/>
        <w:contextualSpacing/>
        <w:rPr>
          <w:rFonts w:ascii="Calibri" w:hAnsi="Calibri" w:cs="Calibri"/>
          <w:sz w:val="22"/>
          <w:szCs w:val="22"/>
          <w:lang w:val="it-IT"/>
        </w:rPr>
      </w:pPr>
    </w:p>
    <w:p w14:paraId="7B1E1670" w14:textId="44C2EBE9" w:rsidR="008264BB" w:rsidRPr="003C5DE3" w:rsidRDefault="008264BB" w:rsidP="003C5DE3">
      <w:pPr>
        <w:pStyle w:val="name"/>
        <w:shd w:val="clear" w:color="auto" w:fill="FFFFFF"/>
        <w:spacing w:before="0" w:beforeAutospacing="0" w:after="0" w:afterAutospacing="0"/>
        <w:contextualSpacing/>
        <w:rPr>
          <w:rFonts w:ascii="Calibri" w:hAnsi="Calibri" w:cs="Calibri"/>
          <w:b/>
          <w:bCs/>
          <w:sz w:val="22"/>
          <w:szCs w:val="22"/>
          <w:lang w:val="en-US"/>
        </w:rPr>
      </w:pPr>
      <w:r w:rsidRPr="003C5DE3">
        <w:rPr>
          <w:rFonts w:ascii="Calibri" w:hAnsi="Calibri" w:cs="Calibri"/>
          <w:sz w:val="22"/>
          <w:szCs w:val="22"/>
          <w:lang w:val="en-US"/>
        </w:rPr>
        <w:t xml:space="preserve">A </w:t>
      </w:r>
      <w:proofErr w:type="spellStart"/>
      <w:r w:rsidRPr="003C5DE3">
        <w:rPr>
          <w:rFonts w:ascii="Calibri" w:hAnsi="Calibri" w:cs="Calibri"/>
          <w:sz w:val="22"/>
          <w:szCs w:val="22"/>
          <w:lang w:val="en-US"/>
        </w:rPr>
        <w:t>cura</w:t>
      </w:r>
      <w:proofErr w:type="spellEnd"/>
      <w:r w:rsidRPr="003C5DE3">
        <w:rPr>
          <w:rFonts w:ascii="Calibri" w:hAnsi="Calibri" w:cs="Calibri"/>
          <w:sz w:val="22"/>
          <w:szCs w:val="22"/>
          <w:lang w:val="en-US"/>
        </w:rPr>
        <w:t xml:space="preserve"> di </w:t>
      </w:r>
      <w:r w:rsidRPr="003C5DE3">
        <w:rPr>
          <w:rFonts w:ascii="Calibri" w:hAnsi="Calibri" w:cs="Calibri"/>
          <w:b/>
          <w:bCs/>
          <w:sz w:val="22"/>
          <w:szCs w:val="22"/>
          <w:lang w:val="en-US"/>
        </w:rPr>
        <w:t xml:space="preserve">David </w:t>
      </w:r>
      <w:proofErr w:type="spellStart"/>
      <w:r w:rsidRPr="003C5DE3">
        <w:rPr>
          <w:rFonts w:ascii="Calibri" w:hAnsi="Calibri" w:cs="Calibri"/>
          <w:b/>
          <w:bCs/>
          <w:sz w:val="22"/>
          <w:szCs w:val="22"/>
          <w:lang w:val="en-US"/>
        </w:rPr>
        <w:t>Philpotts</w:t>
      </w:r>
      <w:proofErr w:type="spellEnd"/>
      <w:r w:rsidRPr="003C5DE3">
        <w:rPr>
          <w:rFonts w:ascii="Calibri" w:hAnsi="Calibri" w:cs="Calibri"/>
          <w:b/>
          <w:bCs/>
          <w:sz w:val="22"/>
          <w:szCs w:val="22"/>
          <w:lang w:val="en-US"/>
        </w:rPr>
        <w:t xml:space="preserve">, Head of Strategy, </w:t>
      </w:r>
      <w:r w:rsidR="00252356" w:rsidRPr="003C5DE3">
        <w:rPr>
          <w:rFonts w:ascii="Calibri" w:hAnsi="Calibri" w:cs="Calibri"/>
          <w:b/>
          <w:bCs/>
          <w:sz w:val="22"/>
          <w:szCs w:val="22"/>
          <w:lang w:val="en-US"/>
        </w:rPr>
        <w:t>Quantitative Equity Product</w:t>
      </w:r>
      <w:r w:rsidRPr="003C5DE3">
        <w:rPr>
          <w:rFonts w:ascii="Calibri" w:hAnsi="Calibri" w:cs="Calibri"/>
          <w:b/>
          <w:bCs/>
          <w:sz w:val="22"/>
          <w:szCs w:val="22"/>
          <w:lang w:val="en-US"/>
        </w:rPr>
        <w:t xml:space="preserve">, Schroders </w:t>
      </w:r>
    </w:p>
    <w:p w14:paraId="6DF8E797" w14:textId="4C013EE2" w:rsidR="009D17F7" w:rsidRPr="00E94462" w:rsidRDefault="009D17F7" w:rsidP="009D17F7">
      <w:pPr>
        <w:pStyle w:val="name"/>
        <w:shd w:val="clear" w:color="auto" w:fill="FFFFFF"/>
        <w:spacing w:before="0" w:beforeAutospacing="0" w:after="0" w:afterAutospacing="0"/>
        <w:contextualSpacing/>
        <w:rPr>
          <w:rFonts w:ascii="Calibri" w:hAnsi="Calibri" w:cs="Calibri"/>
          <w:sz w:val="22"/>
          <w:szCs w:val="22"/>
          <w:lang w:val="en-US"/>
        </w:rPr>
      </w:pPr>
    </w:p>
    <w:p w14:paraId="4C4FB582" w14:textId="7E557DF6" w:rsidR="008264BB" w:rsidRPr="00E94462" w:rsidRDefault="008264BB" w:rsidP="009D17F7">
      <w:pPr>
        <w:pStyle w:val="name"/>
        <w:shd w:val="clear" w:color="auto" w:fill="FFFFFF"/>
        <w:spacing w:before="0" w:beforeAutospacing="0" w:after="0" w:afterAutospacing="0"/>
        <w:contextualSpacing/>
        <w:rPr>
          <w:rFonts w:ascii="Calibri" w:hAnsi="Calibri" w:cs="Calibri"/>
          <w:sz w:val="22"/>
          <w:szCs w:val="22"/>
          <w:lang w:val="it-IT"/>
        </w:rPr>
      </w:pPr>
      <w:r w:rsidRPr="003C5DE3">
        <w:rPr>
          <w:rFonts w:ascii="Calibri" w:hAnsi="Calibri" w:cs="Calibri"/>
          <w:sz w:val="22"/>
          <w:szCs w:val="22"/>
          <w:lang w:val="it-IT"/>
        </w:rPr>
        <w:t xml:space="preserve">Gli ultimi anni dovrebbero averci insegnato che è molto importante avere una visione a lungo termine. </w:t>
      </w:r>
      <w:r w:rsidR="009D17F7" w:rsidRPr="003C5DE3">
        <w:rPr>
          <w:rFonts w:ascii="Calibri" w:hAnsi="Calibri" w:cs="Calibri"/>
          <w:sz w:val="22"/>
          <w:szCs w:val="22"/>
          <w:lang w:val="it-IT"/>
        </w:rPr>
        <w:t>Valutare</w:t>
      </w:r>
      <w:r w:rsidRPr="003C5DE3">
        <w:rPr>
          <w:rFonts w:ascii="Calibri" w:hAnsi="Calibri" w:cs="Calibri"/>
          <w:sz w:val="22"/>
          <w:szCs w:val="22"/>
          <w:lang w:val="it-IT"/>
        </w:rPr>
        <w:t xml:space="preserve"> </w:t>
      </w:r>
      <w:r w:rsidR="009D17F7" w:rsidRPr="003C5DE3">
        <w:rPr>
          <w:rFonts w:ascii="Calibri" w:hAnsi="Calibri" w:cs="Calibri"/>
          <w:sz w:val="22"/>
          <w:szCs w:val="22"/>
          <w:lang w:val="it-IT"/>
        </w:rPr>
        <w:t xml:space="preserve">il </w:t>
      </w:r>
      <w:r w:rsidRPr="003C5DE3">
        <w:rPr>
          <w:rFonts w:ascii="Calibri" w:hAnsi="Calibri" w:cs="Calibri"/>
          <w:sz w:val="22"/>
          <w:szCs w:val="22"/>
          <w:lang w:val="it-IT"/>
        </w:rPr>
        <w:t xml:space="preserve">punto di partenza </w:t>
      </w:r>
      <w:r w:rsidR="009D17F7" w:rsidRPr="003C5DE3">
        <w:rPr>
          <w:rFonts w:ascii="Calibri" w:hAnsi="Calibri" w:cs="Calibri"/>
          <w:sz w:val="22"/>
          <w:szCs w:val="22"/>
          <w:lang w:val="it-IT"/>
        </w:rPr>
        <w:t xml:space="preserve">può fornire </w:t>
      </w:r>
      <w:r w:rsidRPr="003C5DE3">
        <w:rPr>
          <w:rFonts w:ascii="Calibri" w:hAnsi="Calibri" w:cs="Calibri"/>
          <w:sz w:val="22"/>
          <w:szCs w:val="22"/>
          <w:lang w:val="it-IT"/>
        </w:rPr>
        <w:t xml:space="preserve">indizi </w:t>
      </w:r>
      <w:r w:rsidR="009D17F7" w:rsidRPr="003C5DE3">
        <w:rPr>
          <w:rFonts w:ascii="Calibri" w:hAnsi="Calibri" w:cs="Calibri"/>
          <w:sz w:val="22"/>
          <w:szCs w:val="22"/>
          <w:lang w:val="it-IT"/>
        </w:rPr>
        <w:t xml:space="preserve">importanti </w:t>
      </w:r>
      <w:r w:rsidRPr="003C5DE3">
        <w:rPr>
          <w:rFonts w:ascii="Calibri" w:hAnsi="Calibri" w:cs="Calibri"/>
          <w:sz w:val="22"/>
          <w:szCs w:val="22"/>
          <w:lang w:val="it-IT"/>
        </w:rPr>
        <w:t xml:space="preserve">su ciò che ci aspetta, soprattutto concentrandosi sulle valutazioni attuali. </w:t>
      </w:r>
    </w:p>
    <w:p w14:paraId="12E06C76" w14:textId="77777777" w:rsidR="009D17F7" w:rsidRPr="003C5DE3" w:rsidRDefault="009D17F7" w:rsidP="003C5DE3">
      <w:pPr>
        <w:pStyle w:val="name"/>
        <w:shd w:val="clear" w:color="auto" w:fill="FFFFFF"/>
        <w:spacing w:before="0" w:beforeAutospacing="0" w:after="0" w:afterAutospacing="0"/>
        <w:contextualSpacing/>
        <w:rPr>
          <w:rFonts w:ascii="Calibri" w:hAnsi="Calibri" w:cs="Calibri"/>
          <w:sz w:val="22"/>
          <w:szCs w:val="22"/>
          <w:lang w:val="it-IT"/>
        </w:rPr>
      </w:pPr>
    </w:p>
    <w:p w14:paraId="28F30895" w14:textId="30CE4645" w:rsidR="008264BB" w:rsidRPr="00761FF4" w:rsidRDefault="008264BB" w:rsidP="003C5DE3">
      <w:pPr>
        <w:pStyle w:val="NormaleWeb"/>
        <w:shd w:val="clear" w:color="auto" w:fill="FFFFFF"/>
        <w:spacing w:before="0" w:beforeAutospacing="0" w:after="0" w:afterAutospacing="0"/>
        <w:contextualSpacing/>
        <w:rPr>
          <w:rStyle w:val="Enfasigrassetto"/>
          <w:rFonts w:ascii="Calibri" w:hAnsi="Calibri" w:cs="Calibri"/>
          <w:b w:val="0"/>
          <w:bCs w:val="0"/>
          <w:sz w:val="22"/>
          <w:szCs w:val="22"/>
          <w:u w:val="single"/>
          <w:lang w:val="it-IT"/>
        </w:rPr>
      </w:pPr>
      <w:r w:rsidRPr="00761FF4">
        <w:rPr>
          <w:rStyle w:val="Enfasigrassetto"/>
          <w:rFonts w:ascii="Calibri" w:hAnsi="Calibri" w:cs="Calibri"/>
          <w:b w:val="0"/>
          <w:bCs w:val="0"/>
          <w:sz w:val="22"/>
          <w:szCs w:val="22"/>
          <w:u w:val="single"/>
          <w:lang w:val="it-IT"/>
        </w:rPr>
        <w:t>1. I rischi sono ancora orientati al ribasso per le azioni</w:t>
      </w:r>
    </w:p>
    <w:p w14:paraId="3342D396" w14:textId="4AC3CEF4" w:rsidR="008264BB" w:rsidRPr="00761FF4" w:rsidRDefault="008264BB" w:rsidP="003C5DE3">
      <w:pPr>
        <w:pStyle w:val="NormaleWeb"/>
        <w:shd w:val="clear" w:color="auto" w:fill="FFFFFF"/>
        <w:spacing w:before="0" w:beforeAutospacing="0" w:after="0" w:afterAutospacing="0"/>
        <w:contextualSpacing/>
        <w:rPr>
          <w:rFonts w:ascii="Calibri" w:hAnsi="Calibri" w:cs="Calibri"/>
          <w:sz w:val="22"/>
          <w:szCs w:val="22"/>
          <w:lang w:val="it-IT"/>
        </w:rPr>
      </w:pPr>
      <w:r w:rsidRPr="00761FF4">
        <w:rPr>
          <w:rFonts w:ascii="Calibri" w:hAnsi="Calibri" w:cs="Calibri"/>
          <w:sz w:val="22"/>
          <w:szCs w:val="22"/>
          <w:lang w:val="it-IT"/>
        </w:rPr>
        <w:t>Gli investitori si trovano di fronte a una recessione dei profitti che non sembra essere stata prezzata:</w:t>
      </w:r>
      <w:r w:rsidR="009D17F7" w:rsidRPr="00761FF4">
        <w:rPr>
          <w:rFonts w:ascii="Calibri" w:hAnsi="Calibri" w:cs="Calibri"/>
          <w:sz w:val="22"/>
          <w:szCs w:val="22"/>
          <w:lang w:val="it-IT"/>
        </w:rPr>
        <w:t xml:space="preserve"> l</w:t>
      </w:r>
      <w:r w:rsidRPr="00761FF4">
        <w:rPr>
          <w:rFonts w:ascii="Calibri" w:hAnsi="Calibri" w:cs="Calibri"/>
          <w:sz w:val="22"/>
          <w:szCs w:val="22"/>
          <w:lang w:val="it-IT"/>
        </w:rPr>
        <w:t>e valutazioni non sono ancora convincenti anche dopo il calo dell’anno scorso</w:t>
      </w:r>
      <w:r w:rsidR="009D17F7" w:rsidRPr="00761FF4">
        <w:rPr>
          <w:rFonts w:ascii="Calibri" w:hAnsi="Calibri" w:cs="Calibri"/>
          <w:sz w:val="22"/>
          <w:szCs w:val="22"/>
          <w:lang w:val="it-IT"/>
        </w:rPr>
        <w:t>, g</w:t>
      </w:r>
      <w:r w:rsidRPr="00761FF4">
        <w:rPr>
          <w:rFonts w:ascii="Calibri" w:hAnsi="Calibri" w:cs="Calibri"/>
          <w:sz w:val="22"/>
          <w:szCs w:val="22"/>
          <w:lang w:val="it-IT"/>
        </w:rPr>
        <w:t>li utili si stanno ancora adeguando al ribasso, ma troppo lentamente</w:t>
      </w:r>
      <w:r w:rsidR="009D17F7" w:rsidRPr="00761FF4">
        <w:rPr>
          <w:rFonts w:ascii="Calibri" w:hAnsi="Calibri" w:cs="Calibri"/>
          <w:sz w:val="22"/>
          <w:szCs w:val="22"/>
          <w:lang w:val="it-IT"/>
        </w:rPr>
        <w:t>, l</w:t>
      </w:r>
      <w:r w:rsidRPr="00761FF4">
        <w:rPr>
          <w:rFonts w:ascii="Calibri" w:hAnsi="Calibri" w:cs="Calibri"/>
          <w:sz w:val="22"/>
          <w:szCs w:val="22"/>
          <w:lang w:val="it-IT"/>
        </w:rPr>
        <w:t xml:space="preserve">’inflazione ha raggiunto il suo picco, ma potrebbe rivelarsi </w:t>
      </w:r>
      <w:r w:rsidR="009A788F" w:rsidRPr="00761FF4">
        <w:rPr>
          <w:rFonts w:ascii="Calibri" w:hAnsi="Calibri" w:cs="Calibri"/>
          <w:sz w:val="22"/>
          <w:szCs w:val="22"/>
          <w:lang w:val="it-IT"/>
        </w:rPr>
        <w:t>resiliente al cambiamento</w:t>
      </w:r>
      <w:r w:rsidRPr="00761FF4">
        <w:rPr>
          <w:rFonts w:ascii="Calibri" w:hAnsi="Calibri" w:cs="Calibri"/>
          <w:sz w:val="22"/>
          <w:szCs w:val="22"/>
          <w:lang w:val="it-IT"/>
        </w:rPr>
        <w:t xml:space="preserve">, in quanto gli investitori sottovalutano la determinazione della </w:t>
      </w:r>
      <w:r w:rsidR="002940DB" w:rsidRPr="00761FF4">
        <w:rPr>
          <w:rFonts w:ascii="Calibri" w:hAnsi="Calibri" w:cs="Calibri"/>
          <w:sz w:val="22"/>
          <w:szCs w:val="22"/>
          <w:lang w:val="it-IT"/>
        </w:rPr>
        <w:t>Fed</w:t>
      </w:r>
      <w:r w:rsidRPr="00761FF4">
        <w:rPr>
          <w:rFonts w:ascii="Calibri" w:hAnsi="Calibri" w:cs="Calibri"/>
          <w:sz w:val="22"/>
          <w:szCs w:val="22"/>
          <w:lang w:val="it-IT"/>
        </w:rPr>
        <w:t xml:space="preserve"> a non ripetere gli errori degli anni Settanta.</w:t>
      </w:r>
      <w:r w:rsidR="002940DB" w:rsidRPr="00761FF4">
        <w:rPr>
          <w:rFonts w:ascii="Calibri" w:hAnsi="Calibri" w:cs="Calibri"/>
          <w:sz w:val="22"/>
          <w:szCs w:val="22"/>
          <w:lang w:val="it-IT"/>
        </w:rPr>
        <w:t xml:space="preserve"> </w:t>
      </w:r>
      <w:r w:rsidRPr="00761FF4">
        <w:rPr>
          <w:rFonts w:ascii="Calibri" w:hAnsi="Calibri" w:cs="Calibri"/>
          <w:sz w:val="22"/>
          <w:szCs w:val="22"/>
          <w:lang w:val="it-IT"/>
        </w:rPr>
        <w:t xml:space="preserve">Come minimo, questo potrebbe portare a ulteriori oscillazioni del sentiment mentre il mercato digerisce il flusso di dati economici confusi e tenta di ipotizzare cosa farà la </w:t>
      </w:r>
      <w:r w:rsidR="002940DB" w:rsidRPr="00761FF4">
        <w:rPr>
          <w:rFonts w:ascii="Calibri" w:hAnsi="Calibri" w:cs="Calibri"/>
          <w:sz w:val="22"/>
          <w:szCs w:val="22"/>
          <w:lang w:val="it-IT"/>
        </w:rPr>
        <w:t>banca centrale americana</w:t>
      </w:r>
      <w:r w:rsidRPr="00761FF4">
        <w:rPr>
          <w:rFonts w:ascii="Calibri" w:hAnsi="Calibri" w:cs="Calibri"/>
          <w:sz w:val="22"/>
          <w:szCs w:val="22"/>
          <w:lang w:val="it-IT"/>
        </w:rPr>
        <w:t>. Detto questo, non sarebbe saggio escludere prospettive più rosee. Il principale rischio di rialzo è che gli Stati Uniti evitino la recessione o che sia meno profonda del previsto</w:t>
      </w:r>
      <w:r w:rsidR="009A788F" w:rsidRPr="00761FF4">
        <w:rPr>
          <w:rFonts w:ascii="Calibri" w:hAnsi="Calibri" w:cs="Calibri"/>
          <w:sz w:val="22"/>
          <w:szCs w:val="22"/>
          <w:lang w:val="it-IT"/>
        </w:rPr>
        <w:t>. Questo porterebbe</w:t>
      </w:r>
      <w:r w:rsidRPr="00761FF4">
        <w:rPr>
          <w:rFonts w:ascii="Calibri" w:hAnsi="Calibri" w:cs="Calibri"/>
          <w:sz w:val="22"/>
          <w:szCs w:val="22"/>
          <w:lang w:val="it-IT"/>
        </w:rPr>
        <w:t xml:space="preserve"> la Fed </w:t>
      </w:r>
      <w:r w:rsidR="009A788F" w:rsidRPr="00761FF4">
        <w:rPr>
          <w:rFonts w:ascii="Calibri" w:hAnsi="Calibri" w:cs="Calibri"/>
          <w:sz w:val="22"/>
          <w:szCs w:val="22"/>
          <w:lang w:val="it-IT"/>
        </w:rPr>
        <w:t>a mettere in</w:t>
      </w:r>
      <w:r w:rsidRPr="00761FF4">
        <w:rPr>
          <w:rFonts w:ascii="Calibri" w:hAnsi="Calibri" w:cs="Calibri"/>
          <w:sz w:val="22"/>
          <w:szCs w:val="22"/>
          <w:lang w:val="it-IT"/>
        </w:rPr>
        <w:t xml:space="preserve"> pausa</w:t>
      </w:r>
      <w:r w:rsidR="009A788F" w:rsidRPr="00761FF4">
        <w:rPr>
          <w:rFonts w:ascii="Calibri" w:hAnsi="Calibri" w:cs="Calibri"/>
          <w:sz w:val="22"/>
          <w:szCs w:val="22"/>
          <w:lang w:val="it-IT"/>
        </w:rPr>
        <w:t xml:space="preserve"> i rialzi</w:t>
      </w:r>
      <w:r w:rsidRPr="00761FF4">
        <w:rPr>
          <w:rFonts w:ascii="Calibri" w:hAnsi="Calibri" w:cs="Calibri"/>
          <w:sz w:val="22"/>
          <w:szCs w:val="22"/>
          <w:lang w:val="it-IT"/>
        </w:rPr>
        <w:t xml:space="preserve"> e</w:t>
      </w:r>
      <w:r w:rsidR="009A788F" w:rsidRPr="00761FF4">
        <w:rPr>
          <w:rFonts w:ascii="Calibri" w:hAnsi="Calibri" w:cs="Calibri"/>
          <w:sz w:val="22"/>
          <w:szCs w:val="22"/>
          <w:lang w:val="it-IT"/>
        </w:rPr>
        <w:t>,</w:t>
      </w:r>
      <w:r w:rsidRPr="00761FF4">
        <w:rPr>
          <w:rFonts w:ascii="Calibri" w:hAnsi="Calibri" w:cs="Calibri"/>
          <w:sz w:val="22"/>
          <w:szCs w:val="22"/>
          <w:lang w:val="it-IT"/>
        </w:rPr>
        <w:t xml:space="preserve"> potenzialmente</w:t>
      </w:r>
      <w:r w:rsidR="009A788F" w:rsidRPr="00761FF4">
        <w:rPr>
          <w:rFonts w:ascii="Calibri" w:hAnsi="Calibri" w:cs="Calibri"/>
          <w:sz w:val="22"/>
          <w:szCs w:val="22"/>
          <w:lang w:val="it-IT"/>
        </w:rPr>
        <w:t>, ad</w:t>
      </w:r>
      <w:r w:rsidRPr="00761FF4">
        <w:rPr>
          <w:rFonts w:ascii="Calibri" w:hAnsi="Calibri" w:cs="Calibri"/>
          <w:sz w:val="22"/>
          <w:szCs w:val="22"/>
          <w:lang w:val="it-IT"/>
        </w:rPr>
        <w:t xml:space="preserve"> allentare la presa, prima del previsto.</w:t>
      </w:r>
    </w:p>
    <w:p w14:paraId="34D5BA8E" w14:textId="77777777" w:rsidR="009D17F7" w:rsidRPr="00761FF4" w:rsidRDefault="009D17F7" w:rsidP="009D17F7">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p>
    <w:p w14:paraId="25BBE41B" w14:textId="4545B001" w:rsidR="008264BB" w:rsidRPr="00761FF4" w:rsidRDefault="008264BB" w:rsidP="003C5DE3">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2. Il </w:t>
      </w:r>
      <w:proofErr w:type="spellStart"/>
      <w:r w:rsidR="00932F9F" w:rsidRPr="00761FF4">
        <w:rPr>
          <w:rStyle w:val="Enfasigrassetto"/>
          <w:rFonts w:ascii="Calibri" w:eastAsiaTheme="majorEastAsia" w:hAnsi="Calibri" w:cs="Calibri"/>
          <w:b w:val="0"/>
          <w:bCs w:val="0"/>
          <w:kern w:val="2"/>
          <w:sz w:val="22"/>
          <w:szCs w:val="22"/>
          <w:u w:val="single"/>
          <w:lang w:val="it-IT" w:eastAsia="en-US"/>
          <w14:ligatures w14:val="standardContextual"/>
        </w:rPr>
        <w:t>v</w:t>
      </w:r>
      <w:r w:rsidRPr="00761FF4">
        <w:rPr>
          <w:rStyle w:val="Enfasigrassetto"/>
          <w:rFonts w:ascii="Calibri" w:eastAsiaTheme="majorEastAsia" w:hAnsi="Calibri" w:cs="Calibri"/>
          <w:b w:val="0"/>
          <w:bCs w:val="0"/>
          <w:kern w:val="2"/>
          <w:sz w:val="22"/>
          <w:szCs w:val="22"/>
          <w:u w:val="single"/>
          <w:lang w:val="it-IT" w:eastAsia="en-US"/>
          <w14:ligatures w14:val="standardContextual"/>
        </w:rPr>
        <w:t>alue</w:t>
      </w:r>
      <w:proofErr w:type="spellEnd"/>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 ha ancora molta strada da fare, nonostante il forte rimbalzo dalla fine del 2020 </w:t>
      </w:r>
    </w:p>
    <w:p w14:paraId="63216981" w14:textId="3D09638D" w:rsidR="008264BB" w:rsidRPr="00761FF4" w:rsidRDefault="00302072" w:rsidP="003C5DE3">
      <w:pPr>
        <w:pStyle w:val="NormaleWeb"/>
        <w:shd w:val="clear" w:color="auto" w:fill="FFFFFF"/>
        <w:spacing w:before="0" w:beforeAutospacing="0" w:after="0" w:afterAutospacing="0"/>
        <w:contextualSpacing/>
        <w:rPr>
          <w:rFonts w:ascii="Calibri" w:eastAsiaTheme="majorEastAsia" w:hAnsi="Calibri" w:cs="Calibri"/>
          <w:kern w:val="2"/>
          <w:sz w:val="22"/>
          <w:szCs w:val="22"/>
          <w:u w:val="single"/>
          <w:lang w:val="it-IT" w:eastAsia="en-US"/>
          <w14:ligatures w14:val="standardContextual"/>
        </w:rPr>
      </w:pPr>
      <w:r w:rsidRPr="00546D24">
        <w:rPr>
          <w:rFonts w:ascii="Calibri" w:hAnsi="Calibri" w:cs="Calibri"/>
          <w:sz w:val="22"/>
          <w:szCs w:val="22"/>
          <w:lang w:val="it-IT"/>
        </w:rPr>
        <w:t xml:space="preserve">Per il </w:t>
      </w:r>
      <w:proofErr w:type="spellStart"/>
      <w:r w:rsidRPr="00546D24">
        <w:rPr>
          <w:rFonts w:ascii="Calibri" w:hAnsi="Calibri" w:cs="Calibri"/>
          <w:sz w:val="22"/>
          <w:szCs w:val="22"/>
          <w:lang w:val="it-IT"/>
        </w:rPr>
        <w:t>value</w:t>
      </w:r>
      <w:proofErr w:type="spellEnd"/>
      <w:r w:rsidRPr="00546D24">
        <w:rPr>
          <w:rFonts w:ascii="Calibri" w:hAnsi="Calibri" w:cs="Calibri"/>
          <w:sz w:val="22"/>
          <w:szCs w:val="22"/>
          <w:lang w:val="it-IT"/>
        </w:rPr>
        <w:t xml:space="preserve"> e</w:t>
      </w:r>
      <w:r w:rsidR="008264BB" w:rsidRPr="00546D24">
        <w:rPr>
          <w:rFonts w:ascii="Calibri" w:hAnsi="Calibri" w:cs="Calibri"/>
          <w:sz w:val="22"/>
          <w:szCs w:val="22"/>
          <w:lang w:val="it-IT"/>
        </w:rPr>
        <w:t xml:space="preserve">siste ancora </w:t>
      </w:r>
      <w:r w:rsidRPr="00546D24">
        <w:rPr>
          <w:rFonts w:ascii="Calibri" w:hAnsi="Calibri" w:cs="Calibri"/>
          <w:sz w:val="22"/>
          <w:szCs w:val="22"/>
          <w:lang w:val="it-IT"/>
        </w:rPr>
        <w:t xml:space="preserve">ampio </w:t>
      </w:r>
      <w:r w:rsidR="007E2077" w:rsidRPr="00546D24">
        <w:rPr>
          <w:rFonts w:ascii="Calibri" w:hAnsi="Calibri" w:cs="Calibri"/>
          <w:sz w:val="22"/>
          <w:szCs w:val="22"/>
          <w:lang w:val="it-IT"/>
        </w:rPr>
        <w:t>spazio</w:t>
      </w:r>
      <w:r w:rsidRPr="00546D24">
        <w:rPr>
          <w:rFonts w:ascii="Calibri" w:hAnsi="Calibri" w:cs="Calibri"/>
          <w:sz w:val="22"/>
          <w:szCs w:val="22"/>
          <w:lang w:val="it-IT"/>
        </w:rPr>
        <w:t xml:space="preserve"> </w:t>
      </w:r>
      <w:r w:rsidR="009A788F" w:rsidRPr="00546D24">
        <w:rPr>
          <w:rFonts w:ascii="Calibri" w:hAnsi="Calibri" w:cs="Calibri"/>
          <w:sz w:val="22"/>
          <w:szCs w:val="22"/>
          <w:lang w:val="it-IT"/>
        </w:rPr>
        <w:t xml:space="preserve">in termini di </w:t>
      </w:r>
      <w:r w:rsidR="008264BB" w:rsidRPr="00546D24">
        <w:rPr>
          <w:rFonts w:ascii="Calibri" w:hAnsi="Calibri" w:cs="Calibri"/>
          <w:sz w:val="22"/>
          <w:szCs w:val="22"/>
          <w:lang w:val="it-IT"/>
        </w:rPr>
        <w:t>valutazion</w:t>
      </w:r>
      <w:r w:rsidR="009A788F" w:rsidRPr="00546D24">
        <w:rPr>
          <w:rFonts w:ascii="Calibri" w:hAnsi="Calibri" w:cs="Calibri"/>
          <w:sz w:val="22"/>
          <w:szCs w:val="22"/>
          <w:lang w:val="it-IT"/>
        </w:rPr>
        <w:t>i</w:t>
      </w:r>
      <w:r w:rsidR="008264BB" w:rsidRPr="00546D24">
        <w:rPr>
          <w:rFonts w:ascii="Calibri" w:hAnsi="Calibri" w:cs="Calibri"/>
          <w:sz w:val="22"/>
          <w:szCs w:val="22"/>
          <w:lang w:val="it-IT"/>
        </w:rPr>
        <w:t xml:space="preserve">. Anche </w:t>
      </w:r>
      <w:r w:rsidRPr="00546D24">
        <w:rPr>
          <w:rFonts w:ascii="Calibri" w:hAnsi="Calibri" w:cs="Calibri"/>
          <w:sz w:val="22"/>
          <w:szCs w:val="22"/>
          <w:lang w:val="it-IT"/>
        </w:rPr>
        <w:t>se</w:t>
      </w:r>
      <w:r w:rsidR="007E2077" w:rsidRPr="00546D24">
        <w:rPr>
          <w:rFonts w:ascii="Calibri" w:hAnsi="Calibri" w:cs="Calibri"/>
          <w:sz w:val="22"/>
          <w:szCs w:val="22"/>
          <w:lang w:val="it-IT"/>
        </w:rPr>
        <w:t xml:space="preserve"> lo sconto </w:t>
      </w:r>
      <w:r w:rsidRPr="00546D24">
        <w:rPr>
          <w:rFonts w:ascii="Calibri" w:hAnsi="Calibri" w:cs="Calibri"/>
          <w:sz w:val="22"/>
          <w:szCs w:val="22"/>
          <w:lang w:val="it-IT"/>
        </w:rPr>
        <w:t>rispetto al mercato in generale si normalizzasse sui valori di lungo periodo, i</w:t>
      </w:r>
      <w:r w:rsidR="00795676" w:rsidRPr="00546D24">
        <w:rPr>
          <w:rFonts w:ascii="Calibri" w:hAnsi="Calibri" w:cs="Calibri"/>
          <w:sz w:val="22"/>
          <w:szCs w:val="22"/>
          <w:lang w:val="it-IT"/>
        </w:rPr>
        <w:t xml:space="preserve"> titoli </w:t>
      </w:r>
      <w:r w:rsidRPr="00546D24">
        <w:rPr>
          <w:rFonts w:ascii="Calibri" w:hAnsi="Calibri" w:cs="Calibri"/>
          <w:sz w:val="22"/>
          <w:szCs w:val="22"/>
          <w:lang w:val="it-IT"/>
        </w:rPr>
        <w:t xml:space="preserve">i </w:t>
      </w:r>
      <w:r w:rsidR="00795676" w:rsidRPr="00546D24">
        <w:rPr>
          <w:rFonts w:ascii="Calibri" w:hAnsi="Calibri" w:cs="Calibri"/>
          <w:sz w:val="22"/>
          <w:szCs w:val="22"/>
          <w:lang w:val="it-IT"/>
        </w:rPr>
        <w:t xml:space="preserve">più </w:t>
      </w:r>
      <w:r w:rsidR="00505243" w:rsidRPr="00546D24">
        <w:rPr>
          <w:rFonts w:ascii="Calibri" w:hAnsi="Calibri" w:cs="Calibri"/>
          <w:sz w:val="22"/>
          <w:szCs w:val="22"/>
          <w:lang w:val="it-IT"/>
        </w:rPr>
        <w:t>economici</w:t>
      </w:r>
      <w:r w:rsidRPr="00546D24">
        <w:rPr>
          <w:rFonts w:ascii="Calibri" w:hAnsi="Calibri" w:cs="Calibri"/>
          <w:sz w:val="22"/>
          <w:szCs w:val="22"/>
          <w:lang w:val="it-IT"/>
        </w:rPr>
        <w:t xml:space="preserve"> sovraperformerebbero </w:t>
      </w:r>
      <w:r w:rsidR="008264BB" w:rsidRPr="00546D24">
        <w:rPr>
          <w:rFonts w:ascii="Calibri" w:hAnsi="Calibri" w:cs="Calibri"/>
          <w:sz w:val="22"/>
          <w:szCs w:val="22"/>
          <w:lang w:val="it-IT"/>
        </w:rPr>
        <w:t xml:space="preserve">di quasi il 12% nei prossimi tre anni. </w:t>
      </w:r>
      <w:r w:rsidR="006A66B2" w:rsidRPr="00761FF4">
        <w:rPr>
          <w:rFonts w:ascii="Calibri" w:hAnsi="Calibri" w:cs="Calibri"/>
          <w:sz w:val="22"/>
          <w:szCs w:val="22"/>
          <w:lang w:val="it-IT"/>
        </w:rPr>
        <w:t>I</w:t>
      </w:r>
      <w:r w:rsidR="008264BB" w:rsidRPr="00761FF4">
        <w:rPr>
          <w:rFonts w:ascii="Calibri" w:hAnsi="Calibri" w:cs="Calibri"/>
          <w:sz w:val="22"/>
          <w:szCs w:val="22"/>
          <w:lang w:val="it-IT"/>
        </w:rPr>
        <w:t xml:space="preserve">noltre, al momento non siamo costretti a </w:t>
      </w:r>
      <w:r w:rsidR="009A788F" w:rsidRPr="00761FF4">
        <w:rPr>
          <w:rFonts w:ascii="Calibri" w:hAnsi="Calibri" w:cs="Calibri"/>
          <w:sz w:val="22"/>
          <w:szCs w:val="22"/>
          <w:lang w:val="it-IT"/>
        </w:rPr>
        <w:t>scegliere</w:t>
      </w:r>
      <w:r w:rsidR="008264BB" w:rsidRPr="00761FF4">
        <w:rPr>
          <w:rFonts w:ascii="Calibri" w:hAnsi="Calibri" w:cs="Calibri"/>
          <w:sz w:val="22"/>
          <w:szCs w:val="22"/>
          <w:lang w:val="it-IT"/>
        </w:rPr>
        <w:t xml:space="preserve"> tra </w:t>
      </w:r>
      <w:proofErr w:type="spellStart"/>
      <w:r w:rsidR="008264BB" w:rsidRPr="00761FF4">
        <w:rPr>
          <w:rFonts w:ascii="Calibri" w:hAnsi="Calibri" w:cs="Calibri"/>
          <w:sz w:val="22"/>
          <w:szCs w:val="22"/>
          <w:lang w:val="it-IT"/>
        </w:rPr>
        <w:t>value</w:t>
      </w:r>
      <w:proofErr w:type="spellEnd"/>
      <w:r w:rsidR="008264BB" w:rsidRPr="00761FF4">
        <w:rPr>
          <w:rFonts w:ascii="Calibri" w:hAnsi="Calibri" w:cs="Calibri"/>
          <w:sz w:val="22"/>
          <w:szCs w:val="22"/>
          <w:lang w:val="it-IT"/>
        </w:rPr>
        <w:t xml:space="preserve"> e </w:t>
      </w:r>
      <w:proofErr w:type="spellStart"/>
      <w:r w:rsidR="008264BB" w:rsidRPr="00761FF4">
        <w:rPr>
          <w:rFonts w:ascii="Calibri" w:hAnsi="Calibri" w:cs="Calibri"/>
          <w:sz w:val="22"/>
          <w:szCs w:val="22"/>
          <w:lang w:val="it-IT"/>
        </w:rPr>
        <w:t>quality</w:t>
      </w:r>
      <w:proofErr w:type="spellEnd"/>
      <w:r w:rsidR="008264BB" w:rsidRPr="00761FF4">
        <w:rPr>
          <w:rFonts w:ascii="Calibri" w:hAnsi="Calibri" w:cs="Calibri"/>
          <w:sz w:val="22"/>
          <w:szCs w:val="22"/>
          <w:lang w:val="it-IT"/>
        </w:rPr>
        <w:t xml:space="preserve">, il che significa che </w:t>
      </w:r>
      <w:r w:rsidR="002940DB" w:rsidRPr="00761FF4">
        <w:rPr>
          <w:rFonts w:ascii="Calibri" w:hAnsi="Calibri" w:cs="Calibri"/>
          <w:sz w:val="22"/>
          <w:szCs w:val="22"/>
          <w:lang w:val="it-IT"/>
        </w:rPr>
        <w:t xml:space="preserve">è possibile </w:t>
      </w:r>
      <w:r w:rsidR="008264BB" w:rsidRPr="00761FF4">
        <w:rPr>
          <w:rFonts w:ascii="Calibri" w:hAnsi="Calibri" w:cs="Calibri"/>
          <w:sz w:val="22"/>
          <w:szCs w:val="22"/>
          <w:lang w:val="it-IT"/>
        </w:rPr>
        <w:t xml:space="preserve">assumere un’esposizione più ampia, </w:t>
      </w:r>
      <w:r w:rsidR="00E63CF1" w:rsidRPr="00761FF4">
        <w:rPr>
          <w:rFonts w:ascii="Calibri" w:hAnsi="Calibri" w:cs="Calibri"/>
          <w:sz w:val="22"/>
          <w:szCs w:val="22"/>
          <w:lang w:val="it-IT"/>
        </w:rPr>
        <w:t xml:space="preserve">scegliendo anche </w:t>
      </w:r>
      <w:r w:rsidR="008264BB" w:rsidRPr="00761FF4">
        <w:rPr>
          <w:rFonts w:ascii="Calibri" w:hAnsi="Calibri" w:cs="Calibri"/>
          <w:sz w:val="22"/>
          <w:szCs w:val="22"/>
          <w:lang w:val="it-IT"/>
        </w:rPr>
        <w:t xml:space="preserve">titoli di qualità a prezzi accessibili. </w:t>
      </w:r>
    </w:p>
    <w:p w14:paraId="0F609BDE" w14:textId="77777777" w:rsidR="009D17F7" w:rsidRPr="00761FF4" w:rsidRDefault="009D17F7" w:rsidP="009D17F7">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p>
    <w:p w14:paraId="13D96D68" w14:textId="04622693" w:rsidR="008264BB" w:rsidRPr="00761FF4" w:rsidRDefault="008264BB" w:rsidP="003C5DE3">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3. La luna di miele per i titoli FANMAG sta finendo  </w:t>
      </w:r>
    </w:p>
    <w:p w14:paraId="1746E5B5" w14:textId="4D74FA3B" w:rsidR="008264BB" w:rsidRPr="00761FF4" w:rsidRDefault="008264BB" w:rsidP="003C5DE3">
      <w:pPr>
        <w:pStyle w:val="NormaleWeb"/>
        <w:shd w:val="clear" w:color="auto" w:fill="FFFFFF"/>
        <w:spacing w:before="0" w:beforeAutospacing="0" w:after="0" w:afterAutospacing="0"/>
        <w:contextualSpacing/>
        <w:rPr>
          <w:rFonts w:ascii="Calibri" w:hAnsi="Calibri" w:cs="Calibri"/>
          <w:sz w:val="22"/>
          <w:szCs w:val="22"/>
          <w:lang w:val="it-IT"/>
        </w:rPr>
      </w:pPr>
      <w:r w:rsidRPr="00761FF4">
        <w:rPr>
          <w:rFonts w:ascii="Calibri" w:hAnsi="Calibri" w:cs="Calibri"/>
          <w:sz w:val="22"/>
          <w:szCs w:val="22"/>
          <w:lang w:val="it-IT"/>
        </w:rPr>
        <w:t xml:space="preserve">Sul fronte opposto, non è ancora chiaro se i titoli </w:t>
      </w:r>
      <w:proofErr w:type="spellStart"/>
      <w:r w:rsidR="00E63CF1" w:rsidRPr="00761FF4">
        <w:rPr>
          <w:rFonts w:ascii="Calibri" w:hAnsi="Calibri" w:cs="Calibri"/>
          <w:sz w:val="22"/>
          <w:szCs w:val="22"/>
          <w:lang w:val="it-IT"/>
        </w:rPr>
        <w:t>g</w:t>
      </w:r>
      <w:r w:rsidRPr="00761FF4">
        <w:rPr>
          <w:rFonts w:ascii="Calibri" w:hAnsi="Calibri" w:cs="Calibri"/>
          <w:sz w:val="22"/>
          <w:szCs w:val="22"/>
          <w:lang w:val="it-IT"/>
        </w:rPr>
        <w:t>rowth</w:t>
      </w:r>
      <w:proofErr w:type="spellEnd"/>
      <w:r w:rsidRPr="00761FF4">
        <w:rPr>
          <w:rFonts w:ascii="Calibri" w:hAnsi="Calibri" w:cs="Calibri"/>
          <w:sz w:val="22"/>
          <w:szCs w:val="22"/>
          <w:lang w:val="it-IT"/>
        </w:rPr>
        <w:t xml:space="preserve"> </w:t>
      </w:r>
      <w:r w:rsidR="00975116" w:rsidRPr="00761FF4">
        <w:rPr>
          <w:rFonts w:ascii="Calibri" w:hAnsi="Calibri" w:cs="Calibri"/>
          <w:sz w:val="22"/>
          <w:szCs w:val="22"/>
          <w:lang w:val="it-IT"/>
        </w:rPr>
        <w:t xml:space="preserve">oggi </w:t>
      </w:r>
      <w:r w:rsidRPr="00761FF4">
        <w:rPr>
          <w:rFonts w:ascii="Calibri" w:hAnsi="Calibri" w:cs="Calibri"/>
          <w:sz w:val="22"/>
          <w:szCs w:val="22"/>
          <w:lang w:val="it-IT"/>
        </w:rPr>
        <w:t>offrano un buon rendimento.</w:t>
      </w:r>
      <w:r w:rsidR="00252356" w:rsidRPr="00761FF4">
        <w:rPr>
          <w:rFonts w:ascii="Calibri" w:hAnsi="Calibri" w:cs="Calibri"/>
          <w:sz w:val="22"/>
          <w:szCs w:val="22"/>
          <w:lang w:val="it-IT"/>
        </w:rPr>
        <w:t xml:space="preserve"> </w:t>
      </w:r>
    </w:p>
    <w:p w14:paraId="15E709B4" w14:textId="4B5BE675" w:rsidR="008264BB" w:rsidRPr="00761FF4" w:rsidRDefault="008264BB" w:rsidP="003C5DE3">
      <w:pPr>
        <w:pStyle w:val="NormaleWeb"/>
        <w:shd w:val="clear" w:color="auto" w:fill="FFFFFF"/>
        <w:spacing w:before="0" w:beforeAutospacing="0" w:after="0" w:afterAutospacing="0"/>
        <w:contextualSpacing/>
        <w:rPr>
          <w:rFonts w:ascii="Calibri" w:eastAsiaTheme="majorEastAsia" w:hAnsi="Calibri" w:cs="Calibri"/>
          <w:kern w:val="2"/>
          <w:sz w:val="22"/>
          <w:szCs w:val="22"/>
          <w:u w:val="single"/>
          <w:lang w:val="it-IT" w:eastAsia="en-US"/>
          <w14:ligatures w14:val="standardContextual"/>
        </w:rPr>
      </w:pPr>
      <w:r w:rsidRPr="00761FF4">
        <w:rPr>
          <w:rFonts w:ascii="Calibri" w:hAnsi="Calibri" w:cs="Calibri"/>
          <w:sz w:val="22"/>
          <w:szCs w:val="22"/>
          <w:lang w:val="it-IT"/>
        </w:rPr>
        <w:t xml:space="preserve">Per quanto riguarda i FANMAG (Facebook, Apple, Netflix, Meta, Amazon, Google), riteniamo che, come </w:t>
      </w:r>
      <w:r w:rsidR="00252356" w:rsidRPr="00761FF4">
        <w:rPr>
          <w:rFonts w:ascii="Calibri" w:hAnsi="Calibri" w:cs="Calibri"/>
          <w:sz w:val="22"/>
          <w:szCs w:val="22"/>
          <w:lang w:val="it-IT"/>
        </w:rPr>
        <w:t>gruppo</w:t>
      </w:r>
      <w:r w:rsidRPr="00761FF4">
        <w:rPr>
          <w:rFonts w:ascii="Calibri" w:hAnsi="Calibri" w:cs="Calibri"/>
          <w:sz w:val="22"/>
          <w:szCs w:val="22"/>
          <w:lang w:val="it-IT"/>
        </w:rPr>
        <w:t>, abbiano un prezzo equo, ma non siano assolutamente un affare. Senza il loro sostegno, il settore tecnologico statunitense potrebbe non essere più il principale motore dei rendimenti del mercato azionario, anche se i rendimenti obbligazionari scenderanno di nuovo durante la fase di recessione economica.</w:t>
      </w:r>
    </w:p>
    <w:p w14:paraId="5B75BC40" w14:textId="77777777" w:rsidR="009D17F7" w:rsidRPr="00761FF4" w:rsidRDefault="009D17F7" w:rsidP="009D17F7">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p>
    <w:p w14:paraId="5B6BF3AA" w14:textId="1FA4EA20" w:rsidR="008264BB" w:rsidRPr="00761FF4" w:rsidRDefault="008264BB" w:rsidP="003C5DE3">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4. Anche il regno del “re dollaro” </w:t>
      </w:r>
      <w:r w:rsidR="00A643E5" w:rsidRPr="00761FF4">
        <w:rPr>
          <w:rStyle w:val="Enfasigrassetto"/>
          <w:rFonts w:ascii="Calibri" w:eastAsiaTheme="majorEastAsia" w:hAnsi="Calibri" w:cs="Calibri"/>
          <w:b w:val="0"/>
          <w:bCs w:val="0"/>
          <w:kern w:val="2"/>
          <w:sz w:val="22"/>
          <w:szCs w:val="22"/>
          <w:u w:val="single"/>
          <w:lang w:val="it-IT" w:eastAsia="en-US"/>
          <w14:ligatures w14:val="standardContextual"/>
        </w:rPr>
        <w:t>è finito</w:t>
      </w:r>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  </w:t>
      </w:r>
    </w:p>
    <w:p w14:paraId="7062478D" w14:textId="0248CA42" w:rsidR="008264BB" w:rsidRPr="00761FF4" w:rsidRDefault="00A643E5" w:rsidP="003C5DE3">
      <w:pPr>
        <w:pStyle w:val="NormaleWeb"/>
        <w:shd w:val="clear" w:color="auto" w:fill="FFFFFF"/>
        <w:spacing w:before="0" w:beforeAutospacing="0" w:after="0" w:afterAutospacing="0"/>
        <w:contextualSpacing/>
        <w:rPr>
          <w:rFonts w:ascii="Calibri" w:eastAsiaTheme="majorEastAsia" w:hAnsi="Calibri" w:cs="Calibri"/>
          <w:kern w:val="2"/>
          <w:sz w:val="22"/>
          <w:szCs w:val="22"/>
          <w:u w:val="single"/>
          <w:lang w:val="it-IT" w:eastAsia="en-US"/>
          <w14:ligatures w14:val="standardContextual"/>
        </w:rPr>
      </w:pPr>
      <w:r w:rsidRPr="00761FF4">
        <w:rPr>
          <w:rFonts w:ascii="Calibri" w:hAnsi="Calibri" w:cs="Calibri"/>
          <w:sz w:val="22"/>
          <w:szCs w:val="22"/>
          <w:lang w:val="it-IT"/>
        </w:rPr>
        <w:t>I</w:t>
      </w:r>
      <w:r w:rsidR="008264BB" w:rsidRPr="00761FF4">
        <w:rPr>
          <w:rFonts w:ascii="Calibri" w:hAnsi="Calibri" w:cs="Calibri"/>
          <w:sz w:val="22"/>
          <w:szCs w:val="22"/>
          <w:lang w:val="it-IT"/>
        </w:rPr>
        <w:t xml:space="preserve">l dominio del dollaro USA sembra aver raggiunto il suo apice lo scorso settembre. In base alla deviazione dei tassi di cambio reali dalla loro media storica, il dollaro è ancora la valuta più costosa tra i principali mercati (17% al di sopra della sua media) mentre lo yen rimane molto economico (25% al di sotto della media). Tuttavia, </w:t>
      </w:r>
      <w:r w:rsidRPr="00761FF4">
        <w:rPr>
          <w:rFonts w:ascii="Calibri" w:hAnsi="Calibri" w:cs="Calibri"/>
          <w:sz w:val="22"/>
          <w:szCs w:val="22"/>
          <w:lang w:val="it-IT"/>
        </w:rPr>
        <w:t xml:space="preserve">non crediamo </w:t>
      </w:r>
      <w:r w:rsidR="002940DB" w:rsidRPr="00761FF4">
        <w:rPr>
          <w:rFonts w:ascii="Calibri" w:hAnsi="Calibri" w:cs="Calibri"/>
          <w:sz w:val="22"/>
          <w:szCs w:val="22"/>
          <w:lang w:val="it-IT"/>
        </w:rPr>
        <w:t xml:space="preserve">che questa debolezza </w:t>
      </w:r>
      <w:r w:rsidRPr="00761FF4">
        <w:rPr>
          <w:rFonts w:ascii="Calibri" w:hAnsi="Calibri" w:cs="Calibri"/>
          <w:sz w:val="22"/>
          <w:szCs w:val="22"/>
          <w:lang w:val="it-IT"/>
        </w:rPr>
        <w:t>possa durare nel tempo</w:t>
      </w:r>
      <w:r w:rsidR="008264BB" w:rsidRPr="00761FF4">
        <w:rPr>
          <w:rFonts w:ascii="Calibri" w:hAnsi="Calibri" w:cs="Calibri"/>
          <w:sz w:val="22"/>
          <w:szCs w:val="22"/>
          <w:lang w:val="it-IT"/>
        </w:rPr>
        <w:t>.</w:t>
      </w:r>
    </w:p>
    <w:p w14:paraId="265483E2" w14:textId="77777777" w:rsidR="009D17F7" w:rsidRPr="00761FF4" w:rsidRDefault="009D17F7" w:rsidP="009D17F7">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p>
    <w:p w14:paraId="055FE9CE" w14:textId="67637440" w:rsidR="008264BB" w:rsidRPr="00761FF4" w:rsidRDefault="008264BB" w:rsidP="003C5DE3">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5. </w:t>
      </w:r>
      <w:r w:rsidR="00A643E5" w:rsidRPr="00761FF4">
        <w:rPr>
          <w:rStyle w:val="Enfasigrassetto"/>
          <w:rFonts w:ascii="Calibri" w:eastAsiaTheme="majorEastAsia" w:hAnsi="Calibri" w:cs="Calibri"/>
          <w:b w:val="0"/>
          <w:bCs w:val="0"/>
          <w:kern w:val="2"/>
          <w:sz w:val="22"/>
          <w:szCs w:val="22"/>
          <w:u w:val="single"/>
          <w:lang w:val="it-IT" w:eastAsia="en-US"/>
          <w14:ligatures w14:val="standardContextual"/>
        </w:rPr>
        <w:t>S</w:t>
      </w:r>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telle </w:t>
      </w:r>
      <w:r w:rsidR="00A643E5" w:rsidRPr="00761FF4">
        <w:rPr>
          <w:rStyle w:val="Enfasigrassetto"/>
          <w:rFonts w:ascii="Calibri" w:eastAsiaTheme="majorEastAsia" w:hAnsi="Calibri" w:cs="Calibri"/>
          <w:b w:val="0"/>
          <w:bCs w:val="0"/>
          <w:kern w:val="2"/>
          <w:sz w:val="22"/>
          <w:szCs w:val="22"/>
          <w:u w:val="single"/>
          <w:lang w:val="it-IT" w:eastAsia="en-US"/>
          <w14:ligatures w14:val="standardContextual"/>
        </w:rPr>
        <w:t>favorevoli</w:t>
      </w:r>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 </w:t>
      </w:r>
      <w:r w:rsidR="00A643E5" w:rsidRPr="00761FF4">
        <w:rPr>
          <w:rStyle w:val="Enfasigrassetto"/>
          <w:rFonts w:ascii="Calibri" w:eastAsiaTheme="majorEastAsia" w:hAnsi="Calibri" w:cs="Calibri"/>
          <w:b w:val="0"/>
          <w:bCs w:val="0"/>
          <w:kern w:val="2"/>
          <w:sz w:val="22"/>
          <w:szCs w:val="22"/>
          <w:u w:val="single"/>
          <w:lang w:val="it-IT" w:eastAsia="en-US"/>
          <w14:ligatures w14:val="standardContextual"/>
        </w:rPr>
        <w:t>al</w:t>
      </w:r>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la </w:t>
      </w:r>
      <w:proofErr w:type="spellStart"/>
      <w:r w:rsidRPr="00761FF4">
        <w:rPr>
          <w:rStyle w:val="Enfasigrassetto"/>
          <w:rFonts w:ascii="Calibri" w:eastAsiaTheme="majorEastAsia" w:hAnsi="Calibri" w:cs="Calibri"/>
          <w:b w:val="0"/>
          <w:bCs w:val="0"/>
          <w:kern w:val="2"/>
          <w:sz w:val="22"/>
          <w:szCs w:val="22"/>
          <w:u w:val="single"/>
          <w:lang w:val="it-IT" w:eastAsia="en-US"/>
          <w14:ligatures w14:val="standardContextual"/>
        </w:rPr>
        <w:t>sovraperformance</w:t>
      </w:r>
      <w:proofErr w:type="spellEnd"/>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 dei mercati emergenti </w:t>
      </w:r>
    </w:p>
    <w:p w14:paraId="7F14697B" w14:textId="116B11C3" w:rsidR="008264BB" w:rsidRPr="00761FF4" w:rsidRDefault="00A643E5" w:rsidP="003C5DE3">
      <w:pPr>
        <w:pStyle w:val="NormaleWeb"/>
        <w:shd w:val="clear" w:color="auto" w:fill="FFFFFF"/>
        <w:spacing w:before="0" w:beforeAutospacing="0" w:after="0" w:afterAutospacing="0"/>
        <w:contextualSpacing/>
        <w:rPr>
          <w:rFonts w:ascii="Calibri" w:hAnsi="Calibri" w:cs="Calibri"/>
          <w:sz w:val="22"/>
          <w:szCs w:val="22"/>
          <w:lang w:val="it-IT"/>
        </w:rPr>
      </w:pPr>
      <w:r w:rsidRPr="00761FF4">
        <w:rPr>
          <w:rFonts w:ascii="Calibri" w:hAnsi="Calibri" w:cs="Calibri"/>
          <w:sz w:val="22"/>
          <w:szCs w:val="22"/>
          <w:lang w:val="it-IT"/>
        </w:rPr>
        <w:t xml:space="preserve">Ci sono alcuni elementi generali </w:t>
      </w:r>
      <w:r w:rsidR="008264BB" w:rsidRPr="00761FF4">
        <w:rPr>
          <w:rFonts w:ascii="Calibri" w:hAnsi="Calibri" w:cs="Calibri"/>
          <w:sz w:val="22"/>
          <w:szCs w:val="22"/>
          <w:lang w:val="it-IT"/>
        </w:rPr>
        <w:t>a sostegno del trade sui mercati emergenti</w:t>
      </w:r>
      <w:r w:rsidR="00B56117" w:rsidRPr="00761FF4">
        <w:rPr>
          <w:rFonts w:ascii="Calibri" w:hAnsi="Calibri" w:cs="Calibri"/>
          <w:sz w:val="22"/>
          <w:szCs w:val="22"/>
          <w:lang w:val="it-IT"/>
        </w:rPr>
        <w:t xml:space="preserve">. Ad esempio, </w:t>
      </w:r>
      <w:r w:rsidRPr="00761FF4">
        <w:rPr>
          <w:rFonts w:ascii="Calibri" w:hAnsi="Calibri" w:cs="Calibri"/>
          <w:sz w:val="22"/>
          <w:szCs w:val="22"/>
          <w:lang w:val="it-IT"/>
        </w:rPr>
        <w:t>i</w:t>
      </w:r>
      <w:r w:rsidR="008264BB" w:rsidRPr="00761FF4">
        <w:rPr>
          <w:rFonts w:ascii="Calibri" w:hAnsi="Calibri" w:cs="Calibri"/>
          <w:sz w:val="22"/>
          <w:szCs w:val="22"/>
          <w:lang w:val="it-IT"/>
        </w:rPr>
        <w:t xml:space="preserve"> mercati emergenti sono più avanti nel ciclo di policy</w:t>
      </w:r>
      <w:r w:rsidRPr="00761FF4">
        <w:rPr>
          <w:rFonts w:ascii="Calibri" w:hAnsi="Calibri" w:cs="Calibri"/>
          <w:sz w:val="22"/>
          <w:szCs w:val="22"/>
          <w:lang w:val="it-IT"/>
        </w:rPr>
        <w:t>, l</w:t>
      </w:r>
      <w:r w:rsidR="008264BB" w:rsidRPr="00761FF4">
        <w:rPr>
          <w:rFonts w:ascii="Calibri" w:hAnsi="Calibri" w:cs="Calibri"/>
          <w:sz w:val="22"/>
          <w:szCs w:val="22"/>
          <w:lang w:val="it-IT"/>
        </w:rPr>
        <w:t>a Cina</w:t>
      </w:r>
      <w:r w:rsidR="00B56117" w:rsidRPr="00761FF4">
        <w:rPr>
          <w:rFonts w:ascii="Calibri" w:hAnsi="Calibri" w:cs="Calibri"/>
          <w:sz w:val="22"/>
          <w:szCs w:val="22"/>
          <w:lang w:val="it-IT"/>
        </w:rPr>
        <w:t xml:space="preserve"> sta riaprendo l’economia</w:t>
      </w:r>
      <w:r w:rsidRPr="00761FF4">
        <w:rPr>
          <w:rFonts w:ascii="Calibri" w:hAnsi="Calibri" w:cs="Calibri"/>
          <w:sz w:val="22"/>
          <w:szCs w:val="22"/>
          <w:lang w:val="it-IT"/>
        </w:rPr>
        <w:t>, l</w:t>
      </w:r>
      <w:r w:rsidR="008264BB" w:rsidRPr="00761FF4">
        <w:rPr>
          <w:rFonts w:ascii="Calibri" w:hAnsi="Calibri" w:cs="Calibri"/>
          <w:sz w:val="22"/>
          <w:szCs w:val="22"/>
          <w:lang w:val="it-IT"/>
        </w:rPr>
        <w:t>’indebolimento del dollaro USA offre un’ancora di salvezza ai mercati emergenti</w:t>
      </w:r>
      <w:r w:rsidR="00B56117" w:rsidRPr="00761FF4">
        <w:rPr>
          <w:rFonts w:ascii="Calibri" w:hAnsi="Calibri" w:cs="Calibri"/>
          <w:sz w:val="22"/>
          <w:szCs w:val="22"/>
          <w:lang w:val="it-IT"/>
        </w:rPr>
        <w:t xml:space="preserve"> e</w:t>
      </w:r>
      <w:r w:rsidRPr="00761FF4">
        <w:rPr>
          <w:rFonts w:ascii="Calibri" w:hAnsi="Calibri" w:cs="Calibri"/>
          <w:sz w:val="22"/>
          <w:szCs w:val="22"/>
          <w:lang w:val="it-IT"/>
        </w:rPr>
        <w:t>, infine, l</w:t>
      </w:r>
      <w:r w:rsidR="008264BB" w:rsidRPr="00761FF4">
        <w:rPr>
          <w:rFonts w:ascii="Calibri" w:hAnsi="Calibri" w:cs="Calibri"/>
          <w:sz w:val="22"/>
          <w:szCs w:val="22"/>
          <w:lang w:val="it-IT"/>
        </w:rPr>
        <w:t>e valutazioni sono relativamente convenienti</w:t>
      </w:r>
      <w:r w:rsidRPr="00761FF4">
        <w:rPr>
          <w:rFonts w:ascii="Calibri" w:hAnsi="Calibri" w:cs="Calibri"/>
          <w:sz w:val="22"/>
          <w:szCs w:val="22"/>
          <w:lang w:val="it-IT"/>
        </w:rPr>
        <w:t>.</w:t>
      </w:r>
      <w:r w:rsidR="002940DB" w:rsidRPr="00761FF4">
        <w:rPr>
          <w:rFonts w:ascii="Calibri" w:hAnsi="Calibri" w:cs="Calibri"/>
          <w:sz w:val="22"/>
          <w:szCs w:val="22"/>
          <w:lang w:val="it-IT"/>
        </w:rPr>
        <w:t xml:space="preserve"> </w:t>
      </w:r>
      <w:r w:rsidRPr="00761FF4">
        <w:rPr>
          <w:rFonts w:ascii="Calibri" w:hAnsi="Calibri" w:cs="Calibri"/>
          <w:sz w:val="22"/>
          <w:szCs w:val="22"/>
          <w:lang w:val="it-IT"/>
        </w:rPr>
        <w:t>Questi Paesi</w:t>
      </w:r>
      <w:r w:rsidR="008264BB" w:rsidRPr="00761FF4">
        <w:rPr>
          <w:rFonts w:ascii="Calibri" w:hAnsi="Calibri" w:cs="Calibri"/>
          <w:sz w:val="22"/>
          <w:szCs w:val="22"/>
          <w:lang w:val="it-IT"/>
        </w:rPr>
        <w:t xml:space="preserve"> hanno recentemente registrato un forte rimbalzo, ma gli investitori dovrebbero continuare a cercare opportunità per aggiungere esposizione. Tuttavia, una </w:t>
      </w:r>
      <w:proofErr w:type="spellStart"/>
      <w:r w:rsidR="008264BB" w:rsidRPr="00761FF4">
        <w:rPr>
          <w:rFonts w:ascii="Calibri" w:hAnsi="Calibri" w:cs="Calibri"/>
          <w:sz w:val="22"/>
          <w:szCs w:val="22"/>
          <w:lang w:val="it-IT"/>
        </w:rPr>
        <w:t>sovraperformance</w:t>
      </w:r>
      <w:proofErr w:type="spellEnd"/>
      <w:r w:rsidR="008264BB" w:rsidRPr="00761FF4">
        <w:rPr>
          <w:rFonts w:ascii="Calibri" w:hAnsi="Calibri" w:cs="Calibri"/>
          <w:sz w:val="22"/>
          <w:szCs w:val="22"/>
          <w:lang w:val="it-IT"/>
        </w:rPr>
        <w:t xml:space="preserve"> dei mercati emergenti richiederebbe un </w:t>
      </w:r>
      <w:proofErr w:type="spellStart"/>
      <w:r w:rsidR="008264BB" w:rsidRPr="00761FF4">
        <w:rPr>
          <w:rFonts w:ascii="Calibri" w:hAnsi="Calibri" w:cs="Calibri"/>
          <w:sz w:val="22"/>
          <w:szCs w:val="22"/>
          <w:lang w:val="it-IT"/>
        </w:rPr>
        <w:t>superciclo</w:t>
      </w:r>
      <w:proofErr w:type="spellEnd"/>
      <w:r w:rsidR="008264BB" w:rsidRPr="00761FF4">
        <w:rPr>
          <w:rFonts w:ascii="Calibri" w:hAnsi="Calibri" w:cs="Calibri"/>
          <w:sz w:val="22"/>
          <w:szCs w:val="22"/>
          <w:lang w:val="it-IT"/>
        </w:rPr>
        <w:t xml:space="preserve"> degli utili, che al momento sembra improbabile.</w:t>
      </w:r>
    </w:p>
    <w:p w14:paraId="18ACBAC7" w14:textId="77777777" w:rsidR="009D17F7" w:rsidRPr="00761FF4" w:rsidRDefault="009D17F7" w:rsidP="009D17F7">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p>
    <w:p w14:paraId="4D1F910A" w14:textId="237D4AD6" w:rsidR="008264BB" w:rsidRPr="00761FF4" w:rsidRDefault="008264BB" w:rsidP="003C5DE3">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6. È improbabile che la </w:t>
      </w:r>
      <w:proofErr w:type="spellStart"/>
      <w:r w:rsidRPr="00761FF4">
        <w:rPr>
          <w:rStyle w:val="Enfasigrassetto"/>
          <w:rFonts w:ascii="Calibri" w:eastAsiaTheme="majorEastAsia" w:hAnsi="Calibri" w:cs="Calibri"/>
          <w:b w:val="0"/>
          <w:bCs w:val="0"/>
          <w:kern w:val="2"/>
          <w:sz w:val="22"/>
          <w:szCs w:val="22"/>
          <w:u w:val="single"/>
          <w:lang w:val="it-IT" w:eastAsia="en-US"/>
          <w14:ligatures w14:val="standardContextual"/>
        </w:rPr>
        <w:t>sovraperformance</w:t>
      </w:r>
      <w:proofErr w:type="spellEnd"/>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 degli Stati Uniti nell’ultimo decennio si ripeta nel prossimo  </w:t>
      </w:r>
    </w:p>
    <w:p w14:paraId="7C5FF937" w14:textId="487EB5A3" w:rsidR="008264BB" w:rsidRPr="00761FF4" w:rsidRDefault="008264BB" w:rsidP="003C5DE3">
      <w:pPr>
        <w:pStyle w:val="NormaleWeb"/>
        <w:shd w:val="clear" w:color="auto" w:fill="FFFFFF"/>
        <w:spacing w:before="0" w:beforeAutospacing="0" w:after="0" w:afterAutospacing="0"/>
        <w:contextualSpacing/>
        <w:rPr>
          <w:rFonts w:ascii="Calibri" w:eastAsiaTheme="majorEastAsia" w:hAnsi="Calibri" w:cs="Calibri"/>
          <w:kern w:val="2"/>
          <w:sz w:val="22"/>
          <w:szCs w:val="22"/>
          <w:u w:val="single"/>
          <w:lang w:val="it-IT" w:eastAsia="en-US"/>
          <w14:ligatures w14:val="standardContextual"/>
        </w:rPr>
      </w:pPr>
      <w:r w:rsidRPr="00761FF4">
        <w:rPr>
          <w:rFonts w:ascii="Calibri" w:hAnsi="Calibri" w:cs="Calibri"/>
          <w:sz w:val="22"/>
          <w:szCs w:val="22"/>
          <w:lang w:val="it-IT"/>
        </w:rPr>
        <w:lastRenderedPageBreak/>
        <w:t>Sulla base delle sole valutazioni, l’ipotesi del mantenimento della posizione dominante degli Stati Uniti non sembra convincente. Un modo per dare un senso a questa situazione è ipotizzare che le valutazioni dei mercati regionali si adeguino alla media di lungo periodo nel corso dei prossimi tre anni, tenendo conto anche della differenza prevista nella crescita degli utili.</w:t>
      </w:r>
      <w:r w:rsidR="00150482" w:rsidRPr="00761FF4">
        <w:rPr>
          <w:rFonts w:ascii="Calibri" w:hAnsi="Calibri" w:cs="Calibri"/>
          <w:sz w:val="22"/>
          <w:szCs w:val="22"/>
          <w:lang w:val="it-IT"/>
        </w:rPr>
        <w:t xml:space="preserve"> </w:t>
      </w:r>
      <w:r w:rsidR="00582064" w:rsidRPr="00761FF4">
        <w:rPr>
          <w:rFonts w:ascii="Calibri" w:hAnsi="Calibri" w:cs="Calibri"/>
          <w:sz w:val="22"/>
          <w:szCs w:val="22"/>
          <w:lang w:val="it-IT"/>
        </w:rPr>
        <w:t>I</w:t>
      </w:r>
      <w:r w:rsidRPr="00761FF4">
        <w:rPr>
          <w:rFonts w:ascii="Calibri" w:hAnsi="Calibri" w:cs="Calibri"/>
          <w:sz w:val="22"/>
          <w:szCs w:val="22"/>
          <w:lang w:val="it-IT"/>
        </w:rPr>
        <w:t xml:space="preserve">l bilancio delle probabilità suggerisce che l’egemonia del mercato statunitense </w:t>
      </w:r>
      <w:r w:rsidR="00582064" w:rsidRPr="00761FF4">
        <w:rPr>
          <w:rFonts w:ascii="Calibri" w:hAnsi="Calibri" w:cs="Calibri"/>
          <w:sz w:val="22"/>
          <w:szCs w:val="22"/>
          <w:lang w:val="it-IT"/>
        </w:rPr>
        <w:t xml:space="preserve">abbia </w:t>
      </w:r>
      <w:r w:rsidRPr="00761FF4">
        <w:rPr>
          <w:rFonts w:ascii="Calibri" w:hAnsi="Calibri" w:cs="Calibri"/>
          <w:sz w:val="22"/>
          <w:szCs w:val="22"/>
          <w:lang w:val="it-IT"/>
        </w:rPr>
        <w:t>raggiunto il suo apice, poiché le valutazioni sono più interessanti in altre regioni e la superior</w:t>
      </w:r>
      <w:r w:rsidR="00582064" w:rsidRPr="00761FF4">
        <w:rPr>
          <w:rFonts w:ascii="Calibri" w:hAnsi="Calibri" w:cs="Calibri"/>
          <w:sz w:val="22"/>
          <w:szCs w:val="22"/>
          <w:lang w:val="it-IT"/>
        </w:rPr>
        <w:t>ità a livello qualitativo</w:t>
      </w:r>
      <w:r w:rsidRPr="00761FF4">
        <w:rPr>
          <w:rFonts w:ascii="Calibri" w:hAnsi="Calibri" w:cs="Calibri"/>
          <w:sz w:val="22"/>
          <w:szCs w:val="22"/>
          <w:lang w:val="it-IT"/>
        </w:rPr>
        <w:t xml:space="preserve"> dei titoli statunitensi non è più così convincente.</w:t>
      </w:r>
    </w:p>
    <w:p w14:paraId="4FAC28BB" w14:textId="77777777" w:rsidR="009D17F7" w:rsidRPr="00761FF4" w:rsidRDefault="009D17F7" w:rsidP="009D17F7">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p>
    <w:p w14:paraId="08E8B835" w14:textId="6A90CA42" w:rsidR="008264BB" w:rsidRPr="00761FF4" w:rsidRDefault="008264BB" w:rsidP="003C5DE3">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7. La performance del settore continuerà a essere importante, ma sarà difficile definirla  </w:t>
      </w:r>
    </w:p>
    <w:p w14:paraId="7E776D0C" w14:textId="521F35B7" w:rsidR="009D17F7" w:rsidRPr="00761FF4" w:rsidRDefault="008264BB" w:rsidP="003C5DE3">
      <w:pPr>
        <w:pStyle w:val="NormaleWeb"/>
        <w:shd w:val="clear" w:color="auto" w:fill="FFFFFF"/>
        <w:spacing w:before="0" w:beforeAutospacing="0" w:after="0" w:afterAutospacing="0"/>
        <w:contextualSpacing/>
        <w:rPr>
          <w:rFonts w:ascii="Calibri" w:hAnsi="Calibri" w:cs="Calibri"/>
          <w:sz w:val="22"/>
          <w:szCs w:val="22"/>
          <w:lang w:val="it-IT"/>
        </w:rPr>
      </w:pPr>
      <w:r w:rsidRPr="00761FF4">
        <w:rPr>
          <w:rFonts w:ascii="Calibri" w:hAnsi="Calibri" w:cs="Calibri"/>
          <w:sz w:val="22"/>
          <w:szCs w:val="22"/>
          <w:lang w:val="it-IT"/>
        </w:rPr>
        <w:t xml:space="preserve">A differenza del dominio </w:t>
      </w:r>
      <w:r w:rsidR="00A67AA1" w:rsidRPr="00761FF4">
        <w:rPr>
          <w:rFonts w:ascii="Calibri" w:hAnsi="Calibri" w:cs="Calibri"/>
          <w:sz w:val="22"/>
          <w:szCs w:val="22"/>
          <w:lang w:val="it-IT"/>
        </w:rPr>
        <w:t>del settore tecnologico</w:t>
      </w:r>
      <w:r w:rsidRPr="00761FF4">
        <w:rPr>
          <w:rFonts w:ascii="Calibri" w:hAnsi="Calibri" w:cs="Calibri"/>
          <w:sz w:val="22"/>
          <w:szCs w:val="22"/>
          <w:lang w:val="it-IT"/>
        </w:rPr>
        <w:t xml:space="preserve"> tra il 2017 e il 2020, realmente guidat</w:t>
      </w:r>
      <w:r w:rsidR="00A67AA1" w:rsidRPr="00761FF4">
        <w:rPr>
          <w:rFonts w:ascii="Calibri" w:hAnsi="Calibri" w:cs="Calibri"/>
          <w:sz w:val="22"/>
          <w:szCs w:val="22"/>
          <w:lang w:val="it-IT"/>
        </w:rPr>
        <w:t>o</w:t>
      </w:r>
      <w:r w:rsidRPr="00761FF4">
        <w:rPr>
          <w:rFonts w:ascii="Calibri" w:hAnsi="Calibri" w:cs="Calibri"/>
          <w:sz w:val="22"/>
          <w:szCs w:val="22"/>
          <w:lang w:val="it-IT"/>
        </w:rPr>
        <w:t xml:space="preserve"> da una manciata di titoli a grande capitalizzazione, la dispersione settoriale è stata recentemente elevata rispetto agli standard storici. Negli ultimi </w:t>
      </w:r>
      <w:r w:rsidR="00B56117" w:rsidRPr="00761FF4">
        <w:rPr>
          <w:rFonts w:ascii="Calibri" w:hAnsi="Calibri" w:cs="Calibri"/>
          <w:sz w:val="22"/>
          <w:szCs w:val="22"/>
          <w:lang w:val="it-IT"/>
        </w:rPr>
        <w:t>quarant’anni</w:t>
      </w:r>
      <w:r w:rsidRPr="00761FF4">
        <w:rPr>
          <w:rFonts w:ascii="Calibri" w:hAnsi="Calibri" w:cs="Calibri"/>
          <w:sz w:val="22"/>
          <w:szCs w:val="22"/>
          <w:lang w:val="it-IT"/>
        </w:rPr>
        <w:t xml:space="preserve">, infatti, è stata più alta solo in una manciata di mesi. Ciò ha offerto ai gestori attivi maggiori opportunità di sovraperformare, </w:t>
      </w:r>
      <w:r w:rsidR="002C73A2" w:rsidRPr="00761FF4">
        <w:rPr>
          <w:rFonts w:ascii="Calibri" w:hAnsi="Calibri" w:cs="Calibri"/>
          <w:sz w:val="22"/>
          <w:szCs w:val="22"/>
          <w:lang w:val="it-IT"/>
        </w:rPr>
        <w:t>anche se</w:t>
      </w:r>
      <w:r w:rsidRPr="00761FF4">
        <w:rPr>
          <w:rFonts w:ascii="Calibri" w:hAnsi="Calibri" w:cs="Calibri"/>
          <w:sz w:val="22"/>
          <w:szCs w:val="22"/>
          <w:lang w:val="it-IT"/>
        </w:rPr>
        <w:t xml:space="preserve"> individuare i settori giusti è stato difficile. </w:t>
      </w:r>
    </w:p>
    <w:p w14:paraId="125C8107" w14:textId="77777777" w:rsidR="00761FF4" w:rsidRPr="00761FF4" w:rsidRDefault="00761FF4" w:rsidP="003C5DE3">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p>
    <w:p w14:paraId="36E9A225" w14:textId="0619BE6F" w:rsidR="00761FF4" w:rsidRPr="00761FF4" w:rsidRDefault="008264BB" w:rsidP="00761FF4">
      <w:pPr>
        <w:pStyle w:val="NormaleWeb"/>
        <w:shd w:val="clear" w:color="auto" w:fill="FFFFFF"/>
        <w:spacing w:before="150" w:beforeAutospacing="0" w:after="30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r w:rsidRPr="00761FF4">
        <w:rPr>
          <w:rStyle w:val="Enfasigrassetto"/>
          <w:rFonts w:ascii="Calibri" w:eastAsiaTheme="majorEastAsia" w:hAnsi="Calibri" w:cs="Calibri"/>
          <w:b w:val="0"/>
          <w:bCs w:val="0"/>
          <w:kern w:val="2"/>
          <w:sz w:val="22"/>
          <w:szCs w:val="22"/>
          <w:u w:val="single"/>
          <w:lang w:val="it-IT" w:eastAsia="en-US"/>
          <w14:ligatures w14:val="standardContextual"/>
        </w:rPr>
        <w:t>8. L’investimento sostenibile è stato messo</w:t>
      </w:r>
      <w:r w:rsidR="001F0A25">
        <w:rPr>
          <w:rStyle w:val="Enfasigrassetto"/>
          <w:rFonts w:ascii="Calibri" w:eastAsiaTheme="majorEastAsia" w:hAnsi="Calibri" w:cs="Calibri"/>
          <w:b w:val="0"/>
          <w:bCs w:val="0"/>
          <w:kern w:val="2"/>
          <w:sz w:val="22"/>
          <w:szCs w:val="22"/>
          <w:u w:val="single"/>
          <w:lang w:val="it-IT" w:eastAsia="en-US"/>
          <w14:ligatures w14:val="standardContextual"/>
        </w:rPr>
        <w:t xml:space="preserve"> recentemente</w:t>
      </w:r>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 in discussione, il che rafforza la necessità di un approccio lungimirante </w:t>
      </w:r>
    </w:p>
    <w:p w14:paraId="2E777F33" w14:textId="2C3CF895" w:rsidR="008264BB" w:rsidRPr="00761FF4" w:rsidRDefault="008264BB" w:rsidP="00761FF4">
      <w:pPr>
        <w:pStyle w:val="NormaleWeb"/>
        <w:shd w:val="clear" w:color="auto" w:fill="FFFFFF"/>
        <w:spacing w:before="150" w:beforeAutospacing="0" w:after="300" w:afterAutospacing="0"/>
        <w:contextualSpacing/>
        <w:rPr>
          <w:rFonts w:ascii="Calibri" w:eastAsiaTheme="majorEastAsia" w:hAnsi="Calibri" w:cs="Calibri"/>
          <w:kern w:val="2"/>
          <w:sz w:val="22"/>
          <w:szCs w:val="22"/>
          <w:u w:val="single"/>
          <w:lang w:val="it-IT" w:eastAsia="en-US"/>
          <w14:ligatures w14:val="standardContextual"/>
        </w:rPr>
      </w:pPr>
      <w:r w:rsidRPr="00761FF4">
        <w:rPr>
          <w:rFonts w:ascii="Calibri" w:hAnsi="Calibri" w:cs="Calibri"/>
          <w:sz w:val="22"/>
          <w:szCs w:val="22"/>
          <w:lang w:val="it-IT"/>
        </w:rPr>
        <w:t xml:space="preserve">Sia nel 2021 sia nel 2022 gli investimenti incentrati sulla sostenibilità hanno subito una battuta d’arresto a causa della forza dei titoli energetici e dei produttori di armi, oltre </w:t>
      </w:r>
      <w:r w:rsidR="00582064" w:rsidRPr="00761FF4">
        <w:rPr>
          <w:rFonts w:ascii="Calibri" w:hAnsi="Calibri" w:cs="Calibri"/>
          <w:sz w:val="22"/>
          <w:szCs w:val="22"/>
          <w:lang w:val="it-IT"/>
        </w:rPr>
        <w:t>a</w:t>
      </w:r>
      <w:r w:rsidRPr="00761FF4">
        <w:rPr>
          <w:rFonts w:ascii="Calibri" w:hAnsi="Calibri" w:cs="Calibri"/>
          <w:sz w:val="22"/>
          <w:szCs w:val="22"/>
          <w:lang w:val="it-IT"/>
        </w:rPr>
        <w:t xml:space="preserve"> una più ampia preferenza per i titoli difensivi, in particolare il tabacco. Ciò rafforza la necessità di un approccio in evoluzione che si concentri sempre più sui “leader” e sui “facilitatori” della sostenibilità, piuttosto che evitare semplicemente i peggiori della categoria. Anche le strategie ESG esposte al </w:t>
      </w:r>
      <w:proofErr w:type="spellStart"/>
      <w:r w:rsidR="001F0A25">
        <w:rPr>
          <w:rFonts w:ascii="Calibri" w:hAnsi="Calibri" w:cs="Calibri"/>
          <w:sz w:val="22"/>
          <w:szCs w:val="22"/>
          <w:lang w:val="it-IT"/>
        </w:rPr>
        <w:t>v</w:t>
      </w:r>
      <w:r w:rsidRPr="00761FF4">
        <w:rPr>
          <w:rFonts w:ascii="Calibri" w:hAnsi="Calibri" w:cs="Calibri"/>
          <w:sz w:val="22"/>
          <w:szCs w:val="22"/>
          <w:lang w:val="it-IT"/>
        </w:rPr>
        <w:t>alue</w:t>
      </w:r>
      <w:proofErr w:type="spellEnd"/>
      <w:r w:rsidRPr="00761FF4">
        <w:rPr>
          <w:rFonts w:ascii="Calibri" w:hAnsi="Calibri" w:cs="Calibri"/>
          <w:sz w:val="22"/>
          <w:szCs w:val="22"/>
          <w:lang w:val="it-IT"/>
        </w:rPr>
        <w:t xml:space="preserve"> che sfruttano l’intero set di opportunità sono ben posizionate per ottenere performance, in particolare quelle che sfruttano appieno l’engagement attivo.</w:t>
      </w:r>
    </w:p>
    <w:p w14:paraId="410E2563" w14:textId="77777777" w:rsidR="009D17F7" w:rsidRPr="00761FF4" w:rsidRDefault="009D17F7" w:rsidP="009D17F7">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p>
    <w:p w14:paraId="39578CFD" w14:textId="58C095F8" w:rsidR="008264BB" w:rsidRPr="00761FF4" w:rsidRDefault="008264BB" w:rsidP="003C5DE3">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r w:rsidRPr="00761FF4">
        <w:rPr>
          <w:rStyle w:val="Enfasigrassetto"/>
          <w:rFonts w:ascii="Calibri" w:eastAsiaTheme="majorEastAsia" w:hAnsi="Calibri" w:cs="Calibri"/>
          <w:b w:val="0"/>
          <w:bCs w:val="0"/>
          <w:kern w:val="2"/>
          <w:sz w:val="22"/>
          <w:szCs w:val="22"/>
          <w:u w:val="single"/>
          <w:lang w:val="it-IT" w:eastAsia="en-US"/>
          <w14:ligatures w14:val="standardContextual"/>
        </w:rPr>
        <w:t>9. Tenere d’occhio le tendenze sostenibili emergenti</w:t>
      </w:r>
      <w:r w:rsidR="00844EFE" w:rsidRPr="00761FF4">
        <w:rPr>
          <w:rStyle w:val="Enfasigrassetto"/>
          <w:rFonts w:ascii="Calibri" w:eastAsiaTheme="majorEastAsia" w:hAnsi="Calibri" w:cs="Calibri"/>
          <w:b w:val="0"/>
          <w:bCs w:val="0"/>
          <w:kern w:val="2"/>
          <w:sz w:val="22"/>
          <w:szCs w:val="22"/>
          <w:u w:val="single"/>
          <w:lang w:val="it-IT" w:eastAsia="en-US"/>
          <w14:ligatures w14:val="standardContextual"/>
        </w:rPr>
        <w:t>:</w:t>
      </w:r>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 capitale umano e biodiversità </w:t>
      </w:r>
    </w:p>
    <w:p w14:paraId="6B4B867C" w14:textId="1AAF00D4" w:rsidR="009D17F7" w:rsidRPr="00761FF4" w:rsidRDefault="008264BB" w:rsidP="003C5DE3">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r w:rsidRPr="00761FF4">
        <w:rPr>
          <w:rFonts w:ascii="Calibri" w:hAnsi="Calibri" w:cs="Calibri"/>
          <w:sz w:val="22"/>
          <w:szCs w:val="22"/>
          <w:lang w:val="it-IT"/>
        </w:rPr>
        <w:t xml:space="preserve">Gli investitori </w:t>
      </w:r>
      <w:r w:rsidR="001F0A25">
        <w:rPr>
          <w:rFonts w:ascii="Calibri" w:hAnsi="Calibri" w:cs="Calibri"/>
          <w:sz w:val="22"/>
          <w:szCs w:val="22"/>
          <w:lang w:val="it-IT"/>
        </w:rPr>
        <w:t>stanno ampliando lo</w:t>
      </w:r>
      <w:r w:rsidRPr="00761FF4">
        <w:rPr>
          <w:rFonts w:ascii="Calibri" w:hAnsi="Calibri" w:cs="Calibri"/>
          <w:sz w:val="22"/>
          <w:szCs w:val="22"/>
          <w:lang w:val="it-IT"/>
        </w:rPr>
        <w:t xml:space="preserve"> sguardo</w:t>
      </w:r>
      <w:r w:rsidR="001F0A25">
        <w:rPr>
          <w:rFonts w:ascii="Calibri" w:hAnsi="Calibri" w:cs="Calibri"/>
          <w:sz w:val="22"/>
          <w:szCs w:val="22"/>
          <w:lang w:val="it-IT"/>
        </w:rPr>
        <w:t>,</w:t>
      </w:r>
      <w:r w:rsidRPr="00761FF4">
        <w:rPr>
          <w:rFonts w:ascii="Calibri" w:hAnsi="Calibri" w:cs="Calibri"/>
          <w:sz w:val="22"/>
          <w:szCs w:val="22"/>
          <w:lang w:val="it-IT"/>
        </w:rPr>
        <w:t xml:space="preserve"> </w:t>
      </w:r>
      <w:r w:rsidR="001F0A25">
        <w:rPr>
          <w:rFonts w:ascii="Calibri" w:hAnsi="Calibri" w:cs="Calibri"/>
          <w:sz w:val="22"/>
          <w:szCs w:val="22"/>
          <w:lang w:val="it-IT"/>
        </w:rPr>
        <w:t>considerando</w:t>
      </w:r>
      <w:r w:rsidRPr="00761FF4">
        <w:rPr>
          <w:rFonts w:ascii="Calibri" w:hAnsi="Calibri" w:cs="Calibri"/>
          <w:sz w:val="22"/>
          <w:szCs w:val="22"/>
          <w:lang w:val="it-IT"/>
        </w:rPr>
        <w:t xml:space="preserve"> sempre </w:t>
      </w:r>
      <w:r w:rsidR="001F0A25">
        <w:rPr>
          <w:rFonts w:ascii="Calibri" w:hAnsi="Calibri" w:cs="Calibri"/>
          <w:sz w:val="22"/>
          <w:szCs w:val="22"/>
          <w:lang w:val="it-IT"/>
        </w:rPr>
        <w:t xml:space="preserve">di </w:t>
      </w:r>
      <w:r w:rsidRPr="00761FF4">
        <w:rPr>
          <w:rFonts w:ascii="Calibri" w:hAnsi="Calibri" w:cs="Calibri"/>
          <w:sz w:val="22"/>
          <w:szCs w:val="22"/>
          <w:lang w:val="it-IT"/>
        </w:rPr>
        <w:t>più i fattori sociali e ambientali, come il capitale umano e la biodiversità, come motore dei rendimenti aziendali. La visibilità dei rischi legati alla natura, di cui il cambiamento climatico è una componente, sta migliorando. Lo slancio politico si sta consolidando e gli investitori e le autorità di regolamentazione sono sempre più attenti alle performance ambientali delle aziende, al di là dei piani di riduzione delle emissioni di carbonio.</w:t>
      </w:r>
      <w:r w:rsidR="002C73A2" w:rsidRPr="00761FF4">
        <w:rPr>
          <w:rFonts w:ascii="Calibri" w:hAnsi="Calibri" w:cs="Calibri"/>
          <w:sz w:val="22"/>
          <w:szCs w:val="22"/>
          <w:lang w:val="it-IT"/>
        </w:rPr>
        <w:t xml:space="preserve"> </w:t>
      </w:r>
    </w:p>
    <w:p w14:paraId="3482AF3F" w14:textId="77777777" w:rsidR="009D17F7" w:rsidRPr="00761FF4" w:rsidRDefault="009D17F7" w:rsidP="009D17F7">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p>
    <w:p w14:paraId="52599B5C" w14:textId="29204581" w:rsidR="008264BB" w:rsidRPr="00761FF4" w:rsidRDefault="008264BB" w:rsidP="003C5DE3">
      <w:pPr>
        <w:pStyle w:val="NormaleWeb"/>
        <w:shd w:val="clear" w:color="auto" w:fill="FFFFFF"/>
        <w:spacing w:before="0" w:beforeAutospacing="0" w:after="0" w:afterAutospacing="0"/>
        <w:contextualSpacing/>
        <w:rPr>
          <w:rStyle w:val="Enfasigrassetto"/>
          <w:rFonts w:ascii="Calibri" w:eastAsiaTheme="majorEastAsia" w:hAnsi="Calibri" w:cs="Calibri"/>
          <w:b w:val="0"/>
          <w:bCs w:val="0"/>
          <w:kern w:val="2"/>
          <w:sz w:val="22"/>
          <w:szCs w:val="22"/>
          <w:u w:val="single"/>
          <w:lang w:val="it-IT" w:eastAsia="en-US"/>
          <w14:ligatures w14:val="standardContextual"/>
        </w:rPr>
      </w:pPr>
      <w:r w:rsidRPr="00761FF4">
        <w:rPr>
          <w:rStyle w:val="Enfasigrassetto"/>
          <w:rFonts w:ascii="Calibri" w:eastAsiaTheme="majorEastAsia" w:hAnsi="Calibri" w:cs="Calibri"/>
          <w:b w:val="0"/>
          <w:bCs w:val="0"/>
          <w:kern w:val="2"/>
          <w:sz w:val="22"/>
          <w:szCs w:val="22"/>
          <w:u w:val="single"/>
          <w:lang w:val="it-IT" w:eastAsia="en-US"/>
          <w14:ligatures w14:val="standardContextual"/>
        </w:rPr>
        <w:t xml:space="preserve">10. Il quadro generale è incerto e gli investitori dovranno essere molto più </w:t>
      </w:r>
      <w:r w:rsidR="002C73A2" w:rsidRPr="00761FF4">
        <w:rPr>
          <w:rStyle w:val="Enfasigrassetto"/>
          <w:rFonts w:ascii="Calibri" w:eastAsiaTheme="majorEastAsia" w:hAnsi="Calibri" w:cs="Calibri"/>
          <w:b w:val="0"/>
          <w:bCs w:val="0"/>
          <w:kern w:val="2"/>
          <w:sz w:val="22"/>
          <w:szCs w:val="22"/>
          <w:u w:val="single"/>
          <w:lang w:val="it-IT" w:eastAsia="en-US"/>
          <w14:ligatures w14:val="standardContextual"/>
        </w:rPr>
        <w:t>flessibili</w:t>
      </w:r>
    </w:p>
    <w:p w14:paraId="5B80B45E" w14:textId="06E143CC" w:rsidR="008264BB" w:rsidRPr="00761FF4" w:rsidRDefault="002C73A2" w:rsidP="003C5DE3">
      <w:pPr>
        <w:pStyle w:val="NormaleWeb"/>
        <w:shd w:val="clear" w:color="auto" w:fill="FFFFFF"/>
        <w:spacing w:before="0" w:beforeAutospacing="0" w:after="0" w:afterAutospacing="0"/>
        <w:contextualSpacing/>
        <w:rPr>
          <w:rFonts w:ascii="Calibri" w:eastAsiaTheme="majorEastAsia" w:hAnsi="Calibri" w:cs="Calibri"/>
          <w:kern w:val="2"/>
          <w:sz w:val="22"/>
          <w:szCs w:val="22"/>
          <w:u w:val="single"/>
          <w:lang w:val="it-IT" w:eastAsia="en-US"/>
          <w14:ligatures w14:val="standardContextual"/>
        </w:rPr>
      </w:pPr>
      <w:r w:rsidRPr="00761FF4">
        <w:rPr>
          <w:rFonts w:ascii="Calibri" w:hAnsi="Calibri" w:cs="Calibri"/>
          <w:sz w:val="22"/>
          <w:szCs w:val="22"/>
          <w:lang w:val="it-IT"/>
        </w:rPr>
        <w:t>Per decenni l</w:t>
      </w:r>
      <w:r w:rsidR="008264BB" w:rsidRPr="00761FF4">
        <w:rPr>
          <w:rFonts w:ascii="Calibri" w:hAnsi="Calibri" w:cs="Calibri"/>
          <w:sz w:val="22"/>
          <w:szCs w:val="22"/>
          <w:lang w:val="it-IT"/>
        </w:rPr>
        <w:t xml:space="preserve">a globalizzazione ha fornito </w:t>
      </w:r>
      <w:r w:rsidR="0067206F" w:rsidRPr="00761FF4">
        <w:rPr>
          <w:rFonts w:ascii="Calibri" w:hAnsi="Calibri" w:cs="Calibri"/>
          <w:sz w:val="22"/>
          <w:szCs w:val="22"/>
          <w:lang w:val="it-IT"/>
        </w:rPr>
        <w:t>un vento favorevole</w:t>
      </w:r>
      <w:r w:rsidR="008264BB" w:rsidRPr="00761FF4">
        <w:rPr>
          <w:rFonts w:ascii="Calibri" w:hAnsi="Calibri" w:cs="Calibri"/>
          <w:sz w:val="22"/>
          <w:szCs w:val="22"/>
          <w:lang w:val="it-IT"/>
        </w:rPr>
        <w:t xml:space="preserve"> ai rendimenti degli investimenti per decenni. La prospettiva di una crescita più imprevedibile, di tassi più elevati e di una maggiore volatilità è la naturale conseguenza di un futuro meno certo. Gli investitori dovranno essere più agili nel rispondere alle opportunità di mercato in evoluzione, il che potrebbe richiedere approcci più mirati. Un approccio bottom-up flessibile ma scalabile è probabilmente il più adatto a rispondere alle sfide che questo mondo pone.</w:t>
      </w:r>
    </w:p>
    <w:p w14:paraId="147CE102" w14:textId="77777777" w:rsidR="009D17F7" w:rsidRPr="00E94462" w:rsidRDefault="009D17F7" w:rsidP="009D17F7">
      <w:pPr>
        <w:pStyle w:val="NormaleWeb"/>
        <w:shd w:val="clear" w:color="auto" w:fill="FFFFFF"/>
        <w:spacing w:before="0" w:beforeAutospacing="0" w:after="0" w:afterAutospacing="0"/>
        <w:contextualSpacing/>
        <w:rPr>
          <w:rFonts w:ascii="Calibri" w:eastAsiaTheme="majorEastAsia" w:hAnsi="Calibri" w:cs="Calibri"/>
          <w:kern w:val="2"/>
          <w:sz w:val="22"/>
          <w:szCs w:val="22"/>
          <w:u w:val="single"/>
          <w:lang w:val="it-IT" w:eastAsia="en-US"/>
          <w14:ligatures w14:val="standardContextual"/>
        </w:rPr>
      </w:pPr>
    </w:p>
    <w:bookmarkEnd w:id="0"/>
    <w:p w14:paraId="4A6DFA79" w14:textId="77777777" w:rsidR="002D354C" w:rsidRPr="003C5DE3" w:rsidRDefault="002D354C" w:rsidP="003C5DE3">
      <w:pPr>
        <w:contextualSpacing/>
        <w:rPr>
          <w:lang w:val="it-IT"/>
        </w:rPr>
      </w:pPr>
    </w:p>
    <w:sectPr w:rsidR="002D354C" w:rsidRPr="003C5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85D"/>
    <w:multiLevelType w:val="multilevel"/>
    <w:tmpl w:val="E452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C2C45"/>
    <w:multiLevelType w:val="multilevel"/>
    <w:tmpl w:val="0EB21016"/>
    <w:lvl w:ilvl="0">
      <w:start w:val="1"/>
      <w:numFmt w:val="bullet"/>
      <w:lvlText w:val=""/>
      <w:lvlJc w:val="left"/>
      <w:pPr>
        <w:tabs>
          <w:tab w:val="num" w:pos="720"/>
        </w:tabs>
        <w:ind w:left="720" w:hanging="360"/>
      </w:pPr>
      <w:rPr>
        <w:rFonts w:ascii="Symbol" w:hAnsi="Symbol" w:hint="default"/>
        <w:sz w:val="20"/>
        <w:lang w:val="it-I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3315786">
    <w:abstractNumId w:val="1"/>
  </w:num>
  <w:num w:numId="2" w16cid:durableId="502739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4C"/>
    <w:rsid w:val="00085226"/>
    <w:rsid w:val="000E378E"/>
    <w:rsid w:val="00150482"/>
    <w:rsid w:val="001F0A25"/>
    <w:rsid w:val="00252356"/>
    <w:rsid w:val="002940DB"/>
    <w:rsid w:val="002C73A2"/>
    <w:rsid w:val="002D354C"/>
    <w:rsid w:val="00302072"/>
    <w:rsid w:val="003C5DE3"/>
    <w:rsid w:val="003F6EC9"/>
    <w:rsid w:val="00443EA8"/>
    <w:rsid w:val="00505243"/>
    <w:rsid w:val="00546838"/>
    <w:rsid w:val="00546D24"/>
    <w:rsid w:val="00582064"/>
    <w:rsid w:val="00664547"/>
    <w:rsid w:val="0067206F"/>
    <w:rsid w:val="006A66B2"/>
    <w:rsid w:val="00761FF4"/>
    <w:rsid w:val="00795676"/>
    <w:rsid w:val="007E2077"/>
    <w:rsid w:val="00820D23"/>
    <w:rsid w:val="008264BB"/>
    <w:rsid w:val="00844EFE"/>
    <w:rsid w:val="008C4DC9"/>
    <w:rsid w:val="0093098A"/>
    <w:rsid w:val="00932F9F"/>
    <w:rsid w:val="00975116"/>
    <w:rsid w:val="009A788F"/>
    <w:rsid w:val="009D17F7"/>
    <w:rsid w:val="00A643E5"/>
    <w:rsid w:val="00A67AA1"/>
    <w:rsid w:val="00A81BCB"/>
    <w:rsid w:val="00B56117"/>
    <w:rsid w:val="00B60D3E"/>
    <w:rsid w:val="00D16CD9"/>
    <w:rsid w:val="00DE235D"/>
    <w:rsid w:val="00E63CF1"/>
    <w:rsid w:val="00E94462"/>
    <w:rsid w:val="00F27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2F58"/>
  <w15:chartTrackingRefBased/>
  <w15:docId w15:val="{619ED7B1-9DB3-44DF-906B-AB0698D8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64BB"/>
    <w:pPr>
      <w:spacing w:after="0" w:line="240" w:lineRule="auto"/>
    </w:pPr>
    <w:rPr>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ame">
    <w:name w:val="name"/>
    <w:basedOn w:val="Normale"/>
    <w:rsid w:val="008264BB"/>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eWeb">
    <w:name w:val="Normal (Web)"/>
    <w:basedOn w:val="Normale"/>
    <w:uiPriority w:val="99"/>
    <w:unhideWhenUsed/>
    <w:rsid w:val="008264B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nfasigrassetto">
    <w:name w:val="Strong"/>
    <w:basedOn w:val="Carpredefinitoparagrafo"/>
    <w:uiPriority w:val="22"/>
    <w:qFormat/>
    <w:rsid w:val="008264BB"/>
    <w:rPr>
      <w:b/>
      <w:bCs/>
    </w:rPr>
  </w:style>
  <w:style w:type="paragraph" w:styleId="Revisione">
    <w:name w:val="Revision"/>
    <w:hidden/>
    <w:uiPriority w:val="99"/>
    <w:semiHidden/>
    <w:rsid w:val="00D16CD9"/>
    <w:pPr>
      <w:spacing w:after="0" w:line="240" w:lineRule="auto"/>
    </w:pPr>
    <w:rPr>
      <w:sz w:val="24"/>
      <w:szCs w:val="24"/>
      <w:lang w:val="en-GB"/>
    </w:rPr>
  </w:style>
  <w:style w:type="character" w:styleId="Rimandocommento">
    <w:name w:val="annotation reference"/>
    <w:basedOn w:val="Carpredefinitoparagrafo"/>
    <w:uiPriority w:val="99"/>
    <w:semiHidden/>
    <w:unhideWhenUsed/>
    <w:rsid w:val="002C73A2"/>
    <w:rPr>
      <w:sz w:val="16"/>
      <w:szCs w:val="16"/>
    </w:rPr>
  </w:style>
  <w:style w:type="paragraph" w:styleId="Testocommento">
    <w:name w:val="annotation text"/>
    <w:basedOn w:val="Normale"/>
    <w:link w:val="TestocommentoCarattere"/>
    <w:uiPriority w:val="99"/>
    <w:unhideWhenUsed/>
    <w:rsid w:val="002C73A2"/>
    <w:rPr>
      <w:sz w:val="20"/>
      <w:szCs w:val="20"/>
    </w:rPr>
  </w:style>
  <w:style w:type="character" w:customStyle="1" w:styleId="TestocommentoCarattere">
    <w:name w:val="Testo commento Carattere"/>
    <w:basedOn w:val="Carpredefinitoparagrafo"/>
    <w:link w:val="Testocommento"/>
    <w:uiPriority w:val="99"/>
    <w:rsid w:val="002C73A2"/>
    <w:rPr>
      <w:sz w:val="20"/>
      <w:szCs w:val="20"/>
      <w:lang w:val="en-GB"/>
    </w:rPr>
  </w:style>
  <w:style w:type="paragraph" w:styleId="Soggettocommento">
    <w:name w:val="annotation subject"/>
    <w:basedOn w:val="Testocommento"/>
    <w:next w:val="Testocommento"/>
    <w:link w:val="SoggettocommentoCarattere"/>
    <w:uiPriority w:val="99"/>
    <w:semiHidden/>
    <w:unhideWhenUsed/>
    <w:rsid w:val="002C73A2"/>
    <w:rPr>
      <w:b/>
      <w:bCs/>
    </w:rPr>
  </w:style>
  <w:style w:type="character" w:customStyle="1" w:styleId="SoggettocommentoCarattere">
    <w:name w:val="Soggetto commento Carattere"/>
    <w:basedOn w:val="TestocommentoCarattere"/>
    <w:link w:val="Soggettocommento"/>
    <w:uiPriority w:val="99"/>
    <w:semiHidden/>
    <w:rsid w:val="002C73A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1032</Words>
  <Characters>5889</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Bogo</dc:creator>
  <cp:keywords/>
  <dc:description/>
  <cp:lastModifiedBy>Diana Ferla</cp:lastModifiedBy>
  <cp:revision>4</cp:revision>
  <dcterms:created xsi:type="dcterms:W3CDTF">2023-04-06T07:19:00Z</dcterms:created>
  <dcterms:modified xsi:type="dcterms:W3CDTF">2023-04-06T07:49:00Z</dcterms:modified>
</cp:coreProperties>
</file>