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FC55" w14:textId="42D8FEA4" w:rsidR="00152447" w:rsidRDefault="00A07B79" w:rsidP="0047658B">
      <w:pPr>
        <w:spacing w:after="0"/>
        <w:contextualSpacing/>
        <w:jc w:val="both"/>
        <w:rPr>
          <w:rFonts w:asciiTheme="minorHAnsi" w:eastAsia="MS Mincho" w:hAnsiTheme="minorHAnsi" w:cstheme="minorHAnsi"/>
          <w:b/>
          <w:bCs/>
          <w:snapToGrid w:val="0"/>
          <w:sz w:val="28"/>
          <w:szCs w:val="28"/>
          <w:lang w:val="it-IT"/>
        </w:rPr>
      </w:pPr>
      <w:r w:rsidRPr="00A07B79">
        <w:rPr>
          <w:rFonts w:asciiTheme="minorHAnsi" w:eastAsia="MS Mincho" w:hAnsiTheme="minorHAnsi" w:cstheme="minorHAnsi"/>
          <w:b/>
          <w:bCs/>
          <w:snapToGrid w:val="0"/>
          <w:sz w:val="28"/>
          <w:szCs w:val="28"/>
          <w:lang w:val="it-IT"/>
        </w:rPr>
        <w:t>Banche Centrali: un’inflazione persistente nello scenario macroeconomico</w:t>
      </w:r>
    </w:p>
    <w:p w14:paraId="19ADBC09" w14:textId="77777777" w:rsidR="00A07B79" w:rsidRPr="00A83B24" w:rsidRDefault="00A07B79" w:rsidP="0047658B">
      <w:pPr>
        <w:spacing w:after="0"/>
        <w:contextualSpacing/>
        <w:jc w:val="both"/>
        <w:rPr>
          <w:rFonts w:asciiTheme="minorHAnsi" w:hAnsiTheme="minorHAnsi" w:cstheme="minorHAnsi"/>
          <w:i/>
          <w:iCs/>
          <w:sz w:val="22"/>
          <w:lang w:val="it-IT"/>
        </w:rPr>
      </w:pPr>
    </w:p>
    <w:p w14:paraId="53E932E7" w14:textId="1101D658" w:rsidR="00B0581D" w:rsidRPr="00A83B24" w:rsidRDefault="00B0581D" w:rsidP="00152447">
      <w:pPr>
        <w:spacing w:after="0"/>
        <w:contextualSpacing/>
        <w:jc w:val="both"/>
        <w:rPr>
          <w:rFonts w:asciiTheme="minorHAnsi" w:hAnsiTheme="minorHAnsi" w:cstheme="minorHAnsi"/>
          <w:i/>
          <w:iCs/>
          <w:sz w:val="22"/>
          <w:lang w:val="it-IT"/>
        </w:rPr>
      </w:pPr>
      <w:r w:rsidRPr="00A83B24">
        <w:rPr>
          <w:rFonts w:asciiTheme="minorHAnsi" w:hAnsiTheme="minorHAnsi" w:cstheme="minorHAnsi"/>
          <w:i/>
          <w:iCs/>
          <w:sz w:val="22"/>
          <w:lang w:val="it-IT"/>
        </w:rPr>
        <w:t xml:space="preserve">A cura di </w:t>
      </w:r>
      <w:r w:rsidR="00152447" w:rsidRPr="00152447">
        <w:rPr>
          <w:rFonts w:asciiTheme="minorHAnsi" w:hAnsiTheme="minorHAnsi" w:cstheme="minorHAnsi"/>
          <w:b/>
          <w:bCs/>
          <w:i/>
          <w:iCs/>
          <w:sz w:val="22"/>
          <w:lang w:val="it-IT"/>
        </w:rPr>
        <w:t>Martina Daga</w:t>
      </w:r>
      <w:r w:rsidR="00152447">
        <w:rPr>
          <w:rFonts w:asciiTheme="minorHAnsi" w:hAnsiTheme="minorHAnsi" w:cstheme="minorHAnsi"/>
          <w:b/>
          <w:bCs/>
          <w:i/>
          <w:iCs/>
          <w:sz w:val="22"/>
          <w:lang w:val="it-IT"/>
        </w:rPr>
        <w:t xml:space="preserve">, </w:t>
      </w:r>
      <w:r w:rsidR="00152447" w:rsidRPr="00152447">
        <w:rPr>
          <w:rFonts w:asciiTheme="minorHAnsi" w:hAnsiTheme="minorHAnsi" w:cstheme="minorHAnsi"/>
          <w:b/>
          <w:bCs/>
          <w:i/>
          <w:iCs/>
          <w:sz w:val="22"/>
          <w:lang w:val="it-IT"/>
        </w:rPr>
        <w:t>Junior Macro Economist</w:t>
      </w:r>
      <w:r w:rsidRPr="00A83B24">
        <w:rPr>
          <w:rFonts w:asciiTheme="minorHAnsi" w:hAnsiTheme="minorHAnsi" w:cstheme="minorHAnsi"/>
          <w:b/>
          <w:bCs/>
          <w:i/>
          <w:iCs/>
          <w:sz w:val="22"/>
          <w:lang w:val="it-IT"/>
        </w:rPr>
        <w:t>, AcomeA SGR</w:t>
      </w:r>
    </w:p>
    <w:p w14:paraId="7BC60241" w14:textId="77777777" w:rsidR="00B0581D" w:rsidRPr="00A83B24" w:rsidRDefault="00B0581D" w:rsidP="0047658B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62DBD068" w14:textId="00A67FC7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Le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proiezioni macroeconomiche aggiornate al primo trimestre del 2023</w:t>
      </w:r>
      <w:r>
        <w:rPr>
          <w:rFonts w:asciiTheme="minorHAnsi" w:hAnsiTheme="minorHAnsi" w:cstheme="minorHAnsi"/>
          <w:sz w:val="22"/>
          <w:lang w:val="it-IT"/>
        </w:rPr>
        <w:t xml:space="preserve"> della Fed e della Bce, presentate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in occasione </w:t>
      </w:r>
      <w:proofErr w:type="gramStart"/>
      <w:r w:rsidRPr="00152447">
        <w:rPr>
          <w:rFonts w:asciiTheme="minorHAnsi" w:hAnsiTheme="minorHAnsi" w:cstheme="minorHAnsi"/>
          <w:sz w:val="22"/>
          <w:lang w:val="it-IT"/>
        </w:rPr>
        <w:t>dei meeting</w:t>
      </w:r>
      <w:proofErr w:type="gramEnd"/>
      <w:r w:rsidRPr="00152447">
        <w:rPr>
          <w:rFonts w:asciiTheme="minorHAnsi" w:hAnsiTheme="minorHAnsi" w:cstheme="minorHAnsi"/>
          <w:sz w:val="22"/>
          <w:lang w:val="it-IT"/>
        </w:rPr>
        <w:t xml:space="preserve"> di politica monetaria di marzo</w:t>
      </w:r>
      <w:r>
        <w:rPr>
          <w:rFonts w:asciiTheme="minorHAnsi" w:hAnsiTheme="minorHAnsi" w:cstheme="minorHAnsi"/>
          <w:sz w:val="22"/>
          <w:lang w:val="it-IT"/>
        </w:rPr>
        <w:t xml:space="preserve">, 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mostrano sostanziali differenze: la </w:t>
      </w:r>
      <w:r w:rsidRPr="0053754B">
        <w:rPr>
          <w:rFonts w:asciiTheme="minorHAnsi" w:hAnsiTheme="minorHAnsi" w:cstheme="minorHAnsi"/>
          <w:b/>
          <w:bCs/>
          <w:sz w:val="22"/>
          <w:lang w:val="it-IT"/>
        </w:rPr>
        <w:t>B</w:t>
      </w:r>
      <w:r w:rsidR="0053754B">
        <w:rPr>
          <w:rFonts w:asciiTheme="minorHAnsi" w:hAnsiTheme="minorHAnsi" w:cstheme="minorHAnsi"/>
          <w:b/>
          <w:bCs/>
          <w:sz w:val="22"/>
          <w:lang w:val="it-IT"/>
        </w:rPr>
        <w:t>ce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elabora le proiezioni prima del meeting e</w:t>
      </w:r>
      <w:r>
        <w:rPr>
          <w:rFonts w:asciiTheme="minorHAnsi" w:hAnsiTheme="minorHAnsi" w:cstheme="minorHAnsi"/>
          <w:sz w:val="22"/>
          <w:lang w:val="it-IT"/>
        </w:rPr>
        <w:t>,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in questo caso</w:t>
      </w:r>
      <w:r>
        <w:rPr>
          <w:rFonts w:asciiTheme="minorHAnsi" w:hAnsiTheme="minorHAnsi" w:cstheme="minorHAnsi"/>
          <w:sz w:val="22"/>
          <w:lang w:val="it-IT"/>
        </w:rPr>
        <w:t>,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prima delle recenti tensioni che hanno interessato il settore bancario partendo dagli Stati Uniti e poi in Europa</w:t>
      </w:r>
      <w:r>
        <w:rPr>
          <w:rFonts w:asciiTheme="minorHAnsi" w:hAnsiTheme="minorHAnsi" w:cstheme="minorHAnsi"/>
          <w:sz w:val="22"/>
          <w:lang w:val="it-IT"/>
        </w:rPr>
        <w:t>,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con il caso Credit Suisse. </w:t>
      </w:r>
      <w:r>
        <w:rPr>
          <w:rFonts w:asciiTheme="minorHAnsi" w:hAnsiTheme="minorHAnsi" w:cstheme="minorHAnsi"/>
          <w:sz w:val="22"/>
          <w:lang w:val="it-IT"/>
        </w:rPr>
        <w:t>Sono, quindi,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proiezioni soggette a un elevato livello di incertezza. </w:t>
      </w:r>
    </w:p>
    <w:p w14:paraId="25D6FFEC" w14:textId="77777777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4424C7EB" w14:textId="4A63B761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152447">
        <w:rPr>
          <w:rFonts w:asciiTheme="minorHAnsi" w:hAnsiTheme="minorHAnsi" w:cstheme="minorHAnsi"/>
          <w:sz w:val="22"/>
          <w:lang w:val="it-IT"/>
        </w:rPr>
        <w:t xml:space="preserve">Iniziando dalla crescita economica, </w:t>
      </w:r>
      <w:r w:rsidRPr="0053754B">
        <w:rPr>
          <w:rFonts w:asciiTheme="minorHAnsi" w:hAnsiTheme="minorHAnsi" w:cstheme="minorHAnsi"/>
          <w:b/>
          <w:bCs/>
          <w:sz w:val="22"/>
          <w:lang w:val="it-IT"/>
        </w:rPr>
        <w:t>il Pil è previsto crescere a un tasso medio pari all’1% nel 2023, in rallentamento rispetto al 2022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, ma tale valore è stato rivisto al rialzo rispetto alle previsioni formulate a dicembre (0.5%). </w:t>
      </w:r>
      <w:r w:rsidRPr="0053754B">
        <w:rPr>
          <w:rFonts w:asciiTheme="minorHAnsi" w:hAnsiTheme="minorHAnsi" w:cstheme="minorHAnsi"/>
          <w:b/>
          <w:bCs/>
          <w:sz w:val="22"/>
          <w:lang w:val="it-IT"/>
        </w:rPr>
        <w:t>I dati pubblicati nei primi mesi del 2023 hanno mostrato un’economia più resiliente rispetto alle attese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, costi energetici inferiori che hanno trainato al ribasso il valore dell’inflazione e la parziale ripresa della fiducia dei consumatori hanno fatto sì che le proiezioni di crescita per il 2023 fossero migliori rispetto a quanto non ci si aspettasse alla fine del 2022. </w:t>
      </w:r>
      <w:r w:rsidRPr="0053754B">
        <w:rPr>
          <w:rFonts w:asciiTheme="minorHAnsi" w:hAnsiTheme="minorHAnsi" w:cstheme="minorHAnsi"/>
          <w:b/>
          <w:bCs/>
          <w:sz w:val="22"/>
          <w:lang w:val="it-IT"/>
        </w:rPr>
        <w:t>La crescita nel medio termine è invece stata rivista leggermente al ribasso rispetto a quanto proiettato a dicembre</w:t>
      </w:r>
      <w:r>
        <w:rPr>
          <w:rFonts w:asciiTheme="minorHAnsi" w:hAnsiTheme="minorHAnsi" w:cstheme="minorHAnsi"/>
          <w:sz w:val="22"/>
          <w:lang w:val="it-IT"/>
        </w:rPr>
        <w:t>. P</w:t>
      </w:r>
      <w:r w:rsidRPr="00152447">
        <w:rPr>
          <w:rFonts w:asciiTheme="minorHAnsi" w:hAnsiTheme="minorHAnsi" w:cstheme="minorHAnsi"/>
          <w:sz w:val="22"/>
          <w:lang w:val="it-IT"/>
        </w:rPr>
        <w:t>er questi anni la B</w:t>
      </w:r>
      <w:r>
        <w:rPr>
          <w:rFonts w:asciiTheme="minorHAnsi" w:hAnsiTheme="minorHAnsi" w:cstheme="minorHAnsi"/>
          <w:sz w:val="22"/>
          <w:lang w:val="it-IT"/>
        </w:rPr>
        <w:t>ce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si aspetta</w:t>
      </w:r>
      <w:r>
        <w:rPr>
          <w:rFonts w:asciiTheme="minorHAnsi" w:hAnsiTheme="minorHAnsi" w:cstheme="minorHAnsi"/>
          <w:sz w:val="22"/>
          <w:lang w:val="it-IT"/>
        </w:rPr>
        <w:t>,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infatti</w:t>
      </w:r>
      <w:r>
        <w:rPr>
          <w:rFonts w:asciiTheme="minorHAnsi" w:hAnsiTheme="minorHAnsi" w:cstheme="minorHAnsi"/>
          <w:sz w:val="22"/>
          <w:lang w:val="it-IT"/>
        </w:rPr>
        <w:t>,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che le politiche monetarie avranno un peso maggiore e che gli incentivi fiscali da parte degli Stati per la crisi energetica verranno mantenuti per il 2023 ed eliminati in seguito. </w:t>
      </w:r>
    </w:p>
    <w:p w14:paraId="52164B47" w14:textId="77777777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3C52B284" w14:textId="12C18676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152447">
        <w:rPr>
          <w:rFonts w:asciiTheme="minorHAnsi" w:hAnsiTheme="minorHAnsi" w:cstheme="minorHAnsi"/>
          <w:sz w:val="22"/>
          <w:lang w:val="it-IT"/>
        </w:rPr>
        <w:t xml:space="preserve">Per quanto riguarda la crescita dei prezzi, da un lato il valore dell’inflazione headline è stato rivisto al ribasso rispetto alle proiezioni di </w:t>
      </w:r>
      <w:r w:rsidRPr="0053754B">
        <w:rPr>
          <w:rFonts w:asciiTheme="minorHAnsi" w:hAnsiTheme="minorHAnsi" w:cstheme="minorHAnsi"/>
          <w:b/>
          <w:bCs/>
          <w:sz w:val="22"/>
          <w:lang w:val="it-IT"/>
        </w:rPr>
        <w:t>dicembre per il 2023 quando è previsto un forte rallentamento della crescita totale dei prezzi per poi stabilizzarsi nei due anni successivi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. La marginale ripresa della crescita dei prezzi energetici nel 2024 e 2025 </w:t>
      </w:r>
      <w:r>
        <w:rPr>
          <w:rFonts w:asciiTheme="minorHAnsi" w:hAnsiTheme="minorHAnsi" w:cstheme="minorHAnsi"/>
          <w:sz w:val="22"/>
          <w:lang w:val="it-IT"/>
        </w:rPr>
        <w:t>sarà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dovuta alla rimozione dei sussidi fiscali energetici. Dall’altro lato, si prevede che l’inflazione core rimanga più persistente nel tempo, trainata principalmente dalle pressioni salariali. </w:t>
      </w:r>
      <w:r w:rsidRPr="0053754B">
        <w:rPr>
          <w:rFonts w:asciiTheme="minorHAnsi" w:hAnsiTheme="minorHAnsi" w:cstheme="minorHAnsi"/>
          <w:b/>
          <w:bCs/>
          <w:sz w:val="22"/>
          <w:lang w:val="it-IT"/>
        </w:rPr>
        <w:t>Il mercato del lavoro si sta, infatti, mostrando resiliente anche di fronte al rallentamento della crescita economica</w:t>
      </w:r>
      <w:r w:rsidRPr="00152447">
        <w:rPr>
          <w:rFonts w:asciiTheme="minorHAnsi" w:hAnsiTheme="minorHAnsi" w:cstheme="minorHAnsi"/>
          <w:sz w:val="22"/>
          <w:lang w:val="it-IT"/>
        </w:rPr>
        <w:t>, in questo contesto la B</w:t>
      </w:r>
      <w:r>
        <w:rPr>
          <w:rFonts w:asciiTheme="minorHAnsi" w:hAnsiTheme="minorHAnsi" w:cstheme="minorHAnsi"/>
          <w:sz w:val="22"/>
          <w:lang w:val="it-IT"/>
        </w:rPr>
        <w:t>ce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si aspetta che il tasso di disoccupazione si assesti sui minimi storici per tutto l’orizzonte temporale in analisi, permettendo ai lavoratori di esercitare pressioni sui salari. </w:t>
      </w:r>
    </w:p>
    <w:p w14:paraId="4B9755FB" w14:textId="77777777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07CA6AD5" w14:textId="39268F21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Sul fronte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</w:t>
      </w:r>
      <w:r w:rsidRPr="0074350C">
        <w:rPr>
          <w:rFonts w:asciiTheme="minorHAnsi" w:hAnsiTheme="minorHAnsi" w:cstheme="minorHAnsi"/>
          <w:b/>
          <w:bCs/>
          <w:sz w:val="22"/>
          <w:lang w:val="it-IT"/>
        </w:rPr>
        <w:t>Federal Reserve</w:t>
      </w:r>
      <w:r>
        <w:rPr>
          <w:rFonts w:asciiTheme="minorHAnsi" w:hAnsiTheme="minorHAnsi" w:cstheme="minorHAnsi"/>
          <w:sz w:val="22"/>
          <w:lang w:val="it-IT"/>
        </w:rPr>
        <w:t xml:space="preserve">, invece, </w:t>
      </w:r>
      <w:r w:rsidRPr="00152447">
        <w:rPr>
          <w:rFonts w:asciiTheme="minorHAnsi" w:hAnsiTheme="minorHAnsi" w:cstheme="minorHAnsi"/>
          <w:sz w:val="22"/>
          <w:lang w:val="it-IT"/>
        </w:rPr>
        <w:t>i singoli membri del board indicano le proiezioni relative alle varie variabili macroeconomiche e, dal momento che tra loro possono anche differire notevolmente, il valore di riferimento è la loro mediana. È tuttavia interessante analizzare anche la distribuzione di tali proiezioni</w:t>
      </w:r>
      <w:r>
        <w:rPr>
          <w:rFonts w:asciiTheme="minorHAnsi" w:hAnsiTheme="minorHAnsi" w:cstheme="minorHAnsi"/>
          <w:sz w:val="22"/>
          <w:lang w:val="it-IT"/>
        </w:rPr>
        <w:t>.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lang w:val="it-IT"/>
        </w:rPr>
        <w:t>Q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uesta </w:t>
      </w:r>
      <w:r>
        <w:rPr>
          <w:rFonts w:asciiTheme="minorHAnsi" w:hAnsiTheme="minorHAnsi" w:cstheme="minorHAnsi"/>
          <w:sz w:val="22"/>
          <w:lang w:val="it-IT"/>
        </w:rPr>
        <w:t xml:space="preserve">distribuzione </w:t>
      </w:r>
      <w:r w:rsidRPr="00152447">
        <w:rPr>
          <w:rFonts w:asciiTheme="minorHAnsi" w:hAnsiTheme="minorHAnsi" w:cstheme="minorHAnsi"/>
          <w:sz w:val="22"/>
          <w:lang w:val="it-IT"/>
        </w:rPr>
        <w:t>indica</w:t>
      </w:r>
      <w:r>
        <w:rPr>
          <w:rFonts w:asciiTheme="minorHAnsi" w:hAnsiTheme="minorHAnsi" w:cstheme="minorHAnsi"/>
          <w:sz w:val="22"/>
          <w:lang w:val="it-IT"/>
        </w:rPr>
        <w:t>,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infatti</w:t>
      </w:r>
      <w:r>
        <w:rPr>
          <w:rFonts w:asciiTheme="minorHAnsi" w:hAnsiTheme="minorHAnsi" w:cstheme="minorHAnsi"/>
          <w:sz w:val="22"/>
          <w:lang w:val="it-IT"/>
        </w:rPr>
        <w:t>,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se intorno a un dato c’è largo consenso o meno e verso </w:t>
      </w:r>
      <w:r>
        <w:rPr>
          <w:rFonts w:asciiTheme="minorHAnsi" w:hAnsiTheme="minorHAnsi" w:cstheme="minorHAnsi"/>
          <w:sz w:val="22"/>
          <w:lang w:val="it-IT"/>
        </w:rPr>
        <w:t>quale direzione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le visioni dei membri votanti della </w:t>
      </w:r>
      <w:r>
        <w:rPr>
          <w:rFonts w:asciiTheme="minorHAnsi" w:hAnsiTheme="minorHAnsi" w:cstheme="minorHAnsi"/>
          <w:sz w:val="22"/>
          <w:lang w:val="it-IT"/>
        </w:rPr>
        <w:t>Fed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siano orientate. </w:t>
      </w:r>
    </w:p>
    <w:p w14:paraId="7B712F63" w14:textId="77777777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4033EA24" w14:textId="5E9AED77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74350C">
        <w:rPr>
          <w:rFonts w:asciiTheme="minorHAnsi" w:hAnsiTheme="minorHAnsi" w:cstheme="minorHAnsi"/>
          <w:b/>
          <w:bCs/>
          <w:sz w:val="22"/>
          <w:lang w:val="it-IT"/>
        </w:rPr>
        <w:t>Rispetto alle proiezioni di dicembre il contesto macroeconomico per i prossimi anni è rimasto sostanzialmente stabile.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Tuttavia, </w:t>
      </w:r>
      <w:r w:rsidRPr="0074350C">
        <w:rPr>
          <w:rFonts w:asciiTheme="minorHAnsi" w:hAnsiTheme="minorHAnsi" w:cstheme="minorHAnsi"/>
          <w:b/>
          <w:bCs/>
          <w:sz w:val="22"/>
          <w:lang w:val="it-IT"/>
        </w:rPr>
        <w:t>i rischi inflattivi rimangono orientati verso l’alto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; oltre al fatto che l’inflazione sia headline </w:t>
      </w:r>
      <w:r w:rsidR="00B359F9">
        <w:rPr>
          <w:rFonts w:asciiTheme="minorHAnsi" w:hAnsiTheme="minorHAnsi" w:cstheme="minorHAnsi"/>
          <w:sz w:val="22"/>
          <w:lang w:val="it-IT"/>
        </w:rPr>
        <w:t>sia</w:t>
      </w:r>
      <w:r w:rsidR="00B359F9" w:rsidRPr="00152447">
        <w:rPr>
          <w:rFonts w:asciiTheme="minorHAnsi" w:hAnsiTheme="minorHAnsi" w:cstheme="minorHAnsi"/>
          <w:sz w:val="22"/>
          <w:lang w:val="it-IT"/>
        </w:rPr>
        <w:t xml:space="preserve"> 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core sia stata rivista al rialzo in modo marginale per il 2023, guardando alla distribuzione delle proiezioni per l’inflazione core, mentre a dicembre il range massimo espresso dai membri del board era 3.7% - 3.8% per il 2023, a marzo la distribuzione è stata spostata verso l’alto, con 4 membri che </w:t>
      </w:r>
      <w:r w:rsidR="00B359F9">
        <w:rPr>
          <w:rFonts w:asciiTheme="minorHAnsi" w:hAnsiTheme="minorHAnsi" w:cstheme="minorHAnsi"/>
          <w:sz w:val="22"/>
          <w:lang w:val="it-IT"/>
        </w:rPr>
        <w:t xml:space="preserve">hanno 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proiettato un livello di inflazione core compreso tra 3.9% e 4% e un membro </w:t>
      </w:r>
      <w:r w:rsidR="00B359F9">
        <w:rPr>
          <w:rFonts w:asciiTheme="minorHAnsi" w:hAnsiTheme="minorHAnsi" w:cstheme="minorHAnsi"/>
          <w:sz w:val="22"/>
          <w:lang w:val="it-IT"/>
        </w:rPr>
        <w:t>al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4.1% - 4.2%. Anche per il 2024 il valore massimo si è spostato dal range 2.9% - 3% al 3.1% - 3.2%. </w:t>
      </w:r>
    </w:p>
    <w:p w14:paraId="22AA469D" w14:textId="77777777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7963BF36" w14:textId="7894E92F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 w:rsidRPr="00152447">
        <w:rPr>
          <w:rFonts w:asciiTheme="minorHAnsi" w:hAnsiTheme="minorHAnsi" w:cstheme="minorHAnsi"/>
          <w:sz w:val="22"/>
          <w:lang w:val="it-IT"/>
        </w:rPr>
        <w:lastRenderedPageBreak/>
        <w:t xml:space="preserve">Un elemento peculiare delle proiezioni della Fed sono i cosiddetti dots, ovvero le proiezioni dei membri del board riguardo il livello del Fed Fund target rate per i prossimi anni. La mediana per il 2023 è rimasta stabile rispetto alle proiezioni di dicembre, si è alzata per il 2024 ed </w:t>
      </w:r>
      <w:r w:rsidR="00B359F9">
        <w:rPr>
          <w:rFonts w:asciiTheme="minorHAnsi" w:hAnsiTheme="minorHAnsi" w:cstheme="minorHAnsi"/>
          <w:sz w:val="22"/>
          <w:lang w:val="it-IT"/>
        </w:rPr>
        <w:t xml:space="preserve">è 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tornata a convergere per il 2025. Questo indica che </w:t>
      </w:r>
      <w:r w:rsidRPr="0074350C">
        <w:rPr>
          <w:rFonts w:asciiTheme="minorHAnsi" w:hAnsiTheme="minorHAnsi" w:cstheme="minorHAnsi"/>
          <w:b/>
          <w:bCs/>
          <w:sz w:val="22"/>
          <w:lang w:val="it-IT"/>
        </w:rPr>
        <w:t>si prevedono tagli dei tassi</w:t>
      </w:r>
      <w:r w:rsidR="00B359F9" w:rsidRPr="0074350C">
        <w:rPr>
          <w:rFonts w:asciiTheme="minorHAnsi" w:hAnsiTheme="minorHAnsi" w:cstheme="minorHAnsi"/>
          <w:b/>
          <w:bCs/>
          <w:sz w:val="22"/>
          <w:lang w:val="it-IT"/>
        </w:rPr>
        <w:t xml:space="preserve"> inferiori</w:t>
      </w:r>
      <w:r w:rsidRPr="0074350C">
        <w:rPr>
          <w:rFonts w:asciiTheme="minorHAnsi" w:hAnsiTheme="minorHAnsi" w:cstheme="minorHAnsi"/>
          <w:b/>
          <w:bCs/>
          <w:sz w:val="22"/>
          <w:lang w:val="it-IT"/>
        </w:rPr>
        <w:t xml:space="preserve"> nel 2024, che quindi rimarranno </w:t>
      </w:r>
      <w:r w:rsidR="0074350C">
        <w:rPr>
          <w:rFonts w:asciiTheme="minorHAnsi" w:hAnsiTheme="minorHAnsi" w:cstheme="minorHAnsi"/>
          <w:b/>
          <w:bCs/>
          <w:sz w:val="22"/>
          <w:lang w:val="it-IT"/>
        </w:rPr>
        <w:t xml:space="preserve">più </w:t>
      </w:r>
      <w:r w:rsidRPr="0074350C">
        <w:rPr>
          <w:rFonts w:asciiTheme="minorHAnsi" w:hAnsiTheme="minorHAnsi" w:cstheme="minorHAnsi"/>
          <w:b/>
          <w:bCs/>
          <w:sz w:val="22"/>
          <w:lang w:val="it-IT"/>
        </w:rPr>
        <w:t>alti più a lungo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, per poi recuperare l’anno successivo. Tuttavia, guardando alla distribuzione delle previsioni è importante notare che per il lungo termine, nonostante la mediana sia rimasta pari a 2.50%, un membro ha rivisto le proiezioni verso l’alto indicando un valore compreso tra 3.63% e 3.87%. Questo indica che </w:t>
      </w:r>
      <w:r w:rsidRPr="009943E2">
        <w:rPr>
          <w:rFonts w:asciiTheme="minorHAnsi" w:hAnsiTheme="minorHAnsi" w:cstheme="minorHAnsi"/>
          <w:b/>
          <w:bCs/>
          <w:sz w:val="22"/>
          <w:lang w:val="it-IT"/>
        </w:rPr>
        <w:t xml:space="preserve">all’interno del board alcuni membri si stanno spostando verso una visione più </w:t>
      </w:r>
      <w:proofErr w:type="spellStart"/>
      <w:r w:rsidRPr="009943E2">
        <w:rPr>
          <w:rFonts w:asciiTheme="minorHAnsi" w:hAnsiTheme="minorHAnsi" w:cstheme="minorHAnsi"/>
          <w:b/>
          <w:bCs/>
          <w:sz w:val="22"/>
          <w:lang w:val="it-IT"/>
        </w:rPr>
        <w:t>hawkish</w:t>
      </w:r>
      <w:proofErr w:type="spellEnd"/>
      <w:r w:rsidRPr="009943E2">
        <w:rPr>
          <w:rFonts w:asciiTheme="minorHAnsi" w:hAnsiTheme="minorHAnsi" w:cstheme="minorHAnsi"/>
          <w:b/>
          <w:bCs/>
          <w:sz w:val="22"/>
          <w:lang w:val="it-IT"/>
        </w:rPr>
        <w:t xml:space="preserve"> rispetto a dicembre</w:t>
      </w:r>
      <w:r w:rsidRPr="00152447">
        <w:rPr>
          <w:rFonts w:asciiTheme="minorHAnsi" w:hAnsiTheme="minorHAnsi" w:cstheme="minorHAnsi"/>
          <w:sz w:val="22"/>
          <w:lang w:val="it-IT"/>
        </w:rPr>
        <w:t>, con l’inflazione più persistente e la necessità di azioni di politica monetaria più restrittive.</w:t>
      </w:r>
    </w:p>
    <w:p w14:paraId="02AB7414" w14:textId="77777777" w:rsidR="00152447" w:rsidRPr="00152447" w:rsidRDefault="00152447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p w14:paraId="0690E7AE" w14:textId="3464ABBC" w:rsidR="00152447" w:rsidRDefault="009943E2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In termini di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decisioni di politica monetaria </w:t>
      </w:r>
      <w:proofErr w:type="gramStart"/>
      <w:r>
        <w:rPr>
          <w:rFonts w:asciiTheme="minorHAnsi" w:hAnsiTheme="minorHAnsi" w:cstheme="minorHAnsi"/>
          <w:sz w:val="22"/>
          <w:lang w:val="it-IT"/>
        </w:rPr>
        <w:t>i</w:t>
      </w:r>
      <w:r w:rsidRPr="00152447">
        <w:rPr>
          <w:rFonts w:asciiTheme="minorHAnsi" w:hAnsiTheme="minorHAnsi" w:cstheme="minorHAnsi"/>
          <w:sz w:val="22"/>
          <w:lang w:val="it-IT"/>
        </w:rPr>
        <w:t xml:space="preserve"> </w:t>
      </w:r>
      <w:r w:rsidR="00152447" w:rsidRPr="00152447">
        <w:rPr>
          <w:rFonts w:asciiTheme="minorHAnsi" w:hAnsiTheme="minorHAnsi" w:cstheme="minorHAnsi"/>
          <w:sz w:val="22"/>
          <w:lang w:val="it-IT"/>
        </w:rPr>
        <w:t>meeting</w:t>
      </w:r>
      <w:proofErr w:type="gramEnd"/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di marzo della B</w:t>
      </w:r>
      <w:r w:rsidR="00B359F9">
        <w:rPr>
          <w:rFonts w:asciiTheme="minorHAnsi" w:hAnsiTheme="minorHAnsi" w:cstheme="minorHAnsi"/>
          <w:sz w:val="22"/>
          <w:lang w:val="it-IT"/>
        </w:rPr>
        <w:t>ce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e della Fed hanno rappresentato una svolta in termini </w:t>
      </w:r>
      <w:r>
        <w:rPr>
          <w:rFonts w:asciiTheme="minorHAnsi" w:hAnsiTheme="minorHAnsi" w:cstheme="minorHAnsi"/>
          <w:sz w:val="22"/>
          <w:lang w:val="it-IT"/>
        </w:rPr>
        <w:t>comunicativi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. Se prima delle tensioni del settore finanziario iniziate con la Silicon Valley Bank negli Stati Uniti </w:t>
      </w:r>
      <w:r w:rsidR="00B359F9">
        <w:rPr>
          <w:rFonts w:asciiTheme="minorHAnsi" w:hAnsiTheme="minorHAnsi" w:cstheme="minorHAnsi"/>
          <w:sz w:val="22"/>
          <w:lang w:val="it-IT"/>
        </w:rPr>
        <w:t>l’approccio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dei membri di entrambe le banche centrali era sostanzialmente </w:t>
      </w:r>
      <w:proofErr w:type="spellStart"/>
      <w:r w:rsidR="00152447" w:rsidRPr="00152447">
        <w:rPr>
          <w:rFonts w:asciiTheme="minorHAnsi" w:hAnsiTheme="minorHAnsi" w:cstheme="minorHAnsi"/>
          <w:sz w:val="22"/>
          <w:lang w:val="it-IT"/>
        </w:rPr>
        <w:t>hawkish</w:t>
      </w:r>
      <w:proofErr w:type="spellEnd"/>
      <w:r w:rsidR="00152447" w:rsidRPr="00152447">
        <w:rPr>
          <w:rFonts w:asciiTheme="minorHAnsi" w:hAnsiTheme="minorHAnsi" w:cstheme="minorHAnsi"/>
          <w:sz w:val="22"/>
          <w:lang w:val="it-IT"/>
        </w:rPr>
        <w:t>, a seguito di questo evento la retorica è diventata molto più cauta, sottolineando che a causa dell’elevata incertezza non sia possibile dare indicazioni precise sulle future decisioni di politica monetaria. Mentre la B</w:t>
      </w:r>
      <w:r w:rsidR="00B359F9">
        <w:rPr>
          <w:rFonts w:asciiTheme="minorHAnsi" w:hAnsiTheme="minorHAnsi" w:cstheme="minorHAnsi"/>
          <w:sz w:val="22"/>
          <w:lang w:val="it-IT"/>
        </w:rPr>
        <w:t>ce</w:t>
      </w:r>
      <w:r>
        <w:rPr>
          <w:rFonts w:asciiTheme="minorHAnsi" w:hAnsiTheme="minorHAnsi" w:cstheme="minorHAnsi"/>
          <w:sz w:val="22"/>
          <w:lang w:val="it-IT"/>
        </w:rPr>
        <w:t>,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</w:t>
      </w:r>
      <w:r w:rsidR="00B359F9">
        <w:rPr>
          <w:rFonts w:asciiTheme="minorHAnsi" w:hAnsiTheme="minorHAnsi" w:cstheme="minorHAnsi"/>
          <w:sz w:val="22"/>
          <w:lang w:val="it-IT"/>
        </w:rPr>
        <w:t>in precedenza</w:t>
      </w:r>
      <w:r>
        <w:rPr>
          <w:rFonts w:asciiTheme="minorHAnsi" w:hAnsiTheme="minorHAnsi" w:cstheme="minorHAnsi"/>
          <w:sz w:val="22"/>
          <w:lang w:val="it-IT"/>
        </w:rPr>
        <w:t>,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aveva ripetuto che i tassi dovevano ancora essere alzati significativamente a un ritmo costante, </w:t>
      </w:r>
      <w:r w:rsidR="00152447" w:rsidRPr="009943E2">
        <w:rPr>
          <w:rFonts w:asciiTheme="minorHAnsi" w:hAnsiTheme="minorHAnsi" w:cstheme="minorHAnsi"/>
          <w:b/>
          <w:bCs/>
          <w:sz w:val="22"/>
          <w:lang w:val="it-IT"/>
        </w:rPr>
        <w:t>ora l’incertezza del contesto macroeconomico lascia spazio a una strategia completamente dipendente dai dati.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Allo stesso modo la Fed ha eliminato ogni riferimento a prossimi aumenti del Fed Fund target rate, dicendo solamente che </w:t>
      </w:r>
      <w:r w:rsidR="00152447" w:rsidRPr="009943E2">
        <w:rPr>
          <w:rFonts w:asciiTheme="minorHAnsi" w:hAnsiTheme="minorHAnsi" w:cstheme="minorHAnsi"/>
          <w:b/>
          <w:bCs/>
          <w:sz w:val="22"/>
          <w:lang w:val="it-IT"/>
        </w:rPr>
        <w:t>potrebbero essere necessari ulteriori misure di rafforzamento della politica monetaria per rendere le condizioni finanziarie sufficientemente restrittive per il raggiungimento del tasso di inflazione del 2%.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Inoltre, Powell durante l</w:t>
      </w:r>
      <w:r w:rsidR="00B359F9">
        <w:rPr>
          <w:rFonts w:asciiTheme="minorHAnsi" w:hAnsiTheme="minorHAnsi" w:cstheme="minorHAnsi"/>
          <w:sz w:val="22"/>
          <w:lang w:val="it-IT"/>
        </w:rPr>
        <w:t>’ultim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a conferenza stampa ha enfatizzato il fatto che, nonostante sia troppo presto per dirlo, </w:t>
      </w:r>
      <w:r w:rsidR="00152447" w:rsidRPr="009943E2">
        <w:rPr>
          <w:rFonts w:asciiTheme="minorHAnsi" w:hAnsiTheme="minorHAnsi" w:cstheme="minorHAnsi"/>
          <w:b/>
          <w:bCs/>
          <w:sz w:val="22"/>
          <w:lang w:val="it-IT"/>
        </w:rPr>
        <w:t>oltre all’aumento dei tassi di riferimento, l’inasprimento delle condizioni finanziarie potrebbe essere accelerato dalle tensioni nel settore finanziario.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Sembra che le banche centrali siano ora più caute e vogliano mantenere maggiore flessibilità sulle loro future mosse, senza dare indicazioni precise che poi </w:t>
      </w:r>
      <w:r w:rsidR="00B359F9">
        <w:rPr>
          <w:rFonts w:asciiTheme="minorHAnsi" w:hAnsiTheme="minorHAnsi" w:cstheme="minorHAnsi"/>
          <w:sz w:val="22"/>
          <w:lang w:val="it-IT"/>
        </w:rPr>
        <w:t>dovranno</w:t>
      </w:r>
      <w:r w:rsidR="00B359F9" w:rsidRPr="00152447">
        <w:rPr>
          <w:rFonts w:asciiTheme="minorHAnsi" w:hAnsiTheme="minorHAnsi" w:cstheme="minorHAnsi"/>
          <w:sz w:val="22"/>
          <w:lang w:val="it-IT"/>
        </w:rPr>
        <w:t xml:space="preserve"> </w:t>
      </w:r>
      <w:r w:rsidR="00152447" w:rsidRPr="00152447">
        <w:rPr>
          <w:rFonts w:asciiTheme="minorHAnsi" w:hAnsiTheme="minorHAnsi" w:cstheme="minorHAnsi"/>
          <w:sz w:val="22"/>
          <w:lang w:val="it-IT"/>
        </w:rPr>
        <w:t>essere soddisfatte</w:t>
      </w:r>
      <w:r w:rsidR="00B359F9">
        <w:rPr>
          <w:rFonts w:asciiTheme="minorHAnsi" w:hAnsiTheme="minorHAnsi" w:cstheme="minorHAnsi"/>
          <w:sz w:val="22"/>
          <w:lang w:val="it-IT"/>
        </w:rPr>
        <w:t>. A</w:t>
      </w:r>
      <w:r w:rsidR="00152447" w:rsidRPr="00152447">
        <w:rPr>
          <w:rFonts w:asciiTheme="minorHAnsi" w:hAnsiTheme="minorHAnsi" w:cstheme="minorHAnsi"/>
          <w:sz w:val="22"/>
          <w:lang w:val="it-IT"/>
        </w:rPr>
        <w:t>gire diversamente da quanto indicato minerebbe</w:t>
      </w:r>
      <w:r w:rsidR="00B359F9">
        <w:rPr>
          <w:rFonts w:asciiTheme="minorHAnsi" w:hAnsiTheme="minorHAnsi" w:cstheme="minorHAnsi"/>
          <w:sz w:val="22"/>
          <w:lang w:val="it-IT"/>
        </w:rPr>
        <w:t>,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infatti</w:t>
      </w:r>
      <w:r w:rsidR="00B359F9">
        <w:rPr>
          <w:rFonts w:asciiTheme="minorHAnsi" w:hAnsiTheme="minorHAnsi" w:cstheme="minorHAnsi"/>
          <w:sz w:val="22"/>
          <w:lang w:val="it-IT"/>
        </w:rPr>
        <w:t>,</w:t>
      </w:r>
      <w:r w:rsidR="00152447" w:rsidRPr="00152447">
        <w:rPr>
          <w:rFonts w:asciiTheme="minorHAnsi" w:hAnsiTheme="minorHAnsi" w:cstheme="minorHAnsi"/>
          <w:sz w:val="22"/>
          <w:lang w:val="it-IT"/>
        </w:rPr>
        <w:t xml:space="preserve"> la loro credibilità. </w:t>
      </w:r>
    </w:p>
    <w:p w14:paraId="50228FAE" w14:textId="07F74995" w:rsidR="008B7B83" w:rsidRPr="00152447" w:rsidRDefault="008B7B83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  <w:r>
        <w:rPr>
          <w:noProof/>
        </w:rPr>
        <w:drawing>
          <wp:inline distT="0" distB="0" distL="0" distR="0" wp14:anchorId="34CE99CB" wp14:editId="74EED137">
            <wp:extent cx="2933700" cy="3048000"/>
            <wp:effectExtent l="0" t="0" r="0" b="0"/>
            <wp:docPr id="29" name="Grafico 29">
              <a:extLst xmlns:a="http://schemas.openxmlformats.org/drawingml/2006/main">
                <a:ext uri="{FF2B5EF4-FFF2-40B4-BE49-F238E27FC236}">
                  <a16:creationId xmlns:a16="http://schemas.microsoft.com/office/drawing/2014/main" id="{9D64CA93-907D-AA90-0799-78B531A253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DEF855" w14:textId="16B369E1" w:rsidR="00B0581D" w:rsidRPr="00A83B24" w:rsidRDefault="00B0581D" w:rsidP="00152447">
      <w:pPr>
        <w:spacing w:after="0"/>
        <w:contextualSpacing/>
        <w:jc w:val="both"/>
        <w:rPr>
          <w:rFonts w:asciiTheme="minorHAnsi" w:hAnsiTheme="minorHAnsi" w:cstheme="minorHAnsi"/>
          <w:sz w:val="22"/>
          <w:lang w:val="it-IT"/>
        </w:rPr>
      </w:pPr>
    </w:p>
    <w:sectPr w:rsidR="00B0581D" w:rsidRPr="00A83B2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CC4D" w14:textId="77777777" w:rsidR="002867B4" w:rsidRDefault="002867B4" w:rsidP="005342E7">
      <w:pPr>
        <w:spacing w:after="0" w:line="240" w:lineRule="auto"/>
      </w:pPr>
      <w:r>
        <w:separator/>
      </w:r>
    </w:p>
  </w:endnote>
  <w:endnote w:type="continuationSeparator" w:id="0">
    <w:p w14:paraId="37163C2B" w14:textId="77777777" w:rsidR="002867B4" w:rsidRDefault="002867B4" w:rsidP="005342E7">
      <w:pPr>
        <w:spacing w:after="0" w:line="240" w:lineRule="auto"/>
      </w:pPr>
      <w:r>
        <w:continuationSeparator/>
      </w:r>
    </w:p>
  </w:endnote>
  <w:endnote w:type="continuationNotice" w:id="1">
    <w:p w14:paraId="3E1D8EDE" w14:textId="77777777" w:rsidR="002867B4" w:rsidRDefault="00286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6664"/>
      <w:docPartObj>
        <w:docPartGallery w:val="Page Numbers (Bottom of Page)"/>
        <w:docPartUnique/>
      </w:docPartObj>
    </w:sdtPr>
    <w:sdtEndPr/>
    <w:sdtContent>
      <w:p w14:paraId="154BE88B" w14:textId="4F2828A4" w:rsidR="002A4516" w:rsidRDefault="002A45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DE56A0D" w14:textId="77777777" w:rsidR="002A4516" w:rsidRDefault="002A4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148C" w14:textId="77777777" w:rsidR="002867B4" w:rsidRDefault="002867B4" w:rsidP="005342E7">
      <w:pPr>
        <w:spacing w:after="0" w:line="240" w:lineRule="auto"/>
      </w:pPr>
      <w:r>
        <w:separator/>
      </w:r>
    </w:p>
  </w:footnote>
  <w:footnote w:type="continuationSeparator" w:id="0">
    <w:p w14:paraId="4195110F" w14:textId="77777777" w:rsidR="002867B4" w:rsidRDefault="002867B4" w:rsidP="005342E7">
      <w:pPr>
        <w:spacing w:after="0" w:line="240" w:lineRule="auto"/>
      </w:pPr>
      <w:r>
        <w:continuationSeparator/>
      </w:r>
    </w:p>
  </w:footnote>
  <w:footnote w:type="continuationNotice" w:id="1">
    <w:p w14:paraId="69B8C158" w14:textId="77777777" w:rsidR="002867B4" w:rsidRDefault="00286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D998" w14:textId="04354288" w:rsidR="005342E7" w:rsidRDefault="005342E7" w:rsidP="005342E7">
    <w:pPr>
      <w:pStyle w:val="Intestazione"/>
      <w:jc w:val="center"/>
    </w:pPr>
    <w:r>
      <w:rPr>
        <w:noProof/>
      </w:rPr>
      <w:drawing>
        <wp:inline distT="0" distB="0" distL="0" distR="0" wp14:anchorId="35904294" wp14:editId="63958C14">
          <wp:extent cx="1980000" cy="554064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60D03" w14:textId="77777777" w:rsidR="005342E7" w:rsidRDefault="005342E7" w:rsidP="005342E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917"/>
    <w:multiLevelType w:val="hybridMultilevel"/>
    <w:tmpl w:val="96A81E7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CA01914"/>
    <w:multiLevelType w:val="hybridMultilevel"/>
    <w:tmpl w:val="79B0DE6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8A396C"/>
    <w:multiLevelType w:val="hybridMultilevel"/>
    <w:tmpl w:val="C8B8A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5E7"/>
    <w:multiLevelType w:val="multilevel"/>
    <w:tmpl w:val="92E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121F"/>
    <w:multiLevelType w:val="hybridMultilevel"/>
    <w:tmpl w:val="E8C2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659"/>
    <w:multiLevelType w:val="hybridMultilevel"/>
    <w:tmpl w:val="6EFC2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97D"/>
    <w:multiLevelType w:val="hybridMultilevel"/>
    <w:tmpl w:val="9E7A391A"/>
    <w:lvl w:ilvl="0" w:tplc="888E3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0111"/>
    <w:multiLevelType w:val="hybridMultilevel"/>
    <w:tmpl w:val="49E2C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29A2"/>
    <w:multiLevelType w:val="hybridMultilevel"/>
    <w:tmpl w:val="A720F2C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041A9F"/>
    <w:multiLevelType w:val="hybridMultilevel"/>
    <w:tmpl w:val="137AAD5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0" w15:restartNumberingAfterBreak="0">
    <w:nsid w:val="7099629B"/>
    <w:multiLevelType w:val="hybridMultilevel"/>
    <w:tmpl w:val="5DB44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711A"/>
    <w:multiLevelType w:val="multilevel"/>
    <w:tmpl w:val="DA8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615D9A"/>
    <w:multiLevelType w:val="hybridMultilevel"/>
    <w:tmpl w:val="47FC18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00057608">
    <w:abstractNumId w:val="12"/>
  </w:num>
  <w:num w:numId="2" w16cid:durableId="916868335">
    <w:abstractNumId w:val="5"/>
  </w:num>
  <w:num w:numId="3" w16cid:durableId="792793211">
    <w:abstractNumId w:val="8"/>
  </w:num>
  <w:num w:numId="4" w16cid:durableId="1940067401">
    <w:abstractNumId w:val="2"/>
  </w:num>
  <w:num w:numId="5" w16cid:durableId="1331907599">
    <w:abstractNumId w:val="9"/>
  </w:num>
  <w:num w:numId="6" w16cid:durableId="1619488184">
    <w:abstractNumId w:val="1"/>
  </w:num>
  <w:num w:numId="7" w16cid:durableId="220680482">
    <w:abstractNumId w:val="0"/>
  </w:num>
  <w:num w:numId="8" w16cid:durableId="488208612">
    <w:abstractNumId w:val="4"/>
  </w:num>
  <w:num w:numId="9" w16cid:durableId="1692796518">
    <w:abstractNumId w:val="7"/>
  </w:num>
  <w:num w:numId="10" w16cid:durableId="340939038">
    <w:abstractNumId w:val="3"/>
  </w:num>
  <w:num w:numId="11" w16cid:durableId="634602575">
    <w:abstractNumId w:val="11"/>
  </w:num>
  <w:num w:numId="12" w16cid:durableId="2135978615">
    <w:abstractNumId w:val="6"/>
  </w:num>
  <w:num w:numId="13" w16cid:durableId="1669403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4"/>
    <w:rsid w:val="00000AA2"/>
    <w:rsid w:val="00001E90"/>
    <w:rsid w:val="000041AF"/>
    <w:rsid w:val="00010ACF"/>
    <w:rsid w:val="00011A99"/>
    <w:rsid w:val="0001524B"/>
    <w:rsid w:val="00020D90"/>
    <w:rsid w:val="00021500"/>
    <w:rsid w:val="0002469E"/>
    <w:rsid w:val="0002754C"/>
    <w:rsid w:val="00030CEA"/>
    <w:rsid w:val="000311AD"/>
    <w:rsid w:val="000321A2"/>
    <w:rsid w:val="0003634F"/>
    <w:rsid w:val="0003764C"/>
    <w:rsid w:val="0004604A"/>
    <w:rsid w:val="00052520"/>
    <w:rsid w:val="00056A9A"/>
    <w:rsid w:val="000645CD"/>
    <w:rsid w:val="00072D83"/>
    <w:rsid w:val="00084C18"/>
    <w:rsid w:val="000923FF"/>
    <w:rsid w:val="00097B53"/>
    <w:rsid w:val="000A02B0"/>
    <w:rsid w:val="000A18C1"/>
    <w:rsid w:val="000B3742"/>
    <w:rsid w:val="000B542A"/>
    <w:rsid w:val="000B664E"/>
    <w:rsid w:val="000C07BD"/>
    <w:rsid w:val="000C5FE9"/>
    <w:rsid w:val="000E3C11"/>
    <w:rsid w:val="000E3D36"/>
    <w:rsid w:val="000F4ECE"/>
    <w:rsid w:val="000F71A5"/>
    <w:rsid w:val="00101B1A"/>
    <w:rsid w:val="00104B99"/>
    <w:rsid w:val="001156B2"/>
    <w:rsid w:val="00123DF5"/>
    <w:rsid w:val="00125E14"/>
    <w:rsid w:val="00134D62"/>
    <w:rsid w:val="001439DA"/>
    <w:rsid w:val="00145788"/>
    <w:rsid w:val="001468C5"/>
    <w:rsid w:val="00152447"/>
    <w:rsid w:val="001561A8"/>
    <w:rsid w:val="00163220"/>
    <w:rsid w:val="001654D1"/>
    <w:rsid w:val="00171C5D"/>
    <w:rsid w:val="00176DD7"/>
    <w:rsid w:val="00184B84"/>
    <w:rsid w:val="00192C49"/>
    <w:rsid w:val="00193182"/>
    <w:rsid w:val="00197B9F"/>
    <w:rsid w:val="001A07EE"/>
    <w:rsid w:val="001A0B03"/>
    <w:rsid w:val="001A1461"/>
    <w:rsid w:val="001B18E0"/>
    <w:rsid w:val="001B7C05"/>
    <w:rsid w:val="001C3BF5"/>
    <w:rsid w:val="001C793B"/>
    <w:rsid w:val="001D0FC7"/>
    <w:rsid w:val="001D1C6C"/>
    <w:rsid w:val="001D25C9"/>
    <w:rsid w:val="001D4BFD"/>
    <w:rsid w:val="001F602F"/>
    <w:rsid w:val="00200905"/>
    <w:rsid w:val="002142BD"/>
    <w:rsid w:val="00216337"/>
    <w:rsid w:val="00224EDB"/>
    <w:rsid w:val="00230D24"/>
    <w:rsid w:val="002376F7"/>
    <w:rsid w:val="00237AC0"/>
    <w:rsid w:val="00244CEB"/>
    <w:rsid w:val="00246489"/>
    <w:rsid w:val="002509FB"/>
    <w:rsid w:val="0025325B"/>
    <w:rsid w:val="00260698"/>
    <w:rsid w:val="00261613"/>
    <w:rsid w:val="0026240B"/>
    <w:rsid w:val="00264884"/>
    <w:rsid w:val="00272C7C"/>
    <w:rsid w:val="00273351"/>
    <w:rsid w:val="00276B59"/>
    <w:rsid w:val="00276BF2"/>
    <w:rsid w:val="002867B4"/>
    <w:rsid w:val="00290E63"/>
    <w:rsid w:val="00292590"/>
    <w:rsid w:val="002A3112"/>
    <w:rsid w:val="002A4516"/>
    <w:rsid w:val="002B16DB"/>
    <w:rsid w:val="002C06CA"/>
    <w:rsid w:val="002C49E8"/>
    <w:rsid w:val="002D558A"/>
    <w:rsid w:val="002D706D"/>
    <w:rsid w:val="002D7AAF"/>
    <w:rsid w:val="002E156D"/>
    <w:rsid w:val="002E2007"/>
    <w:rsid w:val="002E24C8"/>
    <w:rsid w:val="002E38BC"/>
    <w:rsid w:val="002E7E4E"/>
    <w:rsid w:val="002F1612"/>
    <w:rsid w:val="002F1C9B"/>
    <w:rsid w:val="002F48F5"/>
    <w:rsid w:val="003030C6"/>
    <w:rsid w:val="00303990"/>
    <w:rsid w:val="00306043"/>
    <w:rsid w:val="003179C6"/>
    <w:rsid w:val="00320C08"/>
    <w:rsid w:val="00333277"/>
    <w:rsid w:val="00333F32"/>
    <w:rsid w:val="00344EA1"/>
    <w:rsid w:val="0034734F"/>
    <w:rsid w:val="00350267"/>
    <w:rsid w:val="003551B1"/>
    <w:rsid w:val="003617C7"/>
    <w:rsid w:val="00367BBA"/>
    <w:rsid w:val="00367EE8"/>
    <w:rsid w:val="00373696"/>
    <w:rsid w:val="0037446D"/>
    <w:rsid w:val="00376DB0"/>
    <w:rsid w:val="003774E8"/>
    <w:rsid w:val="00392357"/>
    <w:rsid w:val="003966C7"/>
    <w:rsid w:val="003967EA"/>
    <w:rsid w:val="003A1740"/>
    <w:rsid w:val="003A1BF1"/>
    <w:rsid w:val="003B3F34"/>
    <w:rsid w:val="003B6403"/>
    <w:rsid w:val="003B6946"/>
    <w:rsid w:val="003B6C48"/>
    <w:rsid w:val="003C01F7"/>
    <w:rsid w:val="003C02E5"/>
    <w:rsid w:val="003D2543"/>
    <w:rsid w:val="003D30EB"/>
    <w:rsid w:val="003D5757"/>
    <w:rsid w:val="003D651A"/>
    <w:rsid w:val="003E4871"/>
    <w:rsid w:val="003F3318"/>
    <w:rsid w:val="003F672D"/>
    <w:rsid w:val="003F69B7"/>
    <w:rsid w:val="003F79F4"/>
    <w:rsid w:val="004039EC"/>
    <w:rsid w:val="0040428B"/>
    <w:rsid w:val="00405CA6"/>
    <w:rsid w:val="00410FF4"/>
    <w:rsid w:val="004162F8"/>
    <w:rsid w:val="004175C2"/>
    <w:rsid w:val="00417B0D"/>
    <w:rsid w:val="00421F3A"/>
    <w:rsid w:val="0042652A"/>
    <w:rsid w:val="00426825"/>
    <w:rsid w:val="00427736"/>
    <w:rsid w:val="004364DB"/>
    <w:rsid w:val="00436A88"/>
    <w:rsid w:val="00441BEA"/>
    <w:rsid w:val="00446616"/>
    <w:rsid w:val="004523DF"/>
    <w:rsid w:val="00452F7F"/>
    <w:rsid w:val="00464844"/>
    <w:rsid w:val="0046590D"/>
    <w:rsid w:val="00467D2D"/>
    <w:rsid w:val="004712EF"/>
    <w:rsid w:val="0047658B"/>
    <w:rsid w:val="00476E94"/>
    <w:rsid w:val="004807FC"/>
    <w:rsid w:val="004935D1"/>
    <w:rsid w:val="00496DBB"/>
    <w:rsid w:val="004A1E8F"/>
    <w:rsid w:val="004B62AB"/>
    <w:rsid w:val="004B6EB0"/>
    <w:rsid w:val="004C0209"/>
    <w:rsid w:val="004D02D5"/>
    <w:rsid w:val="004D059E"/>
    <w:rsid w:val="004D5F1A"/>
    <w:rsid w:val="004D62B8"/>
    <w:rsid w:val="004E12E5"/>
    <w:rsid w:val="004E2777"/>
    <w:rsid w:val="004E60B1"/>
    <w:rsid w:val="004F033C"/>
    <w:rsid w:val="004F2C52"/>
    <w:rsid w:val="00500DA4"/>
    <w:rsid w:val="00502D26"/>
    <w:rsid w:val="00505E8C"/>
    <w:rsid w:val="005070D8"/>
    <w:rsid w:val="00510409"/>
    <w:rsid w:val="0051425F"/>
    <w:rsid w:val="00517EE0"/>
    <w:rsid w:val="0052136B"/>
    <w:rsid w:val="005255FB"/>
    <w:rsid w:val="005342E7"/>
    <w:rsid w:val="005343A1"/>
    <w:rsid w:val="00535D71"/>
    <w:rsid w:val="00535F80"/>
    <w:rsid w:val="0053754B"/>
    <w:rsid w:val="005440E5"/>
    <w:rsid w:val="00547114"/>
    <w:rsid w:val="00551746"/>
    <w:rsid w:val="00551941"/>
    <w:rsid w:val="005538A2"/>
    <w:rsid w:val="005677FA"/>
    <w:rsid w:val="0057161B"/>
    <w:rsid w:val="00582DC6"/>
    <w:rsid w:val="005847B6"/>
    <w:rsid w:val="00586D3A"/>
    <w:rsid w:val="005A4C08"/>
    <w:rsid w:val="005A4D67"/>
    <w:rsid w:val="005B5389"/>
    <w:rsid w:val="005B619F"/>
    <w:rsid w:val="005B687D"/>
    <w:rsid w:val="005B7B29"/>
    <w:rsid w:val="005C06DE"/>
    <w:rsid w:val="005C59DF"/>
    <w:rsid w:val="005D44A8"/>
    <w:rsid w:val="005D5747"/>
    <w:rsid w:val="005E099B"/>
    <w:rsid w:val="005E0EF2"/>
    <w:rsid w:val="005E1E04"/>
    <w:rsid w:val="005E6B96"/>
    <w:rsid w:val="005F2478"/>
    <w:rsid w:val="005F6037"/>
    <w:rsid w:val="00602603"/>
    <w:rsid w:val="006122E6"/>
    <w:rsid w:val="00626C9F"/>
    <w:rsid w:val="00635C6E"/>
    <w:rsid w:val="00646A46"/>
    <w:rsid w:val="006526C7"/>
    <w:rsid w:val="006551C3"/>
    <w:rsid w:val="0065713E"/>
    <w:rsid w:val="00660CED"/>
    <w:rsid w:val="00660F9C"/>
    <w:rsid w:val="0066778E"/>
    <w:rsid w:val="00674170"/>
    <w:rsid w:val="0068031B"/>
    <w:rsid w:val="00684398"/>
    <w:rsid w:val="006854A6"/>
    <w:rsid w:val="00690CE6"/>
    <w:rsid w:val="00695FCA"/>
    <w:rsid w:val="006A455B"/>
    <w:rsid w:val="006A68A6"/>
    <w:rsid w:val="006B23BD"/>
    <w:rsid w:val="006B7CDA"/>
    <w:rsid w:val="006E1F03"/>
    <w:rsid w:val="006E5BCA"/>
    <w:rsid w:val="006E612E"/>
    <w:rsid w:val="006F164D"/>
    <w:rsid w:val="006F28EF"/>
    <w:rsid w:val="006F49CE"/>
    <w:rsid w:val="006F712B"/>
    <w:rsid w:val="0070013B"/>
    <w:rsid w:val="00701F28"/>
    <w:rsid w:val="007058A4"/>
    <w:rsid w:val="00716DA0"/>
    <w:rsid w:val="007173E5"/>
    <w:rsid w:val="00721673"/>
    <w:rsid w:val="00726414"/>
    <w:rsid w:val="00735186"/>
    <w:rsid w:val="00743148"/>
    <w:rsid w:val="0074350C"/>
    <w:rsid w:val="00746343"/>
    <w:rsid w:val="00750D17"/>
    <w:rsid w:val="007673A3"/>
    <w:rsid w:val="00794B94"/>
    <w:rsid w:val="007A1D14"/>
    <w:rsid w:val="007A3BA7"/>
    <w:rsid w:val="007A6B21"/>
    <w:rsid w:val="007B644D"/>
    <w:rsid w:val="007B715F"/>
    <w:rsid w:val="007C01BB"/>
    <w:rsid w:val="007C57DF"/>
    <w:rsid w:val="007C7363"/>
    <w:rsid w:val="007D4B6F"/>
    <w:rsid w:val="007D6106"/>
    <w:rsid w:val="007E73BE"/>
    <w:rsid w:val="007F5760"/>
    <w:rsid w:val="007F6305"/>
    <w:rsid w:val="00800813"/>
    <w:rsid w:val="0081210C"/>
    <w:rsid w:val="00816A50"/>
    <w:rsid w:val="00827142"/>
    <w:rsid w:val="008304EB"/>
    <w:rsid w:val="0083283E"/>
    <w:rsid w:val="00832EB2"/>
    <w:rsid w:val="00832FA0"/>
    <w:rsid w:val="00836474"/>
    <w:rsid w:val="00837936"/>
    <w:rsid w:val="0084254D"/>
    <w:rsid w:val="00843C18"/>
    <w:rsid w:val="00845F43"/>
    <w:rsid w:val="00850775"/>
    <w:rsid w:val="00853F27"/>
    <w:rsid w:val="00855622"/>
    <w:rsid w:val="008625F5"/>
    <w:rsid w:val="008633AE"/>
    <w:rsid w:val="00870829"/>
    <w:rsid w:val="00871905"/>
    <w:rsid w:val="0087494C"/>
    <w:rsid w:val="00883BF9"/>
    <w:rsid w:val="00891A67"/>
    <w:rsid w:val="0089509C"/>
    <w:rsid w:val="008A1987"/>
    <w:rsid w:val="008A3B56"/>
    <w:rsid w:val="008A6760"/>
    <w:rsid w:val="008A6FCB"/>
    <w:rsid w:val="008B3E50"/>
    <w:rsid w:val="008B5AB3"/>
    <w:rsid w:val="008B7B83"/>
    <w:rsid w:val="008C089D"/>
    <w:rsid w:val="008C3BE4"/>
    <w:rsid w:val="008D1CA5"/>
    <w:rsid w:val="008D43BF"/>
    <w:rsid w:val="008E301D"/>
    <w:rsid w:val="008E33B6"/>
    <w:rsid w:val="008E79B1"/>
    <w:rsid w:val="008F2B6E"/>
    <w:rsid w:val="00901A88"/>
    <w:rsid w:val="00901DB7"/>
    <w:rsid w:val="00904CFB"/>
    <w:rsid w:val="00912861"/>
    <w:rsid w:val="00913518"/>
    <w:rsid w:val="0092188E"/>
    <w:rsid w:val="0092232F"/>
    <w:rsid w:val="009334E5"/>
    <w:rsid w:val="00937A71"/>
    <w:rsid w:val="00942DB4"/>
    <w:rsid w:val="00944D3A"/>
    <w:rsid w:val="00946CD2"/>
    <w:rsid w:val="00954F04"/>
    <w:rsid w:val="009552C8"/>
    <w:rsid w:val="00961132"/>
    <w:rsid w:val="00964686"/>
    <w:rsid w:val="00967FA6"/>
    <w:rsid w:val="00970645"/>
    <w:rsid w:val="00970987"/>
    <w:rsid w:val="00971054"/>
    <w:rsid w:val="009922E7"/>
    <w:rsid w:val="00992BA1"/>
    <w:rsid w:val="00992BD2"/>
    <w:rsid w:val="009943E2"/>
    <w:rsid w:val="00997643"/>
    <w:rsid w:val="009979A8"/>
    <w:rsid w:val="009A2961"/>
    <w:rsid w:val="009A6215"/>
    <w:rsid w:val="009B2664"/>
    <w:rsid w:val="009B46BA"/>
    <w:rsid w:val="009B48BA"/>
    <w:rsid w:val="009C4E7D"/>
    <w:rsid w:val="009C73E8"/>
    <w:rsid w:val="009D2D93"/>
    <w:rsid w:val="009D2E55"/>
    <w:rsid w:val="00A01B64"/>
    <w:rsid w:val="00A07B79"/>
    <w:rsid w:val="00A10383"/>
    <w:rsid w:val="00A10AB2"/>
    <w:rsid w:val="00A140C9"/>
    <w:rsid w:val="00A14749"/>
    <w:rsid w:val="00A14E00"/>
    <w:rsid w:val="00A1500C"/>
    <w:rsid w:val="00A15761"/>
    <w:rsid w:val="00A224D6"/>
    <w:rsid w:val="00A24EC3"/>
    <w:rsid w:val="00A2752B"/>
    <w:rsid w:val="00A341CB"/>
    <w:rsid w:val="00A42441"/>
    <w:rsid w:val="00A43335"/>
    <w:rsid w:val="00A52C17"/>
    <w:rsid w:val="00A54ECF"/>
    <w:rsid w:val="00A57A2D"/>
    <w:rsid w:val="00A606D2"/>
    <w:rsid w:val="00A628A1"/>
    <w:rsid w:val="00A62EC0"/>
    <w:rsid w:val="00A6521E"/>
    <w:rsid w:val="00A70E4F"/>
    <w:rsid w:val="00A71057"/>
    <w:rsid w:val="00A749E1"/>
    <w:rsid w:val="00A75147"/>
    <w:rsid w:val="00A81B68"/>
    <w:rsid w:val="00A83186"/>
    <w:rsid w:val="00A83B24"/>
    <w:rsid w:val="00A844F9"/>
    <w:rsid w:val="00A85C35"/>
    <w:rsid w:val="00A93955"/>
    <w:rsid w:val="00A94CE3"/>
    <w:rsid w:val="00AA4C36"/>
    <w:rsid w:val="00AB5A9F"/>
    <w:rsid w:val="00AC4F50"/>
    <w:rsid w:val="00AC6DA0"/>
    <w:rsid w:val="00AD0C9A"/>
    <w:rsid w:val="00AD14F8"/>
    <w:rsid w:val="00AD34E2"/>
    <w:rsid w:val="00AD685B"/>
    <w:rsid w:val="00AE0891"/>
    <w:rsid w:val="00AE6E8F"/>
    <w:rsid w:val="00AF68B1"/>
    <w:rsid w:val="00B024F2"/>
    <w:rsid w:val="00B0581D"/>
    <w:rsid w:val="00B15989"/>
    <w:rsid w:val="00B15D5A"/>
    <w:rsid w:val="00B230C4"/>
    <w:rsid w:val="00B23459"/>
    <w:rsid w:val="00B26C5F"/>
    <w:rsid w:val="00B3345F"/>
    <w:rsid w:val="00B359F9"/>
    <w:rsid w:val="00B3732C"/>
    <w:rsid w:val="00B3781B"/>
    <w:rsid w:val="00B54A84"/>
    <w:rsid w:val="00B54F81"/>
    <w:rsid w:val="00B57268"/>
    <w:rsid w:val="00B62910"/>
    <w:rsid w:val="00B65516"/>
    <w:rsid w:val="00B71743"/>
    <w:rsid w:val="00B75F13"/>
    <w:rsid w:val="00B82770"/>
    <w:rsid w:val="00B91210"/>
    <w:rsid w:val="00B91C12"/>
    <w:rsid w:val="00B92F86"/>
    <w:rsid w:val="00BA02DD"/>
    <w:rsid w:val="00BA1D2E"/>
    <w:rsid w:val="00BA2125"/>
    <w:rsid w:val="00BA5E85"/>
    <w:rsid w:val="00BB0789"/>
    <w:rsid w:val="00BC32D2"/>
    <w:rsid w:val="00BC37E5"/>
    <w:rsid w:val="00BC7FE8"/>
    <w:rsid w:val="00BD2F3E"/>
    <w:rsid w:val="00BD566C"/>
    <w:rsid w:val="00BE640C"/>
    <w:rsid w:val="00BF504C"/>
    <w:rsid w:val="00BF6C67"/>
    <w:rsid w:val="00BF6C71"/>
    <w:rsid w:val="00BF705B"/>
    <w:rsid w:val="00C00AA8"/>
    <w:rsid w:val="00C03BA4"/>
    <w:rsid w:val="00C11462"/>
    <w:rsid w:val="00C16505"/>
    <w:rsid w:val="00C226E9"/>
    <w:rsid w:val="00C309F0"/>
    <w:rsid w:val="00C32422"/>
    <w:rsid w:val="00C3490A"/>
    <w:rsid w:val="00C349B9"/>
    <w:rsid w:val="00C40F59"/>
    <w:rsid w:val="00C4104E"/>
    <w:rsid w:val="00C44116"/>
    <w:rsid w:val="00C46D8D"/>
    <w:rsid w:val="00C479CA"/>
    <w:rsid w:val="00C5393D"/>
    <w:rsid w:val="00C624C5"/>
    <w:rsid w:val="00C645A4"/>
    <w:rsid w:val="00C74F2E"/>
    <w:rsid w:val="00C77B97"/>
    <w:rsid w:val="00C805F4"/>
    <w:rsid w:val="00C80C60"/>
    <w:rsid w:val="00C92E4D"/>
    <w:rsid w:val="00C945E6"/>
    <w:rsid w:val="00CA0FDA"/>
    <w:rsid w:val="00CA3851"/>
    <w:rsid w:val="00CA6C8F"/>
    <w:rsid w:val="00CB1F38"/>
    <w:rsid w:val="00CB1FE8"/>
    <w:rsid w:val="00CB6A0A"/>
    <w:rsid w:val="00CB78DD"/>
    <w:rsid w:val="00CC112C"/>
    <w:rsid w:val="00CC36C0"/>
    <w:rsid w:val="00CC5F10"/>
    <w:rsid w:val="00CC7993"/>
    <w:rsid w:val="00CD52AE"/>
    <w:rsid w:val="00CD5A84"/>
    <w:rsid w:val="00CD7BAE"/>
    <w:rsid w:val="00CE24A1"/>
    <w:rsid w:val="00CE2887"/>
    <w:rsid w:val="00CE2B86"/>
    <w:rsid w:val="00CE40A0"/>
    <w:rsid w:val="00CF317F"/>
    <w:rsid w:val="00D0314E"/>
    <w:rsid w:val="00D20396"/>
    <w:rsid w:val="00D440F8"/>
    <w:rsid w:val="00D44878"/>
    <w:rsid w:val="00D46CF4"/>
    <w:rsid w:val="00D564F2"/>
    <w:rsid w:val="00D57BBC"/>
    <w:rsid w:val="00D60037"/>
    <w:rsid w:val="00D63E2A"/>
    <w:rsid w:val="00D7089D"/>
    <w:rsid w:val="00D710DE"/>
    <w:rsid w:val="00D71561"/>
    <w:rsid w:val="00D71A0C"/>
    <w:rsid w:val="00D726C5"/>
    <w:rsid w:val="00D74C21"/>
    <w:rsid w:val="00D77BAD"/>
    <w:rsid w:val="00D9205D"/>
    <w:rsid w:val="00D9281F"/>
    <w:rsid w:val="00D972FE"/>
    <w:rsid w:val="00D97C91"/>
    <w:rsid w:val="00DA6E5A"/>
    <w:rsid w:val="00DA776A"/>
    <w:rsid w:val="00DB29B0"/>
    <w:rsid w:val="00DC2E4D"/>
    <w:rsid w:val="00DC2F5D"/>
    <w:rsid w:val="00DD2523"/>
    <w:rsid w:val="00DD2D2F"/>
    <w:rsid w:val="00DD4337"/>
    <w:rsid w:val="00DE79C6"/>
    <w:rsid w:val="00DF0308"/>
    <w:rsid w:val="00DF16B2"/>
    <w:rsid w:val="00E019CA"/>
    <w:rsid w:val="00E02F3E"/>
    <w:rsid w:val="00E058E2"/>
    <w:rsid w:val="00E0759D"/>
    <w:rsid w:val="00E3193F"/>
    <w:rsid w:val="00E41125"/>
    <w:rsid w:val="00E465A4"/>
    <w:rsid w:val="00E65A87"/>
    <w:rsid w:val="00E66840"/>
    <w:rsid w:val="00E70B3F"/>
    <w:rsid w:val="00E71048"/>
    <w:rsid w:val="00E76584"/>
    <w:rsid w:val="00E83298"/>
    <w:rsid w:val="00E866BB"/>
    <w:rsid w:val="00EA0308"/>
    <w:rsid w:val="00EA1502"/>
    <w:rsid w:val="00EA6E61"/>
    <w:rsid w:val="00EB69B6"/>
    <w:rsid w:val="00EB6B37"/>
    <w:rsid w:val="00EC00D8"/>
    <w:rsid w:val="00EC68F3"/>
    <w:rsid w:val="00ED0A18"/>
    <w:rsid w:val="00EE11CF"/>
    <w:rsid w:val="00EF1CE8"/>
    <w:rsid w:val="00EF3A8A"/>
    <w:rsid w:val="00EF5C29"/>
    <w:rsid w:val="00F00BD7"/>
    <w:rsid w:val="00F052DB"/>
    <w:rsid w:val="00F052EF"/>
    <w:rsid w:val="00F07FAC"/>
    <w:rsid w:val="00F16D52"/>
    <w:rsid w:val="00F24ABC"/>
    <w:rsid w:val="00F25D88"/>
    <w:rsid w:val="00F43979"/>
    <w:rsid w:val="00F45C36"/>
    <w:rsid w:val="00F4708D"/>
    <w:rsid w:val="00F52CFA"/>
    <w:rsid w:val="00F546CC"/>
    <w:rsid w:val="00F6039B"/>
    <w:rsid w:val="00F60E29"/>
    <w:rsid w:val="00F6425C"/>
    <w:rsid w:val="00F71FF3"/>
    <w:rsid w:val="00F7247A"/>
    <w:rsid w:val="00F8225D"/>
    <w:rsid w:val="00F909B1"/>
    <w:rsid w:val="00FA2EC3"/>
    <w:rsid w:val="00FA32A9"/>
    <w:rsid w:val="00FB0A9B"/>
    <w:rsid w:val="00FB65E0"/>
    <w:rsid w:val="00FC58D5"/>
    <w:rsid w:val="00FC730D"/>
    <w:rsid w:val="00FC7FB2"/>
    <w:rsid w:val="00FD1B85"/>
    <w:rsid w:val="00FD2125"/>
    <w:rsid w:val="00FE1EC8"/>
    <w:rsid w:val="00FE345A"/>
    <w:rsid w:val="00FE3D1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692E7"/>
  <w15:chartTrackingRefBased/>
  <w15:docId w15:val="{D1CC245B-96C3-4B85-AB44-788AF9C0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D14"/>
    <w:pPr>
      <w:spacing w:after="200" w:line="276" w:lineRule="auto"/>
    </w:pPr>
    <w:rPr>
      <w:rFonts w:ascii="Arial" w:eastAsia="Calibri" w:hAnsi="Arial" w:cs="Times New Roman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A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4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2E7"/>
    <w:rPr>
      <w:rFonts w:ascii="Arial" w:eastAsia="Calibri" w:hAnsi="Arial" w:cs="Times New Roman"/>
      <w:sz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2A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2AB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B62AB"/>
    <w:rPr>
      <w:color w:val="3095B4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78E"/>
    <w:rPr>
      <w:color w:val="605E5C"/>
      <w:shd w:val="clear" w:color="auto" w:fill="E1DFDD"/>
    </w:rPr>
  </w:style>
  <w:style w:type="paragraph" w:customStyle="1" w:styleId="BodyTextFirst">
    <w:name w:val="Body Text First"/>
    <w:basedOn w:val="Corpotesto"/>
    <w:next w:val="Corpotesto"/>
    <w:link w:val="BodyTextFirstChar"/>
    <w:rsid w:val="0068031B"/>
    <w:pPr>
      <w:spacing w:after="180" w:line="240" w:lineRule="auto"/>
    </w:pPr>
    <w:rPr>
      <w:rFonts w:asciiTheme="majorHAnsi" w:hAnsiTheme="majorHAnsi"/>
      <w:sz w:val="21"/>
      <w:lang w:val="en-GB"/>
    </w:rPr>
  </w:style>
  <w:style w:type="character" w:customStyle="1" w:styleId="BodyTextFirstChar">
    <w:name w:val="Body Text First Char"/>
    <w:basedOn w:val="CorpotestoCarattere"/>
    <w:link w:val="BodyTextFirst"/>
    <w:rsid w:val="0068031B"/>
    <w:rPr>
      <w:rFonts w:asciiTheme="majorHAnsi" w:eastAsia="Calibri" w:hAnsiTheme="majorHAnsi" w:cs="Times New Roman"/>
      <w:sz w:val="21"/>
      <w:lang w:val="en-GB"/>
    </w:rPr>
  </w:style>
  <w:style w:type="paragraph" w:styleId="Corpotesto">
    <w:name w:val="Body Text"/>
    <w:basedOn w:val="Normale"/>
    <w:link w:val="CorpotestoCarattere"/>
    <w:uiPriority w:val="99"/>
    <w:unhideWhenUsed/>
    <w:rsid w:val="006803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031B"/>
    <w:rPr>
      <w:rFonts w:ascii="Arial" w:eastAsia="Calibri" w:hAnsi="Arial" w:cs="Times New Roman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68031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54A84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4A84"/>
    <w:rPr>
      <w:rFonts w:ascii="Calibri" w:hAnsi="Calibri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C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C08"/>
    <w:rPr>
      <w:rFonts w:ascii="Arial" w:eastAsia="Calibri" w:hAnsi="Arial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C08"/>
    <w:rPr>
      <w:vertAlign w:val="superscript"/>
    </w:rPr>
  </w:style>
  <w:style w:type="paragraph" w:styleId="Revisione">
    <w:name w:val="Revision"/>
    <w:hidden/>
    <w:uiPriority w:val="99"/>
    <w:semiHidden/>
    <w:rsid w:val="00B75F13"/>
    <w:pPr>
      <w:spacing w:after="0" w:line="240" w:lineRule="auto"/>
    </w:pPr>
    <w:rPr>
      <w:rFonts w:ascii="Arial" w:eastAsia="Calibri" w:hAnsi="Arial" w:cs="Times New Roman"/>
      <w:sz w:val="18"/>
      <w:lang w:val="en-US"/>
    </w:rPr>
  </w:style>
  <w:style w:type="character" w:customStyle="1" w:styleId="contentpasted0">
    <w:name w:val="contentpasted0"/>
    <w:basedOn w:val="Carpredefinitoparagrafo"/>
    <w:rsid w:val="00970645"/>
  </w:style>
  <w:style w:type="character" w:styleId="Rimandocommento">
    <w:name w:val="annotation reference"/>
    <w:basedOn w:val="Carpredefinitoparagrafo"/>
    <w:uiPriority w:val="99"/>
    <w:semiHidden/>
    <w:unhideWhenUsed/>
    <w:rsid w:val="00EA1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15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1502"/>
    <w:rPr>
      <w:rFonts w:ascii="Arial" w:eastAsia="Calibri" w:hAnsi="Arial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502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COMEAFLS01\Personale%20Utenti\Daga\Macro%20Meeting\23.03.2023\Terminal%20Rate%20F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Tabelle1!$B$4</c:f>
              <c:strCache>
                <c:ptCount val="1"/>
                <c:pt idx="0">
                  <c:v>December Projections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EF-4727-B9BF-1B40F9BF30DC}"/>
                </c:ext>
              </c:extLst>
            </c:dLbl>
            <c:dLbl>
              <c:idx val="1"/>
              <c:layout>
                <c:manualLayout>
                  <c:x val="-4.8249091212701184E-2"/>
                  <c:y val="4.0968342644320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EF-4727-B9BF-1B40F9BF30DC}"/>
                </c:ext>
              </c:extLst>
            </c:dLbl>
            <c:dLbl>
              <c:idx val="2"/>
              <c:layout>
                <c:manualLayout>
                  <c:x val="-2.4323044448155237E-2"/>
                  <c:y val="-4.8417132216014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EF-4727-B9BF-1B40F9BF30D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EF-4727-B9BF-1B40F9BF30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Tabelle1!$C$3:$F$3</c:f>
              <c:numCache>
                <c:formatCode>General</c:formatCode>
                <c:ptCount val="4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Tabelle1!$C$4:$F$4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4.0999999999999996</c:v>
                </c:pt>
                <c:pt idx="2">
                  <c:v>3.1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8EF-4727-B9BF-1B40F9BF30DC}"/>
            </c:ext>
          </c:extLst>
        </c:ser>
        <c:ser>
          <c:idx val="1"/>
          <c:order val="1"/>
          <c:tx>
            <c:strRef>
              <c:f>Tabelle1!$B$5</c:f>
              <c:strCache>
                <c:ptCount val="1"/>
                <c:pt idx="0">
                  <c:v>March Projections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198520250221577E-2"/>
                  <c:y val="4.4692737430167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EF-4727-B9BF-1B40F9BF30DC}"/>
                </c:ext>
              </c:extLst>
            </c:dLbl>
            <c:dLbl>
              <c:idx val="1"/>
              <c:layout>
                <c:manualLayout>
                  <c:x val="-2.6498139608568505E-2"/>
                  <c:y val="-4.4692737430167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EF-4727-B9BF-1B40F9BF30D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EF-4727-B9BF-1B40F9BF30DC}"/>
                </c:ext>
              </c:extLst>
            </c:dLbl>
            <c:dLbl>
              <c:idx val="3"/>
              <c:layout>
                <c:manualLayout>
                  <c:x val="-2.4323044448155397E-2"/>
                  <c:y val="2.9795158286778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EF-4727-B9BF-1B40F9BF30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Tabelle1!$C$3:$F$3</c:f>
              <c:numCache>
                <c:formatCode>General</c:formatCode>
                <c:ptCount val="4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Tabelle1!$C$5:$F$5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4.3</c:v>
                </c:pt>
                <c:pt idx="2">
                  <c:v>3.1</c:v>
                </c:pt>
                <c:pt idx="3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8EF-4727-B9BF-1B40F9BF30D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24938768"/>
        <c:axId val="1318892144"/>
      </c:lineChart>
      <c:catAx>
        <c:axId val="132493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18892144"/>
        <c:crosses val="autoZero"/>
        <c:auto val="1"/>
        <c:lblAlgn val="ctr"/>
        <c:lblOffset val="100"/>
        <c:noMultiLvlLbl val="0"/>
      </c:catAx>
      <c:valAx>
        <c:axId val="1318892144"/>
        <c:scaling>
          <c:orientation val="minMax"/>
          <c:max val="5.5"/>
          <c:min val="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Fed Fund Rate projections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2493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26A3-7B3C-49BA-B894-2558EB76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Cagnoni - BC Communication</dc:creator>
  <cp:keywords/>
  <dc:description/>
  <cp:lastModifiedBy>Diana Ferla</cp:lastModifiedBy>
  <cp:revision>19</cp:revision>
  <cp:lastPrinted>2020-10-14T07:37:00Z</cp:lastPrinted>
  <dcterms:created xsi:type="dcterms:W3CDTF">2023-03-24T10:13:00Z</dcterms:created>
  <dcterms:modified xsi:type="dcterms:W3CDTF">2023-04-14T16:30:00Z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2df76ffe815a0e14b83e9cc149ecbc10c2c2514ad167020ab21ee6527f463c9d</vt:lpwstr>
  </property>
</Properties>
</file>