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FC55" w14:textId="4D3A6081" w:rsidR="00152447" w:rsidRDefault="00161DC9" w:rsidP="0047658B">
      <w:pPr>
        <w:spacing w:after="0"/>
        <w:contextualSpacing/>
        <w:jc w:val="both"/>
        <w:rPr>
          <w:rFonts w:asciiTheme="minorHAnsi" w:eastAsia="MS Mincho" w:hAnsiTheme="minorHAnsi" w:cstheme="minorHAnsi"/>
          <w:b/>
          <w:bCs/>
          <w:snapToGrid w:val="0"/>
          <w:sz w:val="28"/>
          <w:szCs w:val="28"/>
          <w:lang w:val="it-IT"/>
        </w:rPr>
      </w:pPr>
      <w:r w:rsidRPr="008B3B69">
        <w:rPr>
          <w:rFonts w:asciiTheme="minorHAnsi" w:eastAsia="MS Mincho" w:hAnsiTheme="minorHAnsi" w:cstheme="minorHAnsi"/>
          <w:b/>
          <w:bCs/>
          <w:snapToGrid w:val="0"/>
          <w:sz w:val="28"/>
          <w:szCs w:val="28"/>
          <w:lang w:val="it-IT"/>
        </w:rPr>
        <w:t xml:space="preserve">AcomeA - Bond o equity? </w:t>
      </w:r>
      <w:r w:rsidRPr="00161DC9">
        <w:rPr>
          <w:rFonts w:asciiTheme="minorHAnsi" w:eastAsia="MS Mincho" w:hAnsiTheme="minorHAnsi" w:cstheme="minorHAnsi"/>
          <w:b/>
          <w:bCs/>
          <w:snapToGrid w:val="0"/>
          <w:sz w:val="28"/>
          <w:szCs w:val="28"/>
          <w:lang w:val="it-IT"/>
        </w:rPr>
        <w:t>L’importante è che siano emergenti</w:t>
      </w:r>
    </w:p>
    <w:p w14:paraId="19ADBC09" w14:textId="77777777" w:rsidR="00A07B79" w:rsidRPr="00A83B24" w:rsidRDefault="00A07B79" w:rsidP="0047658B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</w:p>
    <w:p w14:paraId="53E932E7" w14:textId="2FFB019F" w:rsidR="00B0581D" w:rsidRPr="00A83B24" w:rsidRDefault="00B0581D" w:rsidP="00152447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  <w:r w:rsidRPr="00A83B24">
        <w:rPr>
          <w:rFonts w:asciiTheme="minorHAnsi" w:hAnsiTheme="minorHAnsi" w:cstheme="minorHAnsi"/>
          <w:i/>
          <w:iCs/>
          <w:sz w:val="22"/>
          <w:lang w:val="it-IT"/>
        </w:rPr>
        <w:t xml:space="preserve">A cura </w:t>
      </w:r>
      <w:r w:rsidR="00C53D72" w:rsidRPr="00C53D72">
        <w:rPr>
          <w:rFonts w:asciiTheme="minorHAnsi" w:hAnsiTheme="minorHAnsi" w:cstheme="minorHAnsi"/>
          <w:i/>
          <w:iCs/>
          <w:sz w:val="22"/>
          <w:lang w:val="it-IT"/>
        </w:rPr>
        <w:t xml:space="preserve">del </w:t>
      </w:r>
      <w:r w:rsidR="00C53D72" w:rsidRPr="00B343BF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>Team di gestione di AcomeA SGR</w:t>
      </w:r>
    </w:p>
    <w:p w14:paraId="7BC60241" w14:textId="77777777" w:rsidR="00B0581D" w:rsidRPr="00B75A33" w:rsidRDefault="00B0581D" w:rsidP="00E6649C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5AF8F6A2" w14:textId="6ED98B1E" w:rsidR="00B75A33" w:rsidRPr="005648B4" w:rsidRDefault="00B75A33" w:rsidP="00E6649C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Nell’attuale congiuntura dei mercati finanziari,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l’azionario sembra parlar</w:t>
      </w:r>
      <w:r w:rsidR="0041034B" w:rsidRPr="005648B4">
        <w:rPr>
          <w:rFonts w:asciiTheme="minorHAnsi" w:hAnsiTheme="minorHAnsi" w:cstheme="minorHAnsi"/>
          <w:b/>
          <w:bCs/>
          <w:sz w:val="22"/>
          <w:lang w:val="it-IT"/>
        </w:rPr>
        <w:t>e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 xml:space="preserve"> di un’economia solida e dalle prospettive incoraggianti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.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L’obbligazionario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, all’opposto,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riflette un andamento dell’economia molto più incerto.</w:t>
      </w:r>
    </w:p>
    <w:p w14:paraId="1C1A86EF" w14:textId="5F4EE43F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Da una parte le valutazioni tutt’altro che basse sulle </w:t>
      </w:r>
      <w:r w:rsidR="00D64EA8">
        <w:rPr>
          <w:rFonts w:asciiTheme="minorHAnsi" w:hAnsiTheme="minorHAnsi" w:cstheme="minorHAnsi"/>
          <w:sz w:val="22"/>
          <w:lang w:val="it-IT"/>
        </w:rPr>
        <w:t>B</w:t>
      </w:r>
      <w:r w:rsidRPr="00B75A33">
        <w:rPr>
          <w:rFonts w:asciiTheme="minorHAnsi" w:hAnsiTheme="minorHAnsi" w:cstheme="minorHAnsi"/>
          <w:sz w:val="22"/>
          <w:lang w:val="it-IT"/>
        </w:rPr>
        <w:t>orse delle due sponde dell’Atlantico fanno presupporre un certo ottimismo sulle prospettive degli utili e dell’economia. Dall’altro, l’inclinazione negativa (inversione, cioè quando la parte a breve rende di più di quella a lungo) delle curve dei tassi di Bund e Treasur</w:t>
      </w:r>
      <w:r w:rsidR="005648B4">
        <w:rPr>
          <w:rFonts w:asciiTheme="minorHAnsi" w:hAnsiTheme="minorHAnsi" w:cstheme="minorHAnsi"/>
          <w:sz w:val="22"/>
          <w:lang w:val="it-IT"/>
        </w:rPr>
        <w:t>y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segnala una recessione. </w:t>
      </w:r>
    </w:p>
    <w:p w14:paraId="40B74FBF" w14:textId="7097362D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Questo vuol dire che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il mercato si attende una inversione della politica dei tassi di interesse e, negli Usa, sconta una riduzione del costo del denaro già dalla fine del 2023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. Un simile scenario è tuttavia contraddetto dagli stessi banchieri centrali sia in Usa </w:t>
      </w:r>
      <w:r w:rsidR="00D64EA8">
        <w:rPr>
          <w:rFonts w:asciiTheme="minorHAnsi" w:hAnsiTheme="minorHAnsi" w:cstheme="minorHAnsi"/>
          <w:sz w:val="22"/>
          <w:lang w:val="it-IT"/>
        </w:rPr>
        <w:t>sia in</w:t>
      </w:r>
      <w:r w:rsidR="00D64EA8"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sz w:val="22"/>
          <w:lang w:val="it-IT"/>
        </w:rPr>
        <w:t>Europa: questi ultimi continuano infatti a sostenere che i tassi rimarranno sugli attuali livelli per diversi trimestri e, verosimilmente, fino alle fine del 2024.</w:t>
      </w:r>
    </w:p>
    <w:p w14:paraId="537B32D2" w14:textId="77777777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5648B4">
        <w:rPr>
          <w:rFonts w:asciiTheme="minorHAnsi" w:hAnsiTheme="minorHAnsi" w:cstheme="minorHAnsi"/>
          <w:b/>
          <w:bCs/>
          <w:sz w:val="22"/>
          <w:lang w:val="it-IT"/>
        </w:rPr>
        <w:t>Dubbi sulle condizioni dell’economia arrivano anche dalla lettura dei mercati del credito</w:t>
      </w:r>
      <w:r w:rsidRPr="00B75A33">
        <w:rPr>
          <w:rFonts w:asciiTheme="minorHAnsi" w:hAnsiTheme="minorHAnsi" w:cstheme="minorHAnsi"/>
          <w:sz w:val="22"/>
          <w:lang w:val="it-IT"/>
        </w:rPr>
        <w:t>: gli spread delle emissioni high yield negli Stati Uniti e gli spread di cross-over delle obbligazioni investment grade e non investment grade in Europa, pur lontani dai picchi del 2022 e di marzo 2023, non sono ancora tornati su livelli coerenti con l’assenza di timori per le prospettive future degli emittenti societari e con un’economia in salute.</w:t>
      </w:r>
    </w:p>
    <w:p w14:paraId="5AAB7ECA" w14:textId="52B8A60C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5648B4">
        <w:rPr>
          <w:rFonts w:asciiTheme="minorHAnsi" w:hAnsiTheme="minorHAnsi" w:cstheme="minorHAnsi"/>
          <w:b/>
          <w:bCs/>
          <w:sz w:val="22"/>
          <w:lang w:val="it-IT"/>
        </w:rPr>
        <w:t>Una indicazione di cautela ancora più forte arriva dagli spread dei bond bancari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- soprattutto i subordinati </w:t>
      </w:r>
      <w:proofErr w:type="spellStart"/>
      <w:r w:rsidRPr="00B75A33">
        <w:rPr>
          <w:rFonts w:asciiTheme="minorHAnsi" w:hAnsiTheme="minorHAnsi" w:cstheme="minorHAnsi"/>
          <w:sz w:val="22"/>
          <w:lang w:val="it-IT"/>
        </w:rPr>
        <w:t>Tier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 1 e </w:t>
      </w:r>
      <w:proofErr w:type="spellStart"/>
      <w:r w:rsidRPr="00B75A33">
        <w:rPr>
          <w:rFonts w:asciiTheme="minorHAnsi" w:hAnsiTheme="minorHAnsi" w:cstheme="minorHAnsi"/>
          <w:sz w:val="22"/>
          <w:lang w:val="it-IT"/>
        </w:rPr>
        <w:t>Tier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 2 - anche in seguito al fallimento delle due banche regionali Usa e alla vicenda Credit Suisse. Anche se le banche hanno un </w:t>
      </w:r>
      <w:r w:rsidR="00D64EA8">
        <w:rPr>
          <w:rFonts w:asciiTheme="minorHAnsi" w:hAnsiTheme="minorHAnsi" w:cstheme="minorHAnsi"/>
          <w:sz w:val="22"/>
          <w:lang w:val="it-IT"/>
        </w:rPr>
        <w:t>conto economico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in miglioramento per via dell’aumento del margine di interesse evidentemente il mercato ha dei dubbi sulla esigibilità dei loro crediti. </w:t>
      </w:r>
    </w:p>
    <w:p w14:paraId="002BFA95" w14:textId="0641D6CF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La preoccupazione per le condizioni dell’economia e il timore che un aumento delle sofferenze bancarie pregiudichi la capacità reddituale degli istituti di credito è evidente anche dal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multiplo p/e (price/</w:t>
      </w:r>
      <w:proofErr w:type="spellStart"/>
      <w:r w:rsidRPr="005648B4">
        <w:rPr>
          <w:rFonts w:asciiTheme="minorHAnsi" w:hAnsiTheme="minorHAnsi" w:cstheme="minorHAnsi"/>
          <w:b/>
          <w:bCs/>
          <w:sz w:val="22"/>
          <w:lang w:val="it-IT"/>
        </w:rPr>
        <w:t>earning</w:t>
      </w:r>
      <w:proofErr w:type="spellEnd"/>
      <w:r w:rsidRPr="005648B4">
        <w:rPr>
          <w:rFonts w:asciiTheme="minorHAnsi" w:hAnsiTheme="minorHAnsi" w:cstheme="minorHAnsi"/>
          <w:b/>
          <w:bCs/>
          <w:sz w:val="22"/>
          <w:lang w:val="it-IT"/>
        </w:rPr>
        <w:t>) del settore che, nonostante il miglioramento degli ultimi trimestri, è ai minimi degli ultimi 20 anni</w:t>
      </w:r>
      <w:r w:rsidRPr="00B75A33">
        <w:rPr>
          <w:rFonts w:asciiTheme="minorHAnsi" w:hAnsiTheme="minorHAnsi" w:cstheme="minorHAnsi"/>
          <w:sz w:val="22"/>
          <w:lang w:val="it-IT"/>
        </w:rPr>
        <w:t>. Tale multiplo, in altre parole, si attesta oggi sui livelli della crisi finanziaria, della crisi dello spread del 2011 e del marzo 2020 con l’esplosione del Covid.</w:t>
      </w:r>
    </w:p>
    <w:p w14:paraId="47717E78" w14:textId="287A4054" w:rsidR="00B75A33" w:rsidRPr="005648B4" w:rsidRDefault="00B75A33" w:rsidP="00E6649C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5648B4">
        <w:rPr>
          <w:rFonts w:asciiTheme="minorHAnsi" w:hAnsiTheme="minorHAnsi" w:cstheme="minorHAnsi"/>
          <w:b/>
          <w:bCs/>
          <w:sz w:val="22"/>
          <w:lang w:val="it-IT"/>
        </w:rPr>
        <w:t>Un quadro totalmente diverso viene dipinto dal mercato azionario Usa ed europeo, dove gli indici sono abbastanza vicini ai massimi della prima metà del 2021 e l’equity risk premium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(cioè la differenza fra il rendimento delle azioni e </w:t>
      </w:r>
      <w:r w:rsidR="00D64EA8">
        <w:rPr>
          <w:rFonts w:asciiTheme="minorHAnsi" w:hAnsiTheme="minorHAnsi" w:cstheme="minorHAnsi"/>
          <w:sz w:val="22"/>
          <w:lang w:val="it-IT"/>
        </w:rPr>
        <w:t>i</w:t>
      </w:r>
      <w:r w:rsidRPr="00B75A33">
        <w:rPr>
          <w:rFonts w:asciiTheme="minorHAnsi" w:hAnsiTheme="minorHAnsi" w:cstheme="minorHAnsi"/>
          <w:sz w:val="22"/>
          <w:lang w:val="it-IT"/>
        </w:rPr>
        <w:t>l rendimento del Treasur</w:t>
      </w:r>
      <w:r w:rsidR="00D64EA8">
        <w:rPr>
          <w:rFonts w:asciiTheme="minorHAnsi" w:hAnsiTheme="minorHAnsi" w:cstheme="minorHAnsi"/>
          <w:sz w:val="22"/>
          <w:lang w:val="it-IT"/>
        </w:rPr>
        <w:t>y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) </w:t>
      </w:r>
      <w:r w:rsidRPr="005648B4">
        <w:rPr>
          <w:rFonts w:asciiTheme="minorHAnsi" w:hAnsiTheme="minorHAnsi" w:cstheme="minorHAnsi"/>
          <w:b/>
          <w:bCs/>
          <w:sz w:val="22"/>
          <w:lang w:val="it-IT"/>
        </w:rPr>
        <w:t>è ai minimi dal 2013.</w:t>
      </w:r>
    </w:p>
    <w:p w14:paraId="680D95E3" w14:textId="77777777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u w:val="single"/>
          <w:lang w:val="it-IT"/>
        </w:rPr>
      </w:pPr>
      <w:r w:rsidRPr="00B75A33">
        <w:rPr>
          <w:rFonts w:asciiTheme="minorHAnsi" w:hAnsiTheme="minorHAnsi" w:cstheme="minorHAnsi"/>
          <w:sz w:val="22"/>
          <w:u w:val="single"/>
          <w:lang w:val="it-IT"/>
        </w:rPr>
        <w:t xml:space="preserve">Focus sull’alto rendimento per i bond ma con una riserva tattica di </w:t>
      </w:r>
      <w:proofErr w:type="gramStart"/>
      <w:r w:rsidRPr="00B75A33">
        <w:rPr>
          <w:rFonts w:asciiTheme="minorHAnsi" w:hAnsiTheme="minorHAnsi" w:cstheme="minorHAnsi"/>
          <w:sz w:val="22"/>
          <w:u w:val="single"/>
          <w:lang w:val="it-IT"/>
        </w:rPr>
        <w:t>cash</w:t>
      </w:r>
      <w:proofErr w:type="gramEnd"/>
    </w:p>
    <w:p w14:paraId="56BAEE1E" w14:textId="0D7B9D73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In un simile contesto occorre puntare,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per l’obbligazionario, su aree ad alto rendimento come i paesi emergenti e il settore bancario europeo,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tenendo tuttavia una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riserva di liquidità elevata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da impiegare tatticamente per approfittare della volatilità. Sul fronte degli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emergenti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largo al segmento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in valuta locale, soprattutto in America Latina e Brasile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dove c’è stato un forte rialzo dei tassi che ha contribuito a far apprezzare valute come il reais brasiliano</w:t>
      </w:r>
      <w:r w:rsidR="00D64EA8">
        <w:rPr>
          <w:rFonts w:asciiTheme="minorHAnsi" w:hAnsiTheme="minorHAnsi" w:cstheme="minorHAnsi"/>
          <w:sz w:val="22"/>
          <w:lang w:val="it-IT"/>
        </w:rPr>
        <w:t>,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ma anche il peso messicano e il peso colombiano.</w:t>
      </w:r>
    </w:p>
    <w:p w14:paraId="5C4DCDD6" w14:textId="470D5B9D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b/>
          <w:bCs/>
          <w:sz w:val="22"/>
          <w:lang w:val="it-IT"/>
        </w:rPr>
        <w:t>Per il segmento bancario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la parte senior è da privilegiare, ma anche </w:t>
      </w:r>
      <w:proofErr w:type="spellStart"/>
      <w:r w:rsidRPr="00B75A33">
        <w:rPr>
          <w:rFonts w:asciiTheme="minorHAnsi" w:hAnsiTheme="minorHAnsi" w:cstheme="minorHAnsi"/>
          <w:b/>
          <w:bCs/>
          <w:sz w:val="22"/>
          <w:lang w:val="it-IT"/>
        </w:rPr>
        <w:t>Tier</w:t>
      </w:r>
      <w:proofErr w:type="spellEnd"/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 1 e dei </w:t>
      </w:r>
      <w:proofErr w:type="spellStart"/>
      <w:r w:rsidRPr="00B75A33">
        <w:rPr>
          <w:rFonts w:asciiTheme="minorHAnsi" w:hAnsiTheme="minorHAnsi" w:cstheme="minorHAnsi"/>
          <w:b/>
          <w:bCs/>
          <w:sz w:val="22"/>
          <w:lang w:val="it-IT"/>
        </w:rPr>
        <w:t>Tier</w:t>
      </w:r>
      <w:proofErr w:type="spellEnd"/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 2. 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Le banche europee, infatti, escono da anni di regolamentazione molto scrupolosa, che le hanno portate ad una condizione di </w:t>
      </w:r>
      <w:r w:rsidRPr="00B75A33">
        <w:rPr>
          <w:rFonts w:asciiTheme="minorHAnsi" w:hAnsiTheme="minorHAnsi" w:cstheme="minorHAnsi"/>
          <w:sz w:val="22"/>
          <w:lang w:val="it-IT"/>
        </w:rPr>
        <w:lastRenderedPageBreak/>
        <w:t xml:space="preserve">solidità finanziaria e patrimoniale molto diversa dal 2011. Tanto è vero che la crisi di Credit Suisse è stata legata non </w:t>
      </w:r>
      <w:r w:rsidR="00D64EA8">
        <w:rPr>
          <w:rFonts w:asciiTheme="minorHAnsi" w:hAnsiTheme="minorHAnsi" w:cstheme="minorHAnsi"/>
          <w:sz w:val="22"/>
          <w:lang w:val="it-IT"/>
        </w:rPr>
        <w:t xml:space="preserve">tanto 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ai suoi livelli di patrimonializzazione quanto alla credibilità del suo modello di business e del suo management ed è stato, dunque, un episodio idiosincratico che resta isolato. </w:t>
      </w:r>
    </w:p>
    <w:p w14:paraId="05437196" w14:textId="41E4BC50" w:rsidR="00B75A33" w:rsidRPr="00B75A33" w:rsidRDefault="00B75A33" w:rsidP="00E6649C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8C2637">
        <w:rPr>
          <w:rFonts w:asciiTheme="minorHAnsi" w:hAnsiTheme="minorHAnsi" w:cstheme="minorHAnsi"/>
          <w:b/>
          <w:bCs/>
          <w:sz w:val="22"/>
          <w:lang w:val="it-IT"/>
        </w:rPr>
        <w:t>Sul fronte dei governativi, la parte lunga della curva è destinata ad essere penalizzata dal processo di riduzione della quantità monetaria che continuerà in Usa e si rafforzerà in Europa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. Probabilmente già alla prossima riunione della Bce riceveremo indicazione di un aumento </w:t>
      </w:r>
      <w:proofErr w:type="gramStart"/>
      <w:r w:rsidRPr="00B75A33">
        <w:rPr>
          <w:rFonts w:asciiTheme="minorHAnsi" w:hAnsiTheme="minorHAnsi" w:cstheme="minorHAnsi"/>
          <w:sz w:val="22"/>
          <w:lang w:val="it-IT"/>
        </w:rPr>
        <w:t xml:space="preserve">del </w:t>
      </w:r>
      <w:r w:rsidRPr="00080260">
        <w:rPr>
          <w:rFonts w:asciiTheme="minorHAnsi" w:hAnsiTheme="minorHAnsi" w:cstheme="minorHAnsi"/>
          <w:i/>
          <w:iCs/>
          <w:sz w:val="22"/>
          <w:lang w:val="it-IT"/>
        </w:rPr>
        <w:t>quantitative</w:t>
      </w:r>
      <w:proofErr w:type="gramEnd"/>
      <w:r w:rsidRPr="00080260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proofErr w:type="spellStart"/>
      <w:r w:rsidRPr="00080260">
        <w:rPr>
          <w:rFonts w:asciiTheme="minorHAnsi" w:hAnsiTheme="minorHAnsi" w:cstheme="minorHAnsi"/>
          <w:i/>
          <w:iCs/>
          <w:sz w:val="22"/>
          <w:lang w:val="it-IT"/>
        </w:rPr>
        <w:t>tightening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 (QT). In simile contesto</w:t>
      </w:r>
      <w:r w:rsidR="007E0B00">
        <w:rPr>
          <w:rFonts w:asciiTheme="minorHAnsi" w:hAnsiTheme="minorHAnsi" w:cstheme="minorHAnsi"/>
          <w:sz w:val="22"/>
          <w:lang w:val="it-IT"/>
        </w:rPr>
        <w:t>,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difficilmente i tassi reali torneranno verso lo zero ma si attesteranno verosimilmente intorno o sopra 1.</w:t>
      </w:r>
      <w:r w:rsidR="00080260">
        <w:rPr>
          <w:rFonts w:asciiTheme="minorHAnsi" w:hAnsiTheme="minorHAnsi" w:cstheme="minorHAnsi"/>
          <w:sz w:val="22"/>
          <w:lang w:val="it-IT"/>
        </w:rPr>
        <w:t xml:space="preserve"> </w:t>
      </w:r>
      <w:r w:rsidR="007E0B00">
        <w:rPr>
          <w:rFonts w:asciiTheme="minorHAnsi" w:hAnsiTheme="minorHAnsi" w:cstheme="minorHAnsi"/>
          <w:b/>
          <w:bCs/>
          <w:sz w:val="22"/>
          <w:lang w:val="it-IT"/>
        </w:rPr>
        <w:t>I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n termini di volatilità </w:t>
      </w:r>
      <w:r w:rsidR="007E0B00">
        <w:rPr>
          <w:rFonts w:asciiTheme="minorHAnsi" w:hAnsiTheme="minorHAnsi" w:cstheme="minorHAnsi"/>
          <w:b/>
          <w:bCs/>
          <w:sz w:val="22"/>
          <w:lang w:val="it-IT"/>
        </w:rPr>
        <w:t>appare</w:t>
      </w:r>
      <w:r w:rsidR="007E0B00"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più rischioso il Bund decennale che un senior bancario europeo.</w:t>
      </w:r>
    </w:p>
    <w:p w14:paraId="689E0992" w14:textId="5FDC49CD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Un regime di QT pronunciato e prolungato nel tempo esporrà il mercato a rischi come accaduto con le banche Usa e Credit Suisse. Di qui la </w:t>
      </w:r>
      <w:r w:rsidRPr="008C2637">
        <w:rPr>
          <w:rFonts w:asciiTheme="minorHAnsi" w:hAnsiTheme="minorHAnsi" w:cstheme="minorHAnsi"/>
          <w:b/>
          <w:bCs/>
          <w:sz w:val="22"/>
          <w:lang w:val="it-IT"/>
        </w:rPr>
        <w:t>necessità di un sostanzioso cuscinetto di liquidità in portafoglio per poter approfittare di fasi di accelerazione impreviste dei mercati</w:t>
      </w:r>
      <w:r w:rsidRPr="00B75A33">
        <w:rPr>
          <w:rFonts w:asciiTheme="minorHAnsi" w:hAnsiTheme="minorHAnsi" w:cstheme="minorHAnsi"/>
          <w:sz w:val="22"/>
          <w:lang w:val="it-IT"/>
        </w:rPr>
        <w:t>, come accaduto sui subordinati bancari in seguito alla vicenda Credit Suisse.</w:t>
      </w:r>
    </w:p>
    <w:p w14:paraId="11E2031A" w14:textId="77777777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u w:val="single"/>
          <w:lang w:val="it-IT"/>
        </w:rPr>
      </w:pPr>
      <w:r w:rsidRPr="00B75A33">
        <w:rPr>
          <w:rFonts w:asciiTheme="minorHAnsi" w:hAnsiTheme="minorHAnsi" w:cstheme="minorHAnsi"/>
          <w:sz w:val="22"/>
          <w:u w:val="single"/>
          <w:lang w:val="it-IT"/>
        </w:rPr>
        <w:t xml:space="preserve">Azioni: nonostante la correzione di marzo continua ad esserci valore nei titoli </w:t>
      </w:r>
      <w:proofErr w:type="spellStart"/>
      <w:r w:rsidRPr="00B75A33">
        <w:rPr>
          <w:rFonts w:asciiTheme="minorHAnsi" w:hAnsiTheme="minorHAnsi" w:cstheme="minorHAnsi"/>
          <w:sz w:val="22"/>
          <w:u w:val="single"/>
          <w:lang w:val="it-IT"/>
        </w:rPr>
        <w:t>value</w:t>
      </w:r>
      <w:proofErr w:type="spellEnd"/>
    </w:p>
    <w:p w14:paraId="269DC6DA" w14:textId="371EF572" w:rsidR="00B75A33" w:rsidRPr="009C182C" w:rsidRDefault="00B75A33" w:rsidP="00E6649C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34791">
        <w:rPr>
          <w:rFonts w:asciiTheme="minorHAnsi" w:hAnsiTheme="minorHAnsi" w:cstheme="minorHAnsi"/>
          <w:b/>
          <w:bCs/>
          <w:sz w:val="22"/>
          <w:lang w:val="it-IT"/>
        </w:rPr>
        <w:t xml:space="preserve">La convinzione che i tassi reali siano destinati a rimanere intorno all’1% per effetto del QT supporta anche la preferenza per l’investimento in titoli </w:t>
      </w:r>
      <w:proofErr w:type="spellStart"/>
      <w:r w:rsidRPr="00734791">
        <w:rPr>
          <w:rFonts w:asciiTheme="minorHAnsi" w:hAnsiTheme="minorHAnsi" w:cstheme="minorHAnsi"/>
          <w:b/>
          <w:bCs/>
          <w:sz w:val="22"/>
          <w:lang w:val="it-IT"/>
        </w:rPr>
        <w:t>value</w:t>
      </w:r>
      <w:proofErr w:type="spellEnd"/>
      <w:r w:rsidRPr="00734791">
        <w:rPr>
          <w:rFonts w:asciiTheme="minorHAnsi" w:hAnsiTheme="minorHAnsi" w:cstheme="minorHAnsi"/>
          <w:b/>
          <w:bCs/>
          <w:sz w:val="22"/>
          <w:lang w:val="it-IT"/>
        </w:rPr>
        <w:t xml:space="preserve"> rispetto a quelli </w:t>
      </w:r>
      <w:proofErr w:type="spellStart"/>
      <w:r w:rsidRPr="00734791">
        <w:rPr>
          <w:rFonts w:asciiTheme="minorHAnsi" w:hAnsiTheme="minorHAnsi" w:cstheme="minorHAnsi"/>
          <w:b/>
          <w:bCs/>
          <w:sz w:val="22"/>
          <w:lang w:val="it-IT"/>
        </w:rPr>
        <w:t>growth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. Questi ultimi, soprattutto negli Usa, hanno beneficiato fino al 2021 di condizioni di finanziamento </w:t>
      </w:r>
      <w:proofErr w:type="gramStart"/>
      <w:r w:rsidR="00781404" w:rsidRPr="00B75A33">
        <w:rPr>
          <w:rFonts w:asciiTheme="minorHAnsi" w:hAnsiTheme="minorHAnsi" w:cstheme="minorHAnsi"/>
          <w:sz w:val="22"/>
          <w:lang w:val="it-IT"/>
        </w:rPr>
        <w:t>ultra espansive</w:t>
      </w:r>
      <w:proofErr w:type="gramEnd"/>
      <w:r w:rsidRPr="00B75A33">
        <w:rPr>
          <w:rFonts w:asciiTheme="minorHAnsi" w:hAnsiTheme="minorHAnsi" w:cstheme="minorHAnsi"/>
          <w:sz w:val="22"/>
          <w:lang w:val="it-IT"/>
        </w:rPr>
        <w:t xml:space="preserve"> e sono quindi oggi </w:t>
      </w:r>
      <w:r w:rsidRPr="009C182C">
        <w:rPr>
          <w:rFonts w:asciiTheme="minorHAnsi" w:hAnsiTheme="minorHAnsi" w:cstheme="minorHAnsi"/>
          <w:b/>
          <w:bCs/>
          <w:sz w:val="22"/>
          <w:lang w:val="it-IT"/>
        </w:rPr>
        <w:t>sfavoriti dalla risalita dei tassi di interesse anche per gli elevati livelli di debito accumulato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. Non solo: </w:t>
      </w:r>
      <w:r w:rsidRPr="009C182C">
        <w:rPr>
          <w:rFonts w:asciiTheme="minorHAnsi" w:hAnsiTheme="minorHAnsi" w:cstheme="minorHAnsi"/>
          <w:b/>
          <w:bCs/>
          <w:sz w:val="22"/>
          <w:lang w:val="it-IT"/>
        </w:rPr>
        <w:t>lo spread</w:t>
      </w:r>
      <w:r w:rsidR="00781404">
        <w:rPr>
          <w:rFonts w:asciiTheme="minorHAnsi" w:hAnsiTheme="minorHAnsi" w:cstheme="minorHAnsi"/>
          <w:b/>
          <w:bCs/>
          <w:sz w:val="22"/>
          <w:lang w:val="it-IT"/>
        </w:rPr>
        <w:t xml:space="preserve"> di valutazion</w:t>
      </w:r>
      <w:r w:rsidR="00F41A06">
        <w:rPr>
          <w:rFonts w:asciiTheme="minorHAnsi" w:hAnsiTheme="minorHAnsi" w:cstheme="minorHAnsi"/>
          <w:b/>
          <w:bCs/>
          <w:sz w:val="22"/>
          <w:lang w:val="it-IT"/>
        </w:rPr>
        <w:t>e</w:t>
      </w:r>
      <w:r w:rsidRPr="009C182C">
        <w:rPr>
          <w:rFonts w:asciiTheme="minorHAnsi" w:hAnsiTheme="minorHAnsi" w:cstheme="minorHAnsi"/>
          <w:b/>
          <w:bCs/>
          <w:sz w:val="22"/>
          <w:lang w:val="it-IT"/>
        </w:rPr>
        <w:t xml:space="preserve"> fra </w:t>
      </w:r>
      <w:proofErr w:type="spellStart"/>
      <w:r w:rsidRPr="009C182C">
        <w:rPr>
          <w:rFonts w:asciiTheme="minorHAnsi" w:hAnsiTheme="minorHAnsi" w:cstheme="minorHAnsi"/>
          <w:b/>
          <w:bCs/>
          <w:sz w:val="22"/>
          <w:lang w:val="it-IT"/>
        </w:rPr>
        <w:t>value</w:t>
      </w:r>
      <w:proofErr w:type="spellEnd"/>
      <w:r w:rsidRPr="009C182C">
        <w:rPr>
          <w:rFonts w:asciiTheme="minorHAnsi" w:hAnsiTheme="minorHAnsi" w:cstheme="minorHAnsi"/>
          <w:b/>
          <w:bCs/>
          <w:sz w:val="22"/>
          <w:lang w:val="it-IT"/>
        </w:rPr>
        <w:t xml:space="preserve"> e </w:t>
      </w:r>
      <w:proofErr w:type="spellStart"/>
      <w:r w:rsidRPr="009C182C">
        <w:rPr>
          <w:rFonts w:asciiTheme="minorHAnsi" w:hAnsiTheme="minorHAnsi" w:cstheme="minorHAnsi"/>
          <w:b/>
          <w:bCs/>
          <w:sz w:val="22"/>
          <w:lang w:val="it-IT"/>
        </w:rPr>
        <w:t>growth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, nonostante le performance molto positive del </w:t>
      </w:r>
      <w:proofErr w:type="spellStart"/>
      <w:r w:rsidRPr="00B75A33">
        <w:rPr>
          <w:rFonts w:asciiTheme="minorHAnsi" w:hAnsiTheme="minorHAnsi" w:cstheme="minorHAnsi"/>
          <w:sz w:val="22"/>
          <w:lang w:val="it-IT"/>
        </w:rPr>
        <w:t>value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 nel 2022, </w:t>
      </w:r>
      <w:r w:rsidRPr="009C182C">
        <w:rPr>
          <w:rFonts w:asciiTheme="minorHAnsi" w:hAnsiTheme="minorHAnsi" w:cstheme="minorHAnsi"/>
          <w:b/>
          <w:bCs/>
          <w:sz w:val="22"/>
          <w:lang w:val="it-IT"/>
        </w:rPr>
        <w:t xml:space="preserve">è ancora oggi su livelli vicinissimi se non superiori a quelli raggiunti durante la bolla </w:t>
      </w:r>
      <w:proofErr w:type="spellStart"/>
      <w:r w:rsidRPr="009C182C">
        <w:rPr>
          <w:rFonts w:asciiTheme="minorHAnsi" w:hAnsiTheme="minorHAnsi" w:cstheme="minorHAnsi"/>
          <w:b/>
          <w:bCs/>
          <w:sz w:val="22"/>
          <w:lang w:val="it-IT"/>
        </w:rPr>
        <w:t>dotcom</w:t>
      </w:r>
      <w:proofErr w:type="spellEnd"/>
      <w:r w:rsidR="00F41A06">
        <w:rPr>
          <w:rFonts w:asciiTheme="minorHAnsi" w:hAnsiTheme="minorHAnsi" w:cstheme="minorHAnsi"/>
          <w:b/>
          <w:bCs/>
          <w:sz w:val="22"/>
          <w:lang w:val="it-IT"/>
        </w:rPr>
        <w:t>, indicando quindi una forte convenienza dei titoli più sottovalutati e trascurati dal mercato, rispetto a quelli le cui valutazioni scontano già crescita importante dei fondamentali.</w:t>
      </w:r>
    </w:p>
    <w:p w14:paraId="0DE25AD6" w14:textId="545A89DD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 xml:space="preserve">In un mondo normalizzato dove i tassi reali sono positivi e quelli nominali in risalita l’azionario è tornato ad essere guidato dalle valutazioni. Ed è ancora sulle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borse emergenti</w:t>
      </w:r>
      <w:r w:rsidR="00F41A06">
        <w:rPr>
          <w:rFonts w:asciiTheme="minorHAnsi" w:hAnsiTheme="minorHAnsi" w:cstheme="minorHAnsi"/>
          <w:b/>
          <w:bCs/>
          <w:sz w:val="22"/>
          <w:lang w:val="it-IT"/>
        </w:rPr>
        <w:t>,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 come </w:t>
      </w:r>
      <w:r w:rsidR="00F41A06">
        <w:rPr>
          <w:rFonts w:asciiTheme="minorHAnsi" w:hAnsiTheme="minorHAnsi" w:cstheme="minorHAnsi"/>
          <w:b/>
          <w:bCs/>
          <w:sz w:val="22"/>
          <w:lang w:val="it-IT"/>
        </w:rPr>
        <w:t xml:space="preserve">per esempio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quelle dell’America Latina</w:t>
      </w:r>
      <w:r w:rsidR="00F41A06">
        <w:rPr>
          <w:rFonts w:asciiTheme="minorHAnsi" w:hAnsiTheme="minorHAnsi" w:cstheme="minorHAnsi"/>
          <w:b/>
          <w:bCs/>
          <w:sz w:val="22"/>
          <w:lang w:val="it-IT"/>
        </w:rPr>
        <w:t>,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che si trova oggi </w:t>
      </w:r>
      <w:r w:rsidR="00781404">
        <w:rPr>
          <w:rFonts w:asciiTheme="minorHAnsi" w:hAnsiTheme="minorHAnsi" w:cstheme="minorHAnsi"/>
          <w:sz w:val="22"/>
          <w:lang w:val="it-IT"/>
        </w:rPr>
        <w:t xml:space="preserve">migliori opportunità di </w:t>
      </w:r>
      <w:r w:rsidRPr="00B75A33">
        <w:rPr>
          <w:rFonts w:asciiTheme="minorHAnsi" w:hAnsiTheme="minorHAnsi" w:cstheme="minorHAnsi"/>
          <w:sz w:val="22"/>
          <w:lang w:val="it-IT"/>
        </w:rPr>
        <w:t>rendimento</w:t>
      </w:r>
      <w:r w:rsidR="00781404">
        <w:rPr>
          <w:rFonts w:asciiTheme="minorHAnsi" w:hAnsiTheme="minorHAnsi" w:cstheme="minorHAnsi"/>
          <w:sz w:val="22"/>
          <w:lang w:val="it-IT"/>
        </w:rPr>
        <w:t>, buona qualità delle singole storie di stock picking</w:t>
      </w:r>
      <w:r w:rsidR="00F41A06">
        <w:rPr>
          <w:rFonts w:asciiTheme="minorHAnsi" w:hAnsiTheme="minorHAnsi" w:cstheme="minorHAnsi"/>
          <w:sz w:val="22"/>
          <w:lang w:val="it-IT"/>
        </w:rPr>
        <w:t xml:space="preserve"> </w:t>
      </w:r>
      <w:r w:rsidR="00781404">
        <w:rPr>
          <w:rFonts w:asciiTheme="minorHAnsi" w:hAnsiTheme="minorHAnsi" w:cstheme="minorHAnsi"/>
          <w:sz w:val="22"/>
          <w:lang w:val="it-IT"/>
        </w:rPr>
        <w:t xml:space="preserve">in presenza di 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valutazioni </w:t>
      </w:r>
      <w:r w:rsidR="00781404">
        <w:rPr>
          <w:rFonts w:asciiTheme="minorHAnsi" w:hAnsiTheme="minorHAnsi" w:cstheme="minorHAnsi"/>
          <w:sz w:val="22"/>
          <w:lang w:val="it-IT"/>
        </w:rPr>
        <w:t xml:space="preserve">particolarmente </w:t>
      </w:r>
      <w:r w:rsidRPr="00B75A33">
        <w:rPr>
          <w:rFonts w:asciiTheme="minorHAnsi" w:hAnsiTheme="minorHAnsi" w:cstheme="minorHAnsi"/>
          <w:sz w:val="22"/>
          <w:lang w:val="it-IT"/>
        </w:rPr>
        <w:t>interessanti.</w:t>
      </w:r>
    </w:p>
    <w:p w14:paraId="496DE941" w14:textId="64402FEE" w:rsidR="00B75A33" w:rsidRPr="00B75A33" w:rsidRDefault="00B75A33" w:rsidP="00E6649C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9C182C">
        <w:rPr>
          <w:rFonts w:asciiTheme="minorHAnsi" w:hAnsiTheme="minorHAnsi" w:cstheme="minorHAnsi"/>
          <w:b/>
          <w:bCs/>
          <w:sz w:val="22"/>
          <w:lang w:val="it-IT"/>
        </w:rPr>
        <w:t>I mercati emergenti</w:t>
      </w:r>
      <w:r w:rsidR="00C53D72">
        <w:rPr>
          <w:rFonts w:asciiTheme="minorHAnsi" w:hAnsiTheme="minorHAnsi" w:cstheme="minorHAnsi"/>
          <w:b/>
          <w:bCs/>
          <w:sz w:val="22"/>
          <w:lang w:val="it-IT"/>
        </w:rPr>
        <w:t xml:space="preserve">, </w:t>
      </w:r>
      <w:r w:rsidR="00781404">
        <w:rPr>
          <w:rFonts w:asciiTheme="minorHAnsi" w:hAnsiTheme="minorHAnsi" w:cstheme="minorHAnsi"/>
          <w:b/>
          <w:bCs/>
          <w:sz w:val="22"/>
          <w:lang w:val="it-IT"/>
        </w:rPr>
        <w:t>infatti, consentono di esporsi a una buona crescita attesa dell’economia, pur con valutazioni particolarmente “a sconto”</w:t>
      </w:r>
      <w:r w:rsidRPr="00B75A33">
        <w:rPr>
          <w:rFonts w:asciiTheme="minorHAnsi" w:hAnsiTheme="minorHAnsi" w:cstheme="minorHAnsi"/>
          <w:sz w:val="22"/>
          <w:lang w:val="it-IT"/>
        </w:rPr>
        <w:t>: per esempio oggi una crescita come quella dell’America Latina si paga un terzo del prezzo di quelle che sono state mediamente le valutazioni degli ultimi 15 anni.</w:t>
      </w:r>
      <w:r w:rsidR="009C182C">
        <w:rPr>
          <w:rFonts w:asciiTheme="minorHAnsi" w:hAnsiTheme="minorHAnsi" w:cstheme="minorHAnsi"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>In queste aree, come anche in Giappone, c’è anche una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percentuale di aziende net </w:t>
      </w:r>
      <w:proofErr w:type="gramStart"/>
      <w:r w:rsidRPr="00B75A33">
        <w:rPr>
          <w:rFonts w:asciiTheme="minorHAnsi" w:hAnsiTheme="minorHAnsi" w:cstheme="minorHAnsi"/>
          <w:b/>
          <w:bCs/>
          <w:sz w:val="22"/>
          <w:lang w:val="it-IT"/>
        </w:rPr>
        <w:t>cash</w:t>
      </w:r>
      <w:proofErr w:type="gramEnd"/>
      <w:r w:rsidRPr="00B75A33">
        <w:rPr>
          <w:rFonts w:asciiTheme="minorHAnsi" w:hAnsiTheme="minorHAnsi" w:cstheme="minorHAnsi"/>
          <w:b/>
          <w:bCs/>
          <w:sz w:val="22"/>
          <w:lang w:val="it-IT"/>
        </w:rPr>
        <w:t xml:space="preserve"> (con più liquidità che debito) che è cresciuta in maniera significativa rispetto a quanto avvenuto negli Stati Uniti e in Europa.</w:t>
      </w:r>
    </w:p>
    <w:p w14:paraId="189A5149" w14:textId="35AD8A0C" w:rsidR="00B75A33" w:rsidRPr="00B75A33" w:rsidRDefault="00B75A33" w:rsidP="00E6649C">
      <w:pPr>
        <w:jc w:val="both"/>
        <w:rPr>
          <w:rFonts w:asciiTheme="minorHAnsi" w:hAnsiTheme="minorHAnsi" w:cstheme="minorHAnsi"/>
          <w:sz w:val="22"/>
          <w:lang w:val="it-IT"/>
        </w:rPr>
      </w:pPr>
      <w:r w:rsidRPr="00B75A33">
        <w:rPr>
          <w:rFonts w:asciiTheme="minorHAnsi" w:hAnsiTheme="minorHAnsi" w:cstheme="minorHAnsi"/>
          <w:sz w:val="22"/>
          <w:lang w:val="it-IT"/>
        </w:rPr>
        <w:t>Più che sul fronte della crescita le aziende giapponesi sono interessanti dal punto di vista delle valutazioni (</w:t>
      </w:r>
      <w:proofErr w:type="spellStart"/>
      <w:r w:rsidRPr="00B75A33">
        <w:rPr>
          <w:rFonts w:asciiTheme="minorHAnsi" w:hAnsiTheme="minorHAnsi" w:cstheme="minorHAnsi"/>
          <w:sz w:val="22"/>
          <w:lang w:val="it-IT"/>
        </w:rPr>
        <w:t>enterprise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 w:rsidRPr="00B75A33">
        <w:rPr>
          <w:rFonts w:asciiTheme="minorHAnsi" w:hAnsiTheme="minorHAnsi" w:cstheme="minorHAnsi"/>
          <w:sz w:val="22"/>
          <w:lang w:val="it-IT"/>
        </w:rPr>
        <w:t>value</w:t>
      </w:r>
      <w:proofErr w:type="spellEnd"/>
      <w:r w:rsidRPr="00B75A33">
        <w:rPr>
          <w:rFonts w:asciiTheme="minorHAnsi" w:hAnsiTheme="minorHAnsi" w:cstheme="minorHAnsi"/>
          <w:sz w:val="22"/>
          <w:lang w:val="it-IT"/>
        </w:rPr>
        <w:t xml:space="preserve">/Ebitda di cinque volte rispetto a una media di 10) in presenza di un continuo impegno al miglioramento dell’efficienza sia finanziaria </w:t>
      </w:r>
      <w:r w:rsidR="009C182C">
        <w:rPr>
          <w:rFonts w:asciiTheme="minorHAnsi" w:hAnsiTheme="minorHAnsi" w:cstheme="minorHAnsi"/>
          <w:sz w:val="22"/>
          <w:lang w:val="it-IT"/>
        </w:rPr>
        <w:t>sia</w:t>
      </w:r>
      <w:r w:rsidR="009C182C"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r w:rsidRPr="00B75A33">
        <w:rPr>
          <w:rFonts w:asciiTheme="minorHAnsi" w:hAnsiTheme="minorHAnsi" w:cstheme="minorHAnsi"/>
          <w:sz w:val="22"/>
          <w:lang w:val="it-IT"/>
        </w:rPr>
        <w:t xml:space="preserve">di governance con l’obiettivo di chiudere il </w:t>
      </w:r>
      <w:proofErr w:type="gramStart"/>
      <w:r w:rsidRPr="00B75A33">
        <w:rPr>
          <w:rFonts w:asciiTheme="minorHAnsi" w:hAnsiTheme="minorHAnsi" w:cstheme="minorHAnsi"/>
          <w:sz w:val="22"/>
          <w:lang w:val="it-IT"/>
        </w:rPr>
        <w:t>gap</w:t>
      </w:r>
      <w:proofErr w:type="gramEnd"/>
      <w:r w:rsidRPr="00B75A33">
        <w:rPr>
          <w:rFonts w:asciiTheme="minorHAnsi" w:hAnsiTheme="minorHAnsi" w:cstheme="minorHAnsi"/>
          <w:sz w:val="22"/>
          <w:lang w:val="it-IT"/>
        </w:rPr>
        <w:t xml:space="preserve"> di competitività con le altre aziende mondiali. </w:t>
      </w:r>
    </w:p>
    <w:p w14:paraId="68DEF855" w14:textId="762AD3B6" w:rsidR="00B0581D" w:rsidRPr="00B75A33" w:rsidRDefault="009C182C" w:rsidP="00E6649C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745CFE">
        <w:rPr>
          <w:rFonts w:asciiTheme="minorHAnsi" w:hAnsiTheme="minorHAnsi" w:cstheme="minorHAnsi"/>
          <w:sz w:val="22"/>
          <w:lang w:val="it-IT"/>
        </w:rPr>
        <w:t xml:space="preserve">In un quadro, quindi, dove sembrano prevalere i mercati emergenti, </w:t>
      </w:r>
      <w:r w:rsidR="00B75A33" w:rsidRPr="00B75A33">
        <w:rPr>
          <w:rFonts w:asciiTheme="minorHAnsi" w:hAnsiTheme="minorHAnsi" w:cstheme="minorHAnsi"/>
          <w:b/>
          <w:bCs/>
          <w:sz w:val="22"/>
          <w:lang w:val="it-IT"/>
        </w:rPr>
        <w:t>anche l’Italia può regalare soddisfazioni con le sue PMI,</w:t>
      </w:r>
      <w:r w:rsidR="00B75A33" w:rsidRPr="00B75A33">
        <w:rPr>
          <w:rFonts w:asciiTheme="minorHAnsi" w:hAnsiTheme="minorHAnsi" w:cstheme="minorHAnsi"/>
          <w:sz w:val="22"/>
          <w:lang w:val="it-IT"/>
        </w:rPr>
        <w:t xml:space="preserve"> </w:t>
      </w:r>
      <w:r w:rsidR="00B75A33" w:rsidRPr="00B75A33">
        <w:rPr>
          <w:rFonts w:asciiTheme="minorHAnsi" w:hAnsiTheme="minorHAnsi" w:cstheme="minorHAnsi"/>
          <w:b/>
          <w:bCs/>
          <w:sz w:val="22"/>
          <w:lang w:val="it-IT"/>
        </w:rPr>
        <w:t>piccoli gioielli con potenzialità di crescita superiori a quelle del resto del mercato, bassi livelli di debito su Ebitda e valutazioni relative molto più a sconto rispetto a quelle di aziende del FTSE Mib</w:t>
      </w:r>
      <w:r w:rsidR="00B75A33" w:rsidRPr="00B75A33">
        <w:rPr>
          <w:rFonts w:asciiTheme="minorHAnsi" w:hAnsiTheme="minorHAnsi" w:cstheme="minorHAnsi"/>
          <w:sz w:val="22"/>
          <w:lang w:val="it-IT"/>
        </w:rPr>
        <w:t xml:space="preserve">. Le </w:t>
      </w:r>
      <w:r>
        <w:rPr>
          <w:rFonts w:asciiTheme="minorHAnsi" w:hAnsiTheme="minorHAnsi" w:cstheme="minorHAnsi"/>
          <w:sz w:val="22"/>
          <w:lang w:val="it-IT"/>
        </w:rPr>
        <w:t>B</w:t>
      </w:r>
      <w:r w:rsidR="00B75A33" w:rsidRPr="00B75A33">
        <w:rPr>
          <w:rFonts w:asciiTheme="minorHAnsi" w:hAnsiTheme="minorHAnsi" w:cstheme="minorHAnsi"/>
          <w:sz w:val="22"/>
          <w:lang w:val="it-IT"/>
        </w:rPr>
        <w:t>lue</w:t>
      </w:r>
      <w:r>
        <w:rPr>
          <w:rFonts w:asciiTheme="minorHAnsi" w:hAnsiTheme="minorHAnsi" w:cstheme="minorHAnsi"/>
          <w:sz w:val="22"/>
          <w:lang w:val="it-IT"/>
        </w:rPr>
        <w:t xml:space="preserve"> </w:t>
      </w:r>
      <w:r w:rsidR="00B75A33" w:rsidRPr="00B75A33">
        <w:rPr>
          <w:rFonts w:asciiTheme="minorHAnsi" w:hAnsiTheme="minorHAnsi" w:cstheme="minorHAnsi"/>
          <w:sz w:val="22"/>
          <w:lang w:val="it-IT"/>
        </w:rPr>
        <w:t xml:space="preserve">chip trattano infatti a 2,3 volte rispetto all’1,1 volte delle small </w:t>
      </w:r>
      <w:proofErr w:type="spellStart"/>
      <w:r w:rsidR="00B75A33" w:rsidRPr="00B75A33">
        <w:rPr>
          <w:rFonts w:asciiTheme="minorHAnsi" w:hAnsiTheme="minorHAnsi" w:cstheme="minorHAnsi"/>
          <w:sz w:val="22"/>
          <w:lang w:val="it-IT"/>
        </w:rPr>
        <w:t>cap</w:t>
      </w:r>
      <w:proofErr w:type="spellEnd"/>
      <w:r w:rsidR="00B75A33" w:rsidRPr="00B75A33">
        <w:rPr>
          <w:rFonts w:asciiTheme="minorHAnsi" w:hAnsiTheme="minorHAnsi" w:cstheme="minorHAnsi"/>
          <w:sz w:val="22"/>
          <w:lang w:val="it-IT"/>
        </w:rPr>
        <w:t xml:space="preserve"> 1,1, lo 0,8 volte delle mid</w:t>
      </w:r>
      <w:r w:rsidR="007220B5"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 w:rsidR="00B75A33" w:rsidRPr="00B75A33">
        <w:rPr>
          <w:rFonts w:asciiTheme="minorHAnsi" w:hAnsiTheme="minorHAnsi" w:cstheme="minorHAnsi"/>
          <w:sz w:val="22"/>
          <w:lang w:val="it-IT"/>
        </w:rPr>
        <w:t>cap</w:t>
      </w:r>
      <w:proofErr w:type="spellEnd"/>
      <w:r w:rsidR="00B75A33" w:rsidRPr="00B75A33">
        <w:rPr>
          <w:rFonts w:asciiTheme="minorHAnsi" w:hAnsiTheme="minorHAnsi" w:cstheme="minorHAnsi"/>
          <w:sz w:val="22"/>
          <w:lang w:val="it-IT"/>
        </w:rPr>
        <w:t xml:space="preserve"> e lo 0,6 volte del segmento Star.</w:t>
      </w:r>
    </w:p>
    <w:sectPr w:rsidR="00B0581D" w:rsidRPr="00B75A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9218" w14:textId="77777777" w:rsidR="002F6534" w:rsidRDefault="002F6534" w:rsidP="005342E7">
      <w:pPr>
        <w:spacing w:after="0" w:line="240" w:lineRule="auto"/>
      </w:pPr>
      <w:r>
        <w:separator/>
      </w:r>
    </w:p>
  </w:endnote>
  <w:endnote w:type="continuationSeparator" w:id="0">
    <w:p w14:paraId="29420C58" w14:textId="77777777" w:rsidR="002F6534" w:rsidRDefault="002F6534" w:rsidP="005342E7">
      <w:pPr>
        <w:spacing w:after="0" w:line="240" w:lineRule="auto"/>
      </w:pPr>
      <w:r>
        <w:continuationSeparator/>
      </w:r>
    </w:p>
  </w:endnote>
  <w:endnote w:type="continuationNotice" w:id="1">
    <w:p w14:paraId="67E31F17" w14:textId="77777777" w:rsidR="002F6534" w:rsidRDefault="002F6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6B29" w14:textId="77777777" w:rsidR="002F6534" w:rsidRDefault="002F6534" w:rsidP="005342E7">
      <w:pPr>
        <w:spacing w:after="0" w:line="240" w:lineRule="auto"/>
      </w:pPr>
      <w:r>
        <w:separator/>
      </w:r>
    </w:p>
  </w:footnote>
  <w:footnote w:type="continuationSeparator" w:id="0">
    <w:p w14:paraId="7A4546E9" w14:textId="77777777" w:rsidR="002F6534" w:rsidRDefault="002F6534" w:rsidP="005342E7">
      <w:pPr>
        <w:spacing w:after="0" w:line="240" w:lineRule="auto"/>
      </w:pPr>
      <w:r>
        <w:continuationSeparator/>
      </w:r>
    </w:p>
  </w:footnote>
  <w:footnote w:type="continuationNotice" w:id="1">
    <w:p w14:paraId="74A30E56" w14:textId="77777777" w:rsidR="002F6534" w:rsidRDefault="002F6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0" w15:restartNumberingAfterBreak="0">
    <w:nsid w:val="7099629B"/>
    <w:multiLevelType w:val="hybridMultilevel"/>
    <w:tmpl w:val="5DB44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00057608">
    <w:abstractNumId w:val="12"/>
  </w:num>
  <w:num w:numId="2" w16cid:durableId="916868335">
    <w:abstractNumId w:val="5"/>
  </w:num>
  <w:num w:numId="3" w16cid:durableId="792793211">
    <w:abstractNumId w:val="8"/>
  </w:num>
  <w:num w:numId="4" w16cid:durableId="1940067401">
    <w:abstractNumId w:val="2"/>
  </w:num>
  <w:num w:numId="5" w16cid:durableId="1331907599">
    <w:abstractNumId w:val="9"/>
  </w:num>
  <w:num w:numId="6" w16cid:durableId="1619488184">
    <w:abstractNumId w:val="1"/>
  </w:num>
  <w:num w:numId="7" w16cid:durableId="220680482">
    <w:abstractNumId w:val="0"/>
  </w:num>
  <w:num w:numId="8" w16cid:durableId="488208612">
    <w:abstractNumId w:val="4"/>
  </w:num>
  <w:num w:numId="9" w16cid:durableId="1692796518">
    <w:abstractNumId w:val="7"/>
  </w:num>
  <w:num w:numId="10" w16cid:durableId="340939038">
    <w:abstractNumId w:val="3"/>
  </w:num>
  <w:num w:numId="11" w16cid:durableId="634602575">
    <w:abstractNumId w:val="11"/>
  </w:num>
  <w:num w:numId="12" w16cid:durableId="2135978615">
    <w:abstractNumId w:val="6"/>
  </w:num>
  <w:num w:numId="13" w16cid:durableId="1669403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E90"/>
    <w:rsid w:val="000041AF"/>
    <w:rsid w:val="00010ACF"/>
    <w:rsid w:val="00011A99"/>
    <w:rsid w:val="0001524B"/>
    <w:rsid w:val="00020D90"/>
    <w:rsid w:val="00021500"/>
    <w:rsid w:val="0002469E"/>
    <w:rsid w:val="0002754C"/>
    <w:rsid w:val="00030CEA"/>
    <w:rsid w:val="000311AD"/>
    <w:rsid w:val="000321A2"/>
    <w:rsid w:val="0003634F"/>
    <w:rsid w:val="0003764C"/>
    <w:rsid w:val="0004604A"/>
    <w:rsid w:val="00052520"/>
    <w:rsid w:val="00056A9A"/>
    <w:rsid w:val="000645CD"/>
    <w:rsid w:val="00072D83"/>
    <w:rsid w:val="00080260"/>
    <w:rsid w:val="00084C18"/>
    <w:rsid w:val="000923FF"/>
    <w:rsid w:val="00097B53"/>
    <w:rsid w:val="000A02B0"/>
    <w:rsid w:val="000A18C1"/>
    <w:rsid w:val="000B3742"/>
    <w:rsid w:val="000B542A"/>
    <w:rsid w:val="000B664E"/>
    <w:rsid w:val="000C07BD"/>
    <w:rsid w:val="000C5FE9"/>
    <w:rsid w:val="000E3C11"/>
    <w:rsid w:val="000E3D36"/>
    <w:rsid w:val="000F4ECE"/>
    <w:rsid w:val="000F71A5"/>
    <w:rsid w:val="00101B1A"/>
    <w:rsid w:val="00104B99"/>
    <w:rsid w:val="001156B2"/>
    <w:rsid w:val="00123DF5"/>
    <w:rsid w:val="00125E14"/>
    <w:rsid w:val="00134D62"/>
    <w:rsid w:val="001439DA"/>
    <w:rsid w:val="00145788"/>
    <w:rsid w:val="001468C5"/>
    <w:rsid w:val="00152447"/>
    <w:rsid w:val="001561A8"/>
    <w:rsid w:val="00161DC9"/>
    <w:rsid w:val="00163220"/>
    <w:rsid w:val="001654D1"/>
    <w:rsid w:val="00171C5D"/>
    <w:rsid w:val="00176DD7"/>
    <w:rsid w:val="00184B84"/>
    <w:rsid w:val="00192C49"/>
    <w:rsid w:val="00193182"/>
    <w:rsid w:val="00197B9F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602F"/>
    <w:rsid w:val="0020090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60698"/>
    <w:rsid w:val="00261613"/>
    <w:rsid w:val="0026240B"/>
    <w:rsid w:val="00264884"/>
    <w:rsid w:val="00272C7C"/>
    <w:rsid w:val="00273351"/>
    <w:rsid w:val="00276B59"/>
    <w:rsid w:val="00276BF2"/>
    <w:rsid w:val="002867B4"/>
    <w:rsid w:val="00290E63"/>
    <w:rsid w:val="00292590"/>
    <w:rsid w:val="002A3112"/>
    <w:rsid w:val="002A4516"/>
    <w:rsid w:val="002B16DB"/>
    <w:rsid w:val="002C06CA"/>
    <w:rsid w:val="002C49E8"/>
    <w:rsid w:val="002D558A"/>
    <w:rsid w:val="002D706D"/>
    <w:rsid w:val="002D7AAF"/>
    <w:rsid w:val="002E156D"/>
    <w:rsid w:val="002E2007"/>
    <w:rsid w:val="002E24C8"/>
    <w:rsid w:val="002E38BC"/>
    <w:rsid w:val="002E7E4E"/>
    <w:rsid w:val="002F1612"/>
    <w:rsid w:val="002F1C9B"/>
    <w:rsid w:val="002F48F5"/>
    <w:rsid w:val="002F6534"/>
    <w:rsid w:val="003030C6"/>
    <w:rsid w:val="00303990"/>
    <w:rsid w:val="00306043"/>
    <w:rsid w:val="003179C6"/>
    <w:rsid w:val="00320C08"/>
    <w:rsid w:val="00333277"/>
    <w:rsid w:val="00333F32"/>
    <w:rsid w:val="00344EA1"/>
    <w:rsid w:val="0034734F"/>
    <w:rsid w:val="00350267"/>
    <w:rsid w:val="003551B1"/>
    <w:rsid w:val="003617C7"/>
    <w:rsid w:val="00367BBA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69B7"/>
    <w:rsid w:val="003F79F4"/>
    <w:rsid w:val="004039EC"/>
    <w:rsid w:val="0040428B"/>
    <w:rsid w:val="00405CA6"/>
    <w:rsid w:val="0041034B"/>
    <w:rsid w:val="00410FF4"/>
    <w:rsid w:val="004162F8"/>
    <w:rsid w:val="004175C2"/>
    <w:rsid w:val="00417B0D"/>
    <w:rsid w:val="00421F3A"/>
    <w:rsid w:val="0042652A"/>
    <w:rsid w:val="00426825"/>
    <w:rsid w:val="00427736"/>
    <w:rsid w:val="004364DB"/>
    <w:rsid w:val="00436A88"/>
    <w:rsid w:val="00441BEA"/>
    <w:rsid w:val="00446616"/>
    <w:rsid w:val="004523DF"/>
    <w:rsid w:val="00452F7F"/>
    <w:rsid w:val="00464844"/>
    <w:rsid w:val="0046590D"/>
    <w:rsid w:val="00467D2D"/>
    <w:rsid w:val="004712EF"/>
    <w:rsid w:val="0047658B"/>
    <w:rsid w:val="00476E94"/>
    <w:rsid w:val="004807FC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3754B"/>
    <w:rsid w:val="005440E5"/>
    <w:rsid w:val="00547114"/>
    <w:rsid w:val="00551746"/>
    <w:rsid w:val="00551941"/>
    <w:rsid w:val="005538A2"/>
    <w:rsid w:val="005648B4"/>
    <w:rsid w:val="005677FA"/>
    <w:rsid w:val="0057161B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26C9F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90CE6"/>
    <w:rsid w:val="00695FCA"/>
    <w:rsid w:val="006A455B"/>
    <w:rsid w:val="006A68A6"/>
    <w:rsid w:val="006B23BD"/>
    <w:rsid w:val="006B7CDA"/>
    <w:rsid w:val="006E1F03"/>
    <w:rsid w:val="006E5BCA"/>
    <w:rsid w:val="006E612E"/>
    <w:rsid w:val="006F164D"/>
    <w:rsid w:val="006F28EF"/>
    <w:rsid w:val="006F49CE"/>
    <w:rsid w:val="006F712B"/>
    <w:rsid w:val="0070013B"/>
    <w:rsid w:val="00701F28"/>
    <w:rsid w:val="007058A4"/>
    <w:rsid w:val="00716DA0"/>
    <w:rsid w:val="007173E5"/>
    <w:rsid w:val="00721673"/>
    <w:rsid w:val="007220B5"/>
    <w:rsid w:val="00726414"/>
    <w:rsid w:val="00734791"/>
    <w:rsid w:val="00735186"/>
    <w:rsid w:val="00743148"/>
    <w:rsid w:val="0074350C"/>
    <w:rsid w:val="00745CFE"/>
    <w:rsid w:val="00746343"/>
    <w:rsid w:val="00750D17"/>
    <w:rsid w:val="007673A3"/>
    <w:rsid w:val="00781404"/>
    <w:rsid w:val="00794B94"/>
    <w:rsid w:val="007A1D14"/>
    <w:rsid w:val="007A3BA7"/>
    <w:rsid w:val="007A6B21"/>
    <w:rsid w:val="007B644D"/>
    <w:rsid w:val="007B715F"/>
    <w:rsid w:val="007C01BB"/>
    <w:rsid w:val="007C57DF"/>
    <w:rsid w:val="007C7363"/>
    <w:rsid w:val="007D4B6F"/>
    <w:rsid w:val="007D6106"/>
    <w:rsid w:val="007E0B00"/>
    <w:rsid w:val="007E73BE"/>
    <w:rsid w:val="007F5760"/>
    <w:rsid w:val="007F6305"/>
    <w:rsid w:val="00800813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254D"/>
    <w:rsid w:val="00843C18"/>
    <w:rsid w:val="00845F43"/>
    <w:rsid w:val="00850775"/>
    <w:rsid w:val="00853F27"/>
    <w:rsid w:val="008541C2"/>
    <w:rsid w:val="00855622"/>
    <w:rsid w:val="008625F5"/>
    <w:rsid w:val="008633AE"/>
    <w:rsid w:val="008647A9"/>
    <w:rsid w:val="00870829"/>
    <w:rsid w:val="00871905"/>
    <w:rsid w:val="0087494C"/>
    <w:rsid w:val="00883BF9"/>
    <w:rsid w:val="00891A67"/>
    <w:rsid w:val="0089509C"/>
    <w:rsid w:val="008A1987"/>
    <w:rsid w:val="008A3B56"/>
    <w:rsid w:val="008A6760"/>
    <w:rsid w:val="008A6FCB"/>
    <w:rsid w:val="008B3B69"/>
    <w:rsid w:val="008B3E50"/>
    <w:rsid w:val="008B5AB3"/>
    <w:rsid w:val="008B7B83"/>
    <w:rsid w:val="008C089D"/>
    <w:rsid w:val="008C2637"/>
    <w:rsid w:val="008C3BE4"/>
    <w:rsid w:val="008D1CA5"/>
    <w:rsid w:val="008D43BF"/>
    <w:rsid w:val="008E301D"/>
    <w:rsid w:val="008E33B6"/>
    <w:rsid w:val="008E79B1"/>
    <w:rsid w:val="008F2B6E"/>
    <w:rsid w:val="00901A88"/>
    <w:rsid w:val="00901DB7"/>
    <w:rsid w:val="00904CFB"/>
    <w:rsid w:val="00912861"/>
    <w:rsid w:val="00913518"/>
    <w:rsid w:val="0092188E"/>
    <w:rsid w:val="0092232F"/>
    <w:rsid w:val="009334E5"/>
    <w:rsid w:val="00937A71"/>
    <w:rsid w:val="00942DB4"/>
    <w:rsid w:val="00944D3A"/>
    <w:rsid w:val="00946CD2"/>
    <w:rsid w:val="00954F04"/>
    <w:rsid w:val="009552C8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43E2"/>
    <w:rsid w:val="00997643"/>
    <w:rsid w:val="009979A8"/>
    <w:rsid w:val="009A2961"/>
    <w:rsid w:val="009A6215"/>
    <w:rsid w:val="009B2664"/>
    <w:rsid w:val="009B46BA"/>
    <w:rsid w:val="009B48BA"/>
    <w:rsid w:val="009C182C"/>
    <w:rsid w:val="009C4E7D"/>
    <w:rsid w:val="009C73E8"/>
    <w:rsid w:val="009D2D93"/>
    <w:rsid w:val="009D2E55"/>
    <w:rsid w:val="00A01B64"/>
    <w:rsid w:val="00A07B79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3335"/>
    <w:rsid w:val="00A52C17"/>
    <w:rsid w:val="00A54ECF"/>
    <w:rsid w:val="00A57A2D"/>
    <w:rsid w:val="00A606D2"/>
    <w:rsid w:val="00A628A1"/>
    <w:rsid w:val="00A62EC0"/>
    <w:rsid w:val="00A6521E"/>
    <w:rsid w:val="00A70E4F"/>
    <w:rsid w:val="00A71057"/>
    <w:rsid w:val="00A749E1"/>
    <w:rsid w:val="00A75147"/>
    <w:rsid w:val="00A81B68"/>
    <w:rsid w:val="00A83186"/>
    <w:rsid w:val="00A83B24"/>
    <w:rsid w:val="00A844F9"/>
    <w:rsid w:val="00A85C35"/>
    <w:rsid w:val="00A93955"/>
    <w:rsid w:val="00A94CE3"/>
    <w:rsid w:val="00AA4C36"/>
    <w:rsid w:val="00AB5A9F"/>
    <w:rsid w:val="00AC4F50"/>
    <w:rsid w:val="00AC6DA0"/>
    <w:rsid w:val="00AD0C9A"/>
    <w:rsid w:val="00AD14F8"/>
    <w:rsid w:val="00AD34E2"/>
    <w:rsid w:val="00AD685B"/>
    <w:rsid w:val="00AE0891"/>
    <w:rsid w:val="00AE6E8F"/>
    <w:rsid w:val="00AF68B1"/>
    <w:rsid w:val="00B024F2"/>
    <w:rsid w:val="00B0581D"/>
    <w:rsid w:val="00B15989"/>
    <w:rsid w:val="00B15D5A"/>
    <w:rsid w:val="00B230C4"/>
    <w:rsid w:val="00B23459"/>
    <w:rsid w:val="00B26C5F"/>
    <w:rsid w:val="00B3345F"/>
    <w:rsid w:val="00B343BF"/>
    <w:rsid w:val="00B359F9"/>
    <w:rsid w:val="00B3732C"/>
    <w:rsid w:val="00B3781B"/>
    <w:rsid w:val="00B54A84"/>
    <w:rsid w:val="00B54F81"/>
    <w:rsid w:val="00B57268"/>
    <w:rsid w:val="00B62910"/>
    <w:rsid w:val="00B65516"/>
    <w:rsid w:val="00B71743"/>
    <w:rsid w:val="00B75A33"/>
    <w:rsid w:val="00B75F13"/>
    <w:rsid w:val="00B82770"/>
    <w:rsid w:val="00B91210"/>
    <w:rsid w:val="00B91C12"/>
    <w:rsid w:val="00B92F86"/>
    <w:rsid w:val="00BA02DD"/>
    <w:rsid w:val="00BA1D2E"/>
    <w:rsid w:val="00BA2125"/>
    <w:rsid w:val="00BA5E85"/>
    <w:rsid w:val="00BB0789"/>
    <w:rsid w:val="00BC32D2"/>
    <w:rsid w:val="00BC37E5"/>
    <w:rsid w:val="00BC7FE8"/>
    <w:rsid w:val="00BD2F3E"/>
    <w:rsid w:val="00BD566C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53D72"/>
    <w:rsid w:val="00C624C5"/>
    <w:rsid w:val="00C645A4"/>
    <w:rsid w:val="00C74F2E"/>
    <w:rsid w:val="00C77B97"/>
    <w:rsid w:val="00C805F4"/>
    <w:rsid w:val="00C80C60"/>
    <w:rsid w:val="00C92E4D"/>
    <w:rsid w:val="00C945E6"/>
    <w:rsid w:val="00CA0FDA"/>
    <w:rsid w:val="00CA3851"/>
    <w:rsid w:val="00CA6C8F"/>
    <w:rsid w:val="00CB1F38"/>
    <w:rsid w:val="00CB1FE8"/>
    <w:rsid w:val="00CB6A0A"/>
    <w:rsid w:val="00CB78DD"/>
    <w:rsid w:val="00CC112C"/>
    <w:rsid w:val="00CC36C0"/>
    <w:rsid w:val="00CC5F10"/>
    <w:rsid w:val="00CC7993"/>
    <w:rsid w:val="00CD52AE"/>
    <w:rsid w:val="00CD5A84"/>
    <w:rsid w:val="00CD7BAE"/>
    <w:rsid w:val="00CE24A1"/>
    <w:rsid w:val="00CE2887"/>
    <w:rsid w:val="00CE2B86"/>
    <w:rsid w:val="00CE40A0"/>
    <w:rsid w:val="00CF317F"/>
    <w:rsid w:val="00D0314E"/>
    <w:rsid w:val="00D20396"/>
    <w:rsid w:val="00D440F8"/>
    <w:rsid w:val="00D44878"/>
    <w:rsid w:val="00D46CF4"/>
    <w:rsid w:val="00D564F2"/>
    <w:rsid w:val="00D57BBC"/>
    <w:rsid w:val="00D60037"/>
    <w:rsid w:val="00D63E2A"/>
    <w:rsid w:val="00D64EA8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29B0"/>
    <w:rsid w:val="00DC2E4D"/>
    <w:rsid w:val="00DC2F5D"/>
    <w:rsid w:val="00DD2523"/>
    <w:rsid w:val="00DD2D2F"/>
    <w:rsid w:val="00DD4337"/>
    <w:rsid w:val="00DE79C6"/>
    <w:rsid w:val="00DF0308"/>
    <w:rsid w:val="00DF16B2"/>
    <w:rsid w:val="00E019CA"/>
    <w:rsid w:val="00E02F3E"/>
    <w:rsid w:val="00E058E2"/>
    <w:rsid w:val="00E0759D"/>
    <w:rsid w:val="00E3193F"/>
    <w:rsid w:val="00E41125"/>
    <w:rsid w:val="00E465A4"/>
    <w:rsid w:val="00E65A87"/>
    <w:rsid w:val="00E6649C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E11CF"/>
    <w:rsid w:val="00EF1CE8"/>
    <w:rsid w:val="00EF3A8A"/>
    <w:rsid w:val="00EF5C29"/>
    <w:rsid w:val="00F00BD7"/>
    <w:rsid w:val="00F052DB"/>
    <w:rsid w:val="00F052EF"/>
    <w:rsid w:val="00F07FAC"/>
    <w:rsid w:val="00F16D52"/>
    <w:rsid w:val="00F24ABC"/>
    <w:rsid w:val="00F25D88"/>
    <w:rsid w:val="00F41A06"/>
    <w:rsid w:val="00F43979"/>
    <w:rsid w:val="00F45C36"/>
    <w:rsid w:val="00F4708D"/>
    <w:rsid w:val="00F52CFA"/>
    <w:rsid w:val="00F546CC"/>
    <w:rsid w:val="00F6039B"/>
    <w:rsid w:val="00F60E29"/>
    <w:rsid w:val="00F6425C"/>
    <w:rsid w:val="00F71FF3"/>
    <w:rsid w:val="00F7247A"/>
    <w:rsid w:val="00F8225D"/>
    <w:rsid w:val="00F909B1"/>
    <w:rsid w:val="00FA2EC3"/>
    <w:rsid w:val="00FA32A9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4</cp:revision>
  <cp:lastPrinted>2020-10-14T07:37:00Z</cp:lastPrinted>
  <dcterms:created xsi:type="dcterms:W3CDTF">2023-04-17T13:23:00Z</dcterms:created>
  <dcterms:modified xsi:type="dcterms:W3CDTF">2023-04-17T16:10:00Z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