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Roma, 6 aprile 2023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ACI: IN CRESCITA A MARZO IL MERCATO DELL</w:t>
      </w:r>
      <w:r>
        <w:rPr>
          <w:rFonts w:cs="Arial Unicode MS" w:eastAsia="Arial Unicode MS" w:hint="default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USATO 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MA LE RADIAZIONI REGISTRANO UN ENNESIMO CALO (-7,7%)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Segno pi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marzo per il mercato italiano dell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usato. 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delle autovetture al netto delle minivolture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(trasferimenti temporanei a nome del concessionario in attesa della rivendita al cliente finale) hanno messo a bilancio un incremento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8,5%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 marzo 2022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ogni 100 autovetture nuove ne sono state vendute 166 di seconda mano nel mese di marzo e 178 nel primo trimestre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mercato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usato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cede dunque progressivamente il passo a quello del nuovo, in netta crescita dallo scorso gennaio, dopo i notevoli risultati registrati nel corso del 2022.    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le motorizzazioni, a marzo sul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mercato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usato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sono ancora una volta 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alimentazioni tradizionali (gasolio e benzina)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mantenere le prime posizioni, ma le vetture ibride a benzina, che sul mercato del nuovo si confermano al primo posto con una quota mensile del 34,2%, registrano un aumento del 42,2% conquistando una quota del 4,7%. Da segnalare il notevole incremento delle auto a metano (+91,2%) a fronte di una pesante flessione delle propulsioni elettriche (-30,9%), ancora allo 0,5% di quota. Nelle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vetta alla classifica si confermano invece 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autovetture diesel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(53,5% di quota a marzo 2023, in aumento rispetto a marzo 2022, quando era il 52,6%), mentre 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incidenza delle ibride a benzina raggiunge il 5,9% e quella delle alimentazioni a gpl il 7,1%. Vetture che con tutta evidenza hanno ancora mercato sia da parte dei concessionari sia dei privati.  </w:t>
      </w:r>
    </w:p>
    <w:p>
      <w:pPr>
        <w:pStyle w:val="Normal.0"/>
        <w:spacing w:line="288" w:lineRule="auto"/>
        <w:jc w:val="both"/>
        <w:rPr>
          <w:sz w:val="22"/>
          <w:szCs w:val="22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Bilancio mensile positivo anche per i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passaggi di propriet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dei motocicli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che, al netto delle minivolture, hanno messo a segno a marzo un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incremento del 10,1%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allo stesso mese del 2022.</w:t>
      </w: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rtl w:val="0"/>
          <w:lang w:val="it-IT"/>
        </w:rPr>
        <w:t>N</w:t>
      </w:r>
      <w:r>
        <w:rPr>
          <w:rFonts w:ascii="Cambria" w:hAnsi="Cambria"/>
          <w:sz w:val="22"/>
          <w:szCs w:val="22"/>
          <w:rtl w:val="0"/>
          <w:lang w:val="it-IT"/>
        </w:rPr>
        <w:t>ei primi tre mesi del 2023 rispetto allo stesso periodo del 2022 i trasferimenti netti di propriet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à </w:t>
      </w:r>
      <w:r>
        <w:rPr>
          <w:rFonts w:ascii="Cambria" w:hAnsi="Cambria"/>
          <w:sz w:val="22"/>
          <w:szCs w:val="22"/>
          <w:rtl w:val="0"/>
          <w:lang w:val="it-IT"/>
        </w:rPr>
        <w:t>hanno archiviato incrementi del 6,1% per le autovetture, dell</w:t>
      </w:r>
      <w:r>
        <w:rPr>
          <w:rFonts w:ascii="Cambria" w:hAnsi="Cambria" w:hint="default"/>
          <w:sz w:val="22"/>
          <w:szCs w:val="22"/>
          <w:rtl w:val="0"/>
          <w:lang w:val="it-IT"/>
        </w:rPr>
        <w:t>’</w:t>
      </w:r>
      <w:r>
        <w:rPr>
          <w:rFonts w:ascii="Cambria" w:hAnsi="Cambria"/>
          <w:sz w:val="22"/>
          <w:szCs w:val="22"/>
          <w:rtl w:val="0"/>
          <w:lang w:val="it-IT"/>
        </w:rPr>
        <w:t>1,4% per i motocicli e del 5,3% per tutti i veicoli.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Nota dolente, anche per il mese di marzo, la costante frenata delle procedure di radiazione nel settore delle autovetture, cui corrisponde un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ennesima crescita del parco circolante italiano. Le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radiazioni delle quattro ruote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hanno evidenziato un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calo del 7,7% rispetto a marzo 2022,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con 92.170 pratiche (numero pi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basso negli ultimi 20 anni per il mese di marzo, se si esclude marzo 2020).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tasso unitario di sostituzione mensile si attesta pertanto a 0,54 (ogni 100 auto nuove ne sono state radiate 54), attestandosi complessivamente a 0,62 nel primo trimestre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terreno positivo, al contrario, 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radiazioni di motocicli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che vantano a marzo un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incremento del 3,7%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 mese 2022.</w:t>
      </w:r>
    </w:p>
    <w:p>
      <w:pPr>
        <w:pStyle w:val="Normal.0"/>
        <w:spacing w:line="288" w:lineRule="auto"/>
        <w:jc w:val="both"/>
        <w:rPr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it-IT"/>
        </w:rPr>
        <w:t>Da gennaio a marzo 2023 rispetto allo stesso periodo del 2022 le radiazioni hanno archiviato decrementi del 12,2% per le autovetture e del 10,4% per tutti i veicoli, con un aumento del 6,1% solo per i motocicli.</w:t>
      </w: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 E USATO A MARZO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1381"/>
        <w:gridCol w:w="1383"/>
        <w:gridCol w:w="993"/>
        <w:gridCol w:w="1382"/>
        <w:gridCol w:w="1383"/>
        <w:gridCol w:w="992"/>
      </w:tblGrid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80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80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99.829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92.170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-7,7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258.448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280.487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10.623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11.019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58.122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63.973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122.537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114.285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-6,7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362.307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392.324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 E USATO DA GENNAIO A MARZO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89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7"/>
        <w:gridCol w:w="1521"/>
        <w:gridCol w:w="1507"/>
        <w:gridCol w:w="964"/>
        <w:gridCol w:w="1506"/>
        <w:gridCol w:w="1524"/>
        <w:gridCol w:w="955"/>
      </w:tblGrid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91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91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52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296.009</w:t>
            </w:r>
          </w:p>
        </w:tc>
        <w:tc>
          <w:tcPr>
            <w:tcW w:type="dxa" w:w="150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259.886</w:t>
            </w:r>
          </w:p>
        </w:tc>
        <w:tc>
          <w:tcPr>
            <w:tcW w:type="dxa" w:w="96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-12,2</w:t>
            </w:r>
          </w:p>
        </w:tc>
        <w:tc>
          <w:tcPr>
            <w:tcW w:type="dxa" w:w="150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707.183</w:t>
            </w:r>
          </w:p>
        </w:tc>
        <w:tc>
          <w:tcPr>
            <w:tcW w:type="dxa" w:w="152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750.329</w:t>
            </w:r>
          </w:p>
        </w:tc>
        <w:tc>
          <w:tcPr>
            <w:tcW w:type="dxa" w:w="9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52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29.213</w:t>
            </w:r>
          </w:p>
        </w:tc>
        <w:tc>
          <w:tcPr>
            <w:tcW w:type="dxa" w:w="150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30.983</w:t>
            </w:r>
          </w:p>
        </w:tc>
        <w:tc>
          <w:tcPr>
            <w:tcW w:type="dxa" w:w="96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  <w:tc>
          <w:tcPr>
            <w:tcW w:type="dxa" w:w="150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139.752</w:t>
            </w:r>
          </w:p>
        </w:tc>
        <w:tc>
          <w:tcPr>
            <w:tcW w:type="dxa" w:w="152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141.664</w:t>
            </w:r>
          </w:p>
        </w:tc>
        <w:tc>
          <w:tcPr>
            <w:tcW w:type="dxa" w:w="9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1,4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52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358.030</w:t>
            </w:r>
          </w:p>
        </w:tc>
        <w:tc>
          <w:tcPr>
            <w:tcW w:type="dxa" w:w="150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320.723</w:t>
            </w:r>
          </w:p>
        </w:tc>
        <w:tc>
          <w:tcPr>
            <w:tcW w:type="dxa" w:w="96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-10,4</w:t>
            </w:r>
          </w:p>
        </w:tc>
        <w:tc>
          <w:tcPr>
            <w:tcW w:type="dxa" w:w="150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969.902</w:t>
            </w:r>
          </w:p>
        </w:tc>
        <w:tc>
          <w:tcPr>
            <w:tcW w:type="dxa" w:w="152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1.020.828</w:t>
            </w:r>
          </w:p>
        </w:tc>
        <w:tc>
          <w:tcPr>
            <w:tcW w:type="dxa" w:w="95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5,3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2023: RADIAZIONI AUTOVETTURE SECONDO LA CLASSE EURO (Val. %)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9"/>
        <w:gridCol w:w="596"/>
        <w:gridCol w:w="599"/>
        <w:gridCol w:w="597"/>
        <w:gridCol w:w="598"/>
        <w:gridCol w:w="598"/>
        <w:gridCol w:w="597"/>
        <w:gridCol w:w="599"/>
        <w:gridCol w:w="598"/>
        <w:gridCol w:w="597"/>
        <w:gridCol w:w="598"/>
        <w:gridCol w:w="598"/>
        <w:gridCol w:w="598"/>
        <w:gridCol w:w="800"/>
      </w:tblGrid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1,0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2,1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2,0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16,2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17,7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15,6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16,5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25,5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26,1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24,6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25,4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36,7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34,8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35,2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35,6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16,9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16,3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20,0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17,8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1,9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1,8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 PRIME ISCRIZIONI</w:t>
      </w:r>
      <w:r>
        <w:rPr>
          <w:rFonts w:cs="Arial Unicode MS" w:eastAsia="Arial Unicode MS" w:hint="default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–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33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1252"/>
        <w:gridCol w:w="1251"/>
        <w:gridCol w:w="1027"/>
        <w:gridCol w:w="1271"/>
        <w:gridCol w:w="1277"/>
        <w:gridCol w:w="1096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>MAR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>MAR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Var. %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37,2%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37,0%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37,1%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37,5%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47,5%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46,9%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48,2%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46,4%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91,2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0,3%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77,9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-30,9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-27,1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42,2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3,3%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52,9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73,3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77,6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31,6%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29,1%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-0,3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31,1%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29,3%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2,7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52,6%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53,5%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53,1%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53,1%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2,1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5,9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2,2%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-8,7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2,3%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-5,4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23,9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32,0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2,7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60,8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3,9%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5,8%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62,4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82,4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96,0</w:t>
            </w:r>
          </w:p>
        </w:tc>
      </w:tr>
    </w:tbl>
    <w:p>
      <w:pPr>
        <w:pStyle w:val="Normal.0"/>
        <w:widowControl w:val="0"/>
        <w:ind w:left="108" w:hanging="108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(Marzo 2023)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27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1120"/>
        <w:gridCol w:w="1120"/>
        <w:gridCol w:w="1123"/>
        <w:gridCol w:w="1120"/>
        <w:gridCol w:w="1120"/>
        <w:gridCol w:w="1124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36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3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739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-5,6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1.945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2.026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342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-6,6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1.055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292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996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960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2.838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3.092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730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18,1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1.672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3.772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2.822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9.822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10.850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254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872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335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848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8000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800000"/>
                  </w14:solidFill>
                </w14:textFill>
              </w:rPr>
              <w:t>PIEMONTE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800000"/>
                <w:sz w:val="24"/>
                <w:szCs w:val="24"/>
                <w:u w:color="800000"/>
                <w:shd w:val="nil" w:color="auto" w:fill="auto"/>
                <w:rtl w:val="0"/>
                <w:lang w:val="it-IT"/>
                <w14:textFill>
                  <w14:solidFill>
                    <w14:srgbClr w14:val="800000"/>
                  </w14:solidFill>
                </w14:textFill>
              </w:rPr>
              <w:t>7.670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800000"/>
                <w:sz w:val="24"/>
                <w:szCs w:val="24"/>
                <w:u w:color="800000"/>
                <w:shd w:val="nil" w:color="auto" w:fill="auto"/>
                <w:rtl w:val="0"/>
                <w:lang w:val="it-IT"/>
                <w14:textFill>
                  <w14:solidFill>
                    <w14:srgbClr w14:val="800000"/>
                  </w14:solidFill>
                </w14:textFill>
              </w:rPr>
              <w:t>6.474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800000"/>
                <w:sz w:val="24"/>
                <w:szCs w:val="24"/>
                <w:u w:color="800000"/>
                <w:shd w:val="nil" w:color="auto" w:fill="auto"/>
                <w:rtl w:val="0"/>
                <w:lang w:val="it-IT"/>
                <w14:textFill>
                  <w14:solidFill>
                    <w14:srgbClr w14:val="800000"/>
                  </w14:solidFill>
                </w14:textFill>
              </w:rPr>
              <w:t>-15,6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800000"/>
                <w:sz w:val="24"/>
                <w:szCs w:val="24"/>
                <w:u w:color="800000"/>
                <w:shd w:val="nil" w:color="auto" w:fill="auto"/>
                <w:rtl w:val="0"/>
                <w:lang w:val="it-IT"/>
                <w14:textFill>
                  <w14:solidFill>
                    <w14:srgbClr w14:val="800000"/>
                  </w14:solidFill>
                </w14:textFill>
              </w:rPr>
              <w:t>19.847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800000"/>
                <w:sz w:val="24"/>
                <w:szCs w:val="24"/>
                <w:u w:color="800000"/>
                <w:shd w:val="nil" w:color="auto" w:fill="auto"/>
                <w:rtl w:val="0"/>
                <w:lang w:val="it-IT"/>
                <w14:textFill>
                  <w14:solidFill>
                    <w14:srgbClr w14:val="800000"/>
                  </w14:solidFill>
                </w14:textFill>
              </w:rPr>
              <w:t>21.412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800000"/>
                <w:sz w:val="24"/>
                <w:szCs w:val="24"/>
                <w:u w:color="800000"/>
                <w:shd w:val="nil" w:color="auto" w:fill="auto"/>
                <w:rtl w:val="0"/>
                <w:lang w:val="it-IT"/>
                <w14:textFill>
                  <w14:solidFill>
                    <w14:srgbClr w14:val="8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239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668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239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-12,6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668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1.496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4.490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4.987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1.902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5.535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6.342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14,6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960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2.481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2.863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15,4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600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1.612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544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-9,1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1.444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-13,6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1.063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781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2.097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6.176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5.551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-10,1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12.014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12.378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1.176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-16,0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3.408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3.723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905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2.571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2.800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283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893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18,6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1.302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-15,3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3.799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4.009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17.613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15.913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-9,6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40.755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44.211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1.158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2.796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4.348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55,5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1.237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3.398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3.421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2.394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2.395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0,1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6.194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7.769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25,4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280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-5,5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3.758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4.143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417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1.077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3.541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3.898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1.272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3.079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3.298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1.621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4.080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4.516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1.584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3.630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3.966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8.452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8.198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19.942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21.852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9,6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688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17,2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1.448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919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1.044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-3,3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2.398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2.534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2.333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2.275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-2,5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5.244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5.590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1.058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3.013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3.274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271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-11,8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899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-3,1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241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-8,2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933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15,9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411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19,8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1.236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1.765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1.980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5.889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6.343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1.413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3.814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4.191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632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1.601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586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-4,5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1.841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1.121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3.287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3.564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-22,1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1.964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2.120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416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-14,4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1.371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727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-6,7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1.741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2.436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2.653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413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1.357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7.434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6.757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-9,1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18.961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20.438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outline w:val="0"/>
                <w:color w:val="0433ff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47.934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44.231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-7,7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117.460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128.282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453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-15,6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1.675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3.653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3.972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365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-20,1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1.114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441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-7,1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1.430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447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1.859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14,0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198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886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13,6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514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1.810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564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-6,5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1.567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14,9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280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-13,1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13,3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393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-5,5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1.376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15,0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5.752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5.188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-9,8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15.224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16.782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1.122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-9,5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3.056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3.433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-32,7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1.113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1.766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1.476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-16,4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4.084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4.545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11,3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721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1.900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2.119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310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-11,5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901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264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787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18,0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469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1.342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417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1.423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2.300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2.181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5.892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6.572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11,5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734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-9,3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2.339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2.640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822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-26,0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2.798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2.929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315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836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9.100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7.506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19.921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20.341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11.966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9.955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-16,8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27.453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28.510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3,9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3ff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21.784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18.800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-13,7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52.653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56.409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536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1.437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14,1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-9,0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1.794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16,8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432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485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1.495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2.087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2.003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5.475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6.169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241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-25,5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1.090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1.377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664,8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466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17,6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1.617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221,5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1.431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1.556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520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1.880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356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1.262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-11,6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3.852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4.498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16,8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4.075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3.898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11.448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12.569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1.238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4.676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5.090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7.681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7.188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-6,4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22.826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25.299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10,8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1.922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1.898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5.401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5.925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(Barletta Andria Trani)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529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1.796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599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-4,8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1.916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2.006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751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-19,3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2.955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3.133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1.450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1.295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3.351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3.589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658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-31,2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2.553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2.743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6.459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5.730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-11,3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17.888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19.192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887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421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-20,4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1.687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652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-18,6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2.378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2.575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-16,9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1.383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1.563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13,0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2.944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3.372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14,5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189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-15,0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705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490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-5,0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2.237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2.364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147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-15,8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684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2.278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2.022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-11,2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7.868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8.688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1.812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355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1.072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1.681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1.795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5.748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5.870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225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722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840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9,8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2.523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2.815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11,6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1.716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-5,1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5.002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5.393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494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1.578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1.739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663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1.934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2.068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789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2.020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2.117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7.429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7.538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1,5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22.386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23.609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614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2.089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2.268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339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-11,1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1.161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263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808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812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-9,3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2.404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2.659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362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-27,2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1.720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outlineLvl w:val="0"/>
            </w:pPr>
            <w:r>
              <w:rPr>
                <w:b w:val="0"/>
                <w:bCs w:val="0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1.812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2.873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2.389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-16,8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8.083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8.708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941100"/>
                <w:sz w:val="24"/>
                <w:szCs w:val="24"/>
                <w:u w:color="941100"/>
                <w:shd w:val="nil" w:color="auto" w:fill="auto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7,7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3ff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30.111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29.139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-3,2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88.335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95.796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outline w:val="0"/>
                <w:color w:val="0433ff"/>
                <w:sz w:val="24"/>
                <w:szCs w:val="24"/>
                <w:u w:color="0433ff"/>
                <w:shd w:val="nil" w:color="auto" w:fill="auto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8,4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95" w:hanging="59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