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5020" cy="88074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520" cy="880200"/>
                          <a:chOff x="0" y="-880920"/>
                          <a:chExt cx="794520" cy="88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4520" cy="88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760" y="13320"/>
                            <a:ext cx="765000" cy="8535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35pt;width:62.55pt;height:69.3pt" coordorigin="0,-1387" coordsize="1251,1386">
                <v:rect id="shape_0" path="m0,0l-2147483645,0l-2147483645,-2147483646l0,-2147483646xe" fillcolor="white" stroked="f" style="position:absolute;left:0;top:-1387;width:1250;height:1385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3;top:-1366;width:1204;height:1343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2880" cy="3302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320" cy="32400"/>
                          <a:chOff x="0" y="-33120"/>
                          <a:chExt cx="2722320" cy="32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2320" cy="3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2600" y="5760"/>
                            <a:ext cx="2696760" cy="216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6pt;width:214.35pt;height:2.55pt" coordorigin="0,-52" coordsize="4287,51">
                <v:rect id="shape_0" path="m0,0l-2147483645,0l-2147483645,-2147483646l0,-2147483646xe" fillcolor="white" stroked="f" style="position:absolute;left:0;top:-52;width:4286;height:50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0;top:-43;width:4246;height:33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>
          <w:rFonts w:ascii="Cambria" w:hAnsi="Cambria" w:eastAsia="Cambria" w:cs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  <w:bCs/>
          <w:outline w:val="false"/>
          <w:color w:val="000000"/>
          <w:kern w:val="2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:lang w:val="it-IT"/>
          <w14:textFill>
            <w14:solidFill>
              <w14:srgbClr w14:val="000000"/>
            </w14:solidFill>
          </w14:textFill>
        </w:rPr>
        <w:t>PRENDE AVVIO IN BIBLIOTECA COMUNALE “ADRIO PUCCINI” LA RASSEGNA</w:t>
      </w:r>
    </w:p>
    <w:p>
      <w:pPr>
        <w:pStyle w:val="Normal"/>
        <w:jc w:val="center"/>
        <w:rPr>
          <w:i/>
          <w:i/>
          <w:iCs/>
        </w:rPr>
      </w:pPr>
      <w:r>
        <w:rPr>
          <w:rFonts w:eastAsia="Cambria" w:cs="Cambria" w:ascii="Cambria" w:hAnsi="Cambria"/>
          <w:b/>
          <w:bCs/>
          <w:i/>
          <w:iCs/>
          <w:outline w:val="false"/>
          <w:color w:val="000000"/>
          <w:kern w:val="2"/>
          <w:sz w:val="28"/>
          <w:szCs w:val="28"/>
          <w:u w:val="none" w:color="000000"/>
          <w:lang w:val="it-IT"/>
          <w14:textFill>
            <w14:solidFill>
              <w14:srgbClr w14:val="000000"/>
            </w14:solidFill>
          </w14:textFill>
        </w:rPr>
        <w:t>STORIE DA GUSTARE</w:t>
      </w:r>
    </w:p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Comune di Santa Croce sull’Arno organizza per i mesi di aprile e maggio, la r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assegna di libri di autori del territorio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Storie da gustare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, evento che anticipa “Il Maggio dei Libri”, la campagna nazionale organizzata dal Centro del Libro e della Lettura, che invita a creare occasioni di incontro con i libri e la lettura per intercettare le persone che solitamente non leggono ma che possono essere incuriosite se stimolate nel modo giusto.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La rassegna si articola in quattro presentazioni di libri che si terranno all’interno della sala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Russo Parenti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della Biblioteca comunale di Santa Croce sull’Arno con il seguente programma: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- LUNEDÌ 3 APRILE ore 21:15  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camino di Santiago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di Fabiano Badalassi 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Presenta Pilade Cantini</w:t>
      </w:r>
    </w:p>
    <w:p>
      <w:pPr>
        <w:pStyle w:val="Normal"/>
        <w:jc w:val="both"/>
        <w:rPr>
          <w:rFonts w:ascii="Cambria" w:hAnsi="Cambria" w:eastAsia="Cambria" w:cs="Cambria"/>
          <w:i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Fabiano Badalassi, tra un turno alla Piaggio e il Ciak di un cortometraggio, scrive racconti con personaggi improbabili, con animali fantastici, con giochi di parole vertiginosi. Si muove su quel filo che rimanda a Italo Calvino da una parte e a Nino Frassica dall’altra.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Corpodeltesto"/>
        <w:spacing w:lineRule="auto" w:line="240" w:before="0" w:after="0"/>
        <w:rPr/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- LUNEDÌ 17 APRILE ore 21:15  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Equilibrio di felicità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di Cinzia Capuano</w:t>
      </w:r>
    </w:p>
    <w:p>
      <w:pPr>
        <w:pStyle w:val="Corpodeltesto"/>
        <w:spacing w:lineRule="auto" w:line="240" w:before="0" w:after="0"/>
        <w:rPr/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Presenta Grazia Chiarini</w:t>
      </w:r>
    </w:p>
    <w:p>
      <w:pPr>
        <w:pStyle w:val="Normal"/>
        <w:jc w:val="both"/>
        <w:rPr>
          <w:rFonts w:ascii="Cambria" w:hAnsi="Cambria" w:eastAsia="Cambria" w:cs="Cambria"/>
          <w:i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Equilibrio di felicità è il sequel di Viaggio di ritorno; la storia continua, ma i due romanzi sono indipendenti l’uno dall’altro. I temi e le ambientazioni cambiano, le storie dei personaggi si intrecciano. Al lettore la scelta se leggere prima l’antefatto e poi il sequel oppure viceversa.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- GIOVEDÌ 20 APRILE ore 17:30  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bidello, storie e stori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acce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della scuola d’oggi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di Giovanni Taddei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Presenta Andrea Mancini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Andrea Giuntini leggerà alcuni brani del libro</w:t>
      </w:r>
    </w:p>
    <w:p>
      <w:pPr>
        <w:pStyle w:val="Normal"/>
        <w:jc w:val="both"/>
        <w:rPr>
          <w:rFonts w:ascii="Cambria" w:hAnsi="Cambria" w:eastAsia="Cambria" w:cs="Cambria"/>
          <w:i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B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idello viene descritto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come un anziano aggressivo, scontento della vita, prigioniero di luoghi comuni,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diffidente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ma anche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razzista.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D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ietro il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suo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modo rude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di fare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,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però, il protagonista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nasconde caratteri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stiche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che appartengono ad un’altra Italia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e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riesce a riportare in superficie quei valori che non muoiono mai come la commozione, la solidarietà, la bontà di fondo.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- LUNEDÌ 2 MAGGIO ore 21:15  </w:t>
      </w:r>
      <w:r>
        <w:rPr>
          <w:rFonts w:eastAsia="Cambria" w:cs="Cambria" w:ascii="Cambria" w:hAnsi="Cambria"/>
          <w:b/>
          <w:b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Poesie di facili costumi (vent’anni dopo)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di Pilade Cantini e Giacomo Caramelli.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In occasione della presentazione sarà allestita la mostra fotografica “Frammenti di un Giorno Qualunque” di Veronica Bagni.</w:t>
      </w:r>
    </w:p>
    <w:p>
      <w:pPr>
        <w:pStyle w:val="Normal"/>
        <w:jc w:val="both"/>
        <w:rPr>
          <w:rFonts w:ascii="Cambria" w:hAnsi="Cambria" w:eastAsia="Cambria" w:cs="Cambria"/>
          <w:i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Pilade Cantini e Giacomo Caramelli nel 2002 hanno pubblicato per i tipi di Titivillus la raccolta “Poesie di facili costumi”. Negli ultimi vent’anni hanno continuato a scrivere poesie e questo libro è il risultato. Con una non-introduzione di Fulvio Abbate.</w:t>
      </w:r>
    </w:p>
    <w:p>
      <w:pPr>
        <w:pStyle w:val="Normal"/>
        <w:jc w:val="both"/>
        <w:rPr>
          <w:rFonts w:ascii="Cambria" w:hAnsi="Cambria" w:eastAsia="Cambria" w:cs="Cambria"/>
          <w:i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i/>
          <w:iCs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Ogni incontro sarà introdotto dall’assessora alle Politiche e istituzioni culturali Elisa Bertelli.</w:t>
      </w:r>
    </w:p>
    <w:p>
      <w:pPr>
        <w:pStyle w:val="Normal"/>
        <w:jc w:val="both"/>
        <w:rPr>
          <w:rFonts w:ascii="Cambria" w:hAnsi="Cambria" w:eastAsia="Cambria" w:cs="Cambria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Per la Sindaca Giulia Deidda: 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“Con </w:t>
      </w:r>
      <w:r>
        <w:rPr>
          <w:rFonts w:eastAsia="Cambria" w:cs="Cambria" w:ascii="Cambria" w:hAnsi="Cambria"/>
          <w:i/>
          <w:iCs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Storie da gustare</w:t>
      </w:r>
      <w:r>
        <w:rPr>
          <w:rFonts w:eastAsia="Cambria" w:cs="Cambria" w:ascii="Cambria" w:hAnsi="Cambria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ha inizio il programma di promozione della lettura che l’Amministrazione Comunale ha previsto per il 2023 continuando a proporre eventi e situazioni in cui mettere in circolo la cultura in tutte le sue forme possibili e immaginabili” continua Deidda: “Siamo quindi molto felici che la nostra Biblioteca Comunale continui ad essere un luogo ospitale e inclusivo per scrittori, lettori e appassionati perché siamo convinti che questa sia la strada più giusta e funzionale per far crescere la nostra comunità”.</w:t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Per informazioni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Mail: biblioteca@comune.santacroce.pi.it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Telefono: 0571 30642</w:t>
      </w:r>
      <w:r>
        <w:rPr>
          <w:rFonts w:eastAsia="Times New Roman" w:cs="Times New Roman"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-389850</w:t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31 marzo 2023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sull’Arno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Helvetica Neue">
    <w:charset w:val="01"/>
    <w:family w:val="roman"/>
    <w:pitch w:val="default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LibreOffice/7.1.7.2$Windows_X86_64 LibreOffice_project/c6a4e3954236145e2acb0b65f68614365aeee33f</Application>
  <AppVersion>15.0000</AppVersion>
  <Pages>2</Pages>
  <Words>526</Words>
  <Characters>2892</Characters>
  <CharactersWithSpaces>3406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2023-03-30T09:47:19Z</cp:lastPrinted>
  <dcterms:modified xsi:type="dcterms:W3CDTF">2023-03-31T15:12:52Z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