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AAAB" w14:textId="77777777" w:rsidR="005A7D9F" w:rsidRDefault="001436C9">
      <w:pPr>
        <w:spacing w:after="80"/>
        <w:ind w:left="-284" w:right="-228"/>
        <w:jc w:val="center"/>
        <w:rPr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Comunicato stampa</w:t>
      </w:r>
    </w:p>
    <w:p w14:paraId="2F14F371" w14:textId="0E9EBDE0" w:rsidR="005841BA" w:rsidRDefault="005841BA">
      <w:pPr>
        <w:spacing w:after="120"/>
        <w:ind w:left="-284" w:right="-2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1BA">
        <w:rPr>
          <w:rFonts w:ascii="Times New Roman" w:eastAsia="Times New Roman" w:hAnsi="Times New Roman" w:cs="Times New Roman"/>
          <w:b/>
          <w:sz w:val="28"/>
          <w:szCs w:val="28"/>
        </w:rPr>
        <w:t>GRANO DURO, NEL 2023 ATTES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841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OLTRE </w:t>
      </w:r>
      <w:r w:rsidRPr="005841BA">
        <w:rPr>
          <w:rFonts w:ascii="Times New Roman" w:eastAsia="Times New Roman" w:hAnsi="Times New Roman" w:cs="Times New Roman"/>
          <w:b/>
          <w:sz w:val="28"/>
          <w:szCs w:val="28"/>
        </w:rPr>
        <w:t>4 MLN DI TONNELLATE, IN AUMENTO DEL 12% GRAZIE A RESE PIÙ ALTE</w:t>
      </w:r>
    </w:p>
    <w:p w14:paraId="1E8B2C87" w14:textId="641522EF" w:rsidR="005A7D9F" w:rsidRDefault="001436C9">
      <w:pPr>
        <w:spacing w:after="120"/>
        <w:ind w:left="-284" w:right="-22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Sono i dati emersi dai DurumDays, l’evento che ha visto</w:t>
      </w:r>
      <w:r w:rsidR="005841BA">
        <w:rPr>
          <w:rFonts w:ascii="Times New Roman" w:eastAsia="Times New Roman" w:hAnsi="Times New Roman" w:cs="Times New Roman"/>
          <w:i/>
          <w:sz w:val="24"/>
          <w:szCs w:val="24"/>
        </w:rPr>
        <w:t xml:space="preserve"> oggi a Foggia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tutti i protagonisti della filiera </w:t>
      </w:r>
      <w:r w:rsidR="005841BA">
        <w:rPr>
          <w:rFonts w:ascii="Times New Roman" w:eastAsia="Times New Roman" w:hAnsi="Times New Roman" w:cs="Times New Roman"/>
          <w:i/>
          <w:sz w:val="24"/>
          <w:szCs w:val="24"/>
        </w:rPr>
        <w:t xml:space="preserve">riuniti per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fare il punto sulle previsioni del grano duro.</w:t>
      </w:r>
    </w:p>
    <w:p w14:paraId="5C37EB44" w14:textId="77777777" w:rsidR="005A7D9F" w:rsidRDefault="005A7D9F">
      <w:pPr>
        <w:spacing w:after="120"/>
        <w:ind w:left="-284" w:right="-228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84980B1" w14:textId="77777777" w:rsidR="005A7D9F" w:rsidRDefault="001436C9">
      <w:pPr>
        <w:spacing w:after="120"/>
        <w:ind w:left="-284" w:right="-228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Foggia, 17 maggio 2023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" w:eastAsia="Times" w:hAnsi="Times" w:cs="Times"/>
          <w:sz w:val="26"/>
          <w:szCs w:val="26"/>
        </w:rPr>
        <w:t>La produzione nazionale di grano duro in Italia dovrebbe attestarsi quest’anno, secondo le previsioni del CREA, sopra i 4 milioni di tonnellate, con un incremento di circa il 12% rispetto alla campagna precedente, dovuto a rese produttive più alte, con una tenuta sostanziale delle superfici. La coltivazione si presenta al momento in buone condizioni nei principali areali cerealicoli; pesa però l’incognita legata all’andamento meteorologico delle prossime settimane che potrebbe compromettere lo stato fitosanitario della coltura, e limitare la produzione finale.</w:t>
      </w:r>
    </w:p>
    <w:p w14:paraId="66DB0334" w14:textId="77777777" w:rsidR="005A7D9F" w:rsidRDefault="001436C9">
      <w:pPr>
        <w:spacing w:after="120"/>
        <w:ind w:left="-284" w:right="-228"/>
        <w:jc w:val="both"/>
      </w:pPr>
      <w:r>
        <w:rPr>
          <w:rFonts w:ascii="Times" w:eastAsia="Times" w:hAnsi="Times" w:cs="Times"/>
          <w:sz w:val="26"/>
          <w:szCs w:val="26"/>
        </w:rPr>
        <w:t xml:space="preserve">Sono queste le prime stime produttive del grano duro rese note oggi a Foggia nel corso dell’evento </w:t>
      </w:r>
      <w:r>
        <w:rPr>
          <w:rFonts w:ascii="Times" w:eastAsia="Times" w:hAnsi="Times" w:cs="Times"/>
          <w:b/>
          <w:i/>
          <w:sz w:val="26"/>
          <w:szCs w:val="26"/>
        </w:rPr>
        <w:t>DurumDays 2023</w:t>
      </w:r>
      <w:r>
        <w:rPr>
          <w:rFonts w:ascii="Times" w:eastAsia="Times" w:hAnsi="Times" w:cs="Times"/>
          <w:sz w:val="26"/>
          <w:szCs w:val="26"/>
        </w:rPr>
        <w:t>, che ogni anno chiama a confronto tutti gli attori della filiera per fare il punto sulle previsioni della campagna, al quale hanno partecipato i rappresentanti di Assosementi, Cia – Agricoltori italiani, Confagricoltura, Copagri, Alleanza Cooperative Agroalimentari, Compag, Italmopa, Unione Italiana Food e CREA, con Areté quale partner tecnico e la partecipazione in veste di sponsor di Syngenta.</w:t>
      </w:r>
    </w:p>
    <w:p w14:paraId="7B16DA39" w14:textId="15171879" w:rsidR="005A7D9F" w:rsidRDefault="001436C9">
      <w:pPr>
        <w:spacing w:after="120"/>
        <w:ind w:left="-284" w:right="-228"/>
        <w:jc w:val="both"/>
      </w:pPr>
      <w:r>
        <w:rPr>
          <w:rFonts w:ascii="Times" w:eastAsia="Times" w:hAnsi="Times" w:cs="Times"/>
          <w:sz w:val="26"/>
          <w:szCs w:val="26"/>
        </w:rPr>
        <w:t>Rispetto allo scenario produttivo mondiale, i dati resi noti da Areté, società di ricerca e consulenza specializzata nell’agri-food, attestano un sostanziale recupero produttivo nel corso del 2023 in Nord America (+5% in Canada e + 3% negli Usa), e una crescita produttiva del 5% in Europa.</w:t>
      </w:r>
    </w:p>
    <w:p w14:paraId="4CBE5B46" w14:textId="13C1A054" w:rsidR="005A7D9F" w:rsidRDefault="001436C9">
      <w:pPr>
        <w:spacing w:after="120"/>
        <w:ind w:left="-284" w:right="-228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La situazione delle scorte iniziali per la campagna 2023/24 è al minimo storico e ciò è un fattore potenzialmente di supporto ai prezzi rispetto ai livelli correnti. Rispetto ai prezzi, la campagna 2022/23 è stata contraddistinta da una riduzione generalizzata dei prezzi medi rispetto alla precedente (Canada, -19%, Usa -25%, Foggia -15%). </w:t>
      </w:r>
    </w:p>
    <w:p w14:paraId="3DC060A6" w14:textId="688B9F50" w:rsidR="005A7D9F" w:rsidRDefault="001436C9">
      <w:pPr>
        <w:spacing w:after="120"/>
        <w:ind w:left="-284" w:right="-228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Permangono tuttavia elementi che possono tornare a mettere in tensione i prezzi. Tra questi: il livello minimo di scorte, i volumi produttivi effettivi ancora dipendenti dal livello delle rese (sia in Europa che in N</w:t>
      </w:r>
      <w:r w:rsidR="005841BA">
        <w:rPr>
          <w:rFonts w:ascii="Times" w:eastAsia="Times" w:hAnsi="Times" w:cs="Times"/>
          <w:sz w:val="26"/>
          <w:szCs w:val="26"/>
        </w:rPr>
        <w:t xml:space="preserve">ord </w:t>
      </w:r>
      <w:r>
        <w:rPr>
          <w:rFonts w:ascii="Times" w:eastAsia="Times" w:hAnsi="Times" w:cs="Times"/>
          <w:sz w:val="26"/>
          <w:szCs w:val="26"/>
        </w:rPr>
        <w:t>America), così come la contrazione del premio di prezzo del frumento duro rispetto agli altri cereali, frumento tenero e mais, che aumenta le possibilità di trasmissione di tensioni da un mercato ad un altro.</w:t>
      </w:r>
    </w:p>
    <w:p w14:paraId="1848A071" w14:textId="77777777" w:rsidR="005A7D9F" w:rsidRDefault="001436C9">
      <w:pPr>
        <w:spacing w:after="120"/>
        <w:ind w:left="-284" w:right="-228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lastRenderedPageBreak/>
        <w:t>Inoltre le esportazioni canadesi hanno marciato a ritmi superiori a quelli necessari per raggiungere gli obiettivi di campagna, lasciando prefigurare un rallentamento dell’offerta nei prossimi mesi.</w:t>
      </w:r>
    </w:p>
    <w:p w14:paraId="353FC440" w14:textId="77777777" w:rsidR="005A7D9F" w:rsidRDefault="001436C9">
      <w:pPr>
        <w:spacing w:after="120"/>
        <w:ind w:left="-284" w:right="-228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In definitiva, permangono numerosi elementi potenzialmente in grado di rimettere in tensione i prezzi. Servirà almeno un’altra campagna di produzioni sostenute per riportare i mercati verso livelli di prezzo antecedenti allo shock del 2021/22.</w:t>
      </w:r>
    </w:p>
    <w:p w14:paraId="21D3F512" w14:textId="77777777" w:rsidR="00045F59" w:rsidRDefault="00045F59" w:rsidP="00045F59">
      <w:pPr>
        <w:spacing w:after="120"/>
        <w:ind w:left="-284" w:right="-228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Dal 2024 scatterà un ulteriore obbligo per ottenere l’aiuto accoppiato, ovvero quello di utilizzo di seme certificato. Secondo i dati elaborati dal</w:t>
      </w:r>
      <w:r w:rsidRPr="005841BA">
        <w:rPr>
          <w:rFonts w:ascii="Times" w:eastAsia="Times" w:hAnsi="Times" w:cs="Times"/>
          <w:sz w:val="26"/>
          <w:szCs w:val="26"/>
        </w:rPr>
        <w:t xml:space="preserve"> CREA</w:t>
      </w:r>
      <w:r>
        <w:rPr>
          <w:rFonts w:ascii="Times" w:eastAsia="Times" w:hAnsi="Times" w:cs="Times"/>
          <w:sz w:val="26"/>
          <w:szCs w:val="26"/>
        </w:rPr>
        <w:t xml:space="preserve">, le superfici </w:t>
      </w:r>
      <w:r w:rsidRPr="005841BA">
        <w:rPr>
          <w:rFonts w:ascii="Times" w:eastAsia="Times" w:hAnsi="Times" w:cs="Times"/>
          <w:sz w:val="26"/>
          <w:szCs w:val="26"/>
        </w:rPr>
        <w:t xml:space="preserve">soggette a controllo per la produzione di seme certificato di grano duro </w:t>
      </w:r>
      <w:r>
        <w:rPr>
          <w:rFonts w:ascii="Times" w:eastAsia="Times" w:hAnsi="Times" w:cs="Times"/>
          <w:sz w:val="26"/>
          <w:szCs w:val="26"/>
        </w:rPr>
        <w:t>sono</w:t>
      </w:r>
      <w:r w:rsidRPr="005841BA">
        <w:rPr>
          <w:rFonts w:ascii="Times" w:eastAsia="Times" w:hAnsi="Times" w:cs="Times"/>
          <w:sz w:val="26"/>
          <w:szCs w:val="26"/>
        </w:rPr>
        <w:t xml:space="preserve"> aument</w:t>
      </w:r>
      <w:r>
        <w:rPr>
          <w:rFonts w:ascii="Times" w:eastAsia="Times" w:hAnsi="Times" w:cs="Times"/>
          <w:sz w:val="26"/>
          <w:szCs w:val="26"/>
        </w:rPr>
        <w:t>ate</w:t>
      </w:r>
      <w:r w:rsidRPr="005841BA">
        <w:rPr>
          <w:rFonts w:ascii="Times" w:eastAsia="Times" w:hAnsi="Times" w:cs="Times"/>
          <w:sz w:val="26"/>
          <w:szCs w:val="26"/>
        </w:rPr>
        <w:t xml:space="preserve"> dell’8,5%</w:t>
      </w:r>
      <w:r>
        <w:rPr>
          <w:rFonts w:ascii="Times" w:eastAsia="Times" w:hAnsi="Times" w:cs="Times"/>
          <w:sz w:val="26"/>
          <w:szCs w:val="26"/>
        </w:rPr>
        <w:t>, passando</w:t>
      </w:r>
      <w:r w:rsidRPr="005841BA">
        <w:rPr>
          <w:rFonts w:ascii="Times" w:eastAsia="Times" w:hAnsi="Times" w:cs="Times"/>
          <w:sz w:val="26"/>
          <w:szCs w:val="26"/>
        </w:rPr>
        <w:t xml:space="preserve"> da 67.084 ettari del 2022 a 72.784 ettari di quest’anno, con una lenta, ma costante crescita negli ultimi cinque anni. </w:t>
      </w:r>
    </w:p>
    <w:p w14:paraId="6A58A3BD" w14:textId="77777777" w:rsidR="005A7D9F" w:rsidRDefault="001436C9">
      <w:pPr>
        <w:spacing w:after="0" w:line="240" w:lineRule="auto"/>
        <w:ind w:left="-284" w:right="-228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Rispetto agli scenari futuri della coltura del grano duro, i protagonisti della ricerca internazionale riuniti nel </w:t>
      </w:r>
      <w:r>
        <w:rPr>
          <w:rFonts w:ascii="Times" w:eastAsia="Times" w:hAnsi="Times" w:cs="Times"/>
          <w:i/>
          <w:sz w:val="26"/>
          <w:szCs w:val="26"/>
        </w:rPr>
        <w:t>Durum Science Workshop</w:t>
      </w:r>
      <w:r>
        <w:rPr>
          <w:rFonts w:ascii="Times" w:eastAsia="Times" w:hAnsi="Times" w:cs="Times"/>
          <w:sz w:val="26"/>
          <w:szCs w:val="26"/>
        </w:rPr>
        <w:t xml:space="preserve"> hanno indicato le strategie necessarie per mantenere elevati livelli produttivi e contrastare l’effetto dei cambiamenti climatici, individuate nelle tecniche di miglioramento genetico innovative e nello sfruttamento delle interazioni positive dei microrganismi con la pianta.</w:t>
      </w:r>
    </w:p>
    <w:p w14:paraId="658E775A" w14:textId="77777777" w:rsidR="005A7D9F" w:rsidRDefault="005A7D9F">
      <w:pPr>
        <w:spacing w:after="120"/>
        <w:ind w:left="-284" w:right="-228"/>
        <w:jc w:val="both"/>
        <w:rPr>
          <w:rFonts w:ascii="Times" w:eastAsia="Times" w:hAnsi="Times" w:cs="Times"/>
          <w:sz w:val="26"/>
          <w:szCs w:val="26"/>
        </w:rPr>
      </w:pPr>
    </w:p>
    <w:p w14:paraId="2585B4E7" w14:textId="77777777" w:rsidR="005A7D9F" w:rsidRDefault="005A7D9F">
      <w:pPr>
        <w:spacing w:after="120"/>
        <w:ind w:left="-284" w:right="-2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9C967" w14:textId="77777777" w:rsidR="005A7D9F" w:rsidRDefault="001436C9">
      <w:pPr>
        <w:spacing w:after="0" w:line="240" w:lineRule="auto"/>
        <w:ind w:left="-284" w:right="-2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14:paraId="7C3032D4" w14:textId="77777777" w:rsidR="005A7D9F" w:rsidRDefault="001436C9">
      <w:pPr>
        <w:spacing w:after="0" w:line="240" w:lineRule="auto"/>
        <w:ind w:left="-284" w:right="-2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Ufficio stampa</w:t>
      </w:r>
    </w:p>
    <w:p w14:paraId="601AFAFB" w14:textId="77777777" w:rsidR="005A7D9F" w:rsidRDefault="001436C9">
      <w:pPr>
        <w:spacing w:after="0" w:line="240" w:lineRule="auto"/>
        <w:ind w:left="-284" w:right="-22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Alina Fiordellisi </w:t>
      </w:r>
    </w:p>
    <w:p w14:paraId="061B54B7" w14:textId="77777777" w:rsidR="005A7D9F" w:rsidRDefault="00282ED1">
      <w:pPr>
        <w:spacing w:after="0" w:line="240" w:lineRule="auto"/>
        <w:ind w:left="-284" w:right="-22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1436C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fiordellisi.a@confcooperative.it</w:t>
        </w:r>
      </w:hyperlink>
      <w:r w:rsidR="0014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8DA8AD" w14:textId="77777777" w:rsidR="005A7D9F" w:rsidRDefault="001436C9">
      <w:pPr>
        <w:spacing w:after="0" w:line="240" w:lineRule="auto"/>
        <w:ind w:left="-284" w:right="-2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3803996627</w:t>
      </w:r>
    </w:p>
    <w:sectPr w:rsidR="005A7D9F">
      <w:headerReference w:type="default" r:id="rId8"/>
      <w:footerReference w:type="default" r:id="rId9"/>
      <w:pgSz w:w="11906" w:h="16838"/>
      <w:pgMar w:top="2552" w:right="1531" w:bottom="1276" w:left="1531" w:header="709" w:footer="11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33A1" w14:textId="77777777" w:rsidR="001436C9" w:rsidRDefault="001436C9">
      <w:pPr>
        <w:spacing w:after="0" w:line="240" w:lineRule="auto"/>
      </w:pPr>
      <w:r>
        <w:separator/>
      </w:r>
    </w:p>
  </w:endnote>
  <w:endnote w:type="continuationSeparator" w:id="0">
    <w:p w14:paraId="42F2DB60" w14:textId="77777777" w:rsidR="001436C9" w:rsidRDefault="0014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6960" w14:textId="77777777" w:rsidR="005A7D9F" w:rsidRDefault="00143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33F6D8F" wp14:editId="035ACC1D">
          <wp:extent cx="5615940" cy="868045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68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B994" w14:textId="77777777" w:rsidR="001436C9" w:rsidRDefault="001436C9">
      <w:pPr>
        <w:spacing w:after="0" w:line="240" w:lineRule="auto"/>
      </w:pPr>
      <w:r>
        <w:separator/>
      </w:r>
    </w:p>
  </w:footnote>
  <w:footnote w:type="continuationSeparator" w:id="0">
    <w:p w14:paraId="1A3FDB4B" w14:textId="77777777" w:rsidR="001436C9" w:rsidRDefault="0014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0D20" w14:textId="77777777" w:rsidR="005A7D9F" w:rsidRDefault="005A7D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62BE6AC0" w14:textId="77777777" w:rsidR="005A7D9F" w:rsidRDefault="00143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5DA9D4" wp14:editId="3E490B33">
          <wp:extent cx="2863850" cy="673100"/>
          <wp:effectExtent l="0" t="0" r="0" b="0"/>
          <wp:docPr id="19" name="image1.png" descr="DurumDay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urumDay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9F"/>
    <w:rsid w:val="00045F59"/>
    <w:rsid w:val="001436C9"/>
    <w:rsid w:val="00282ED1"/>
    <w:rsid w:val="005841BA"/>
    <w:rsid w:val="005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03A7"/>
  <w15:docId w15:val="{D942A439-ECA1-4BC4-B956-E768D8D5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8B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2B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e"/>
    <w:rsid w:val="00D63E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C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2473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1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AB9"/>
  </w:style>
  <w:style w:type="paragraph" w:styleId="Pidipagina">
    <w:name w:val="footer"/>
    <w:basedOn w:val="Normale"/>
    <w:link w:val="PidipaginaCarattere"/>
    <w:uiPriority w:val="99"/>
    <w:unhideWhenUsed/>
    <w:rsid w:val="00D21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AB9"/>
  </w:style>
  <w:style w:type="character" w:customStyle="1" w:styleId="apple-converted-space">
    <w:name w:val="apple-converted-space"/>
    <w:basedOn w:val="Carpredefinitoparagrafo"/>
    <w:rsid w:val="005C6523"/>
  </w:style>
  <w:style w:type="paragraph" w:styleId="Revisione">
    <w:name w:val="Revision"/>
    <w:hidden/>
    <w:uiPriority w:val="99"/>
    <w:semiHidden/>
    <w:rsid w:val="00AB2723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ordellisi.a@confcooperativ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WHt1sv0yHW47X9kV45rrpfUplw==">AMUW2mUMlNT66v2siKKe2MWmTElmWO5b5KhjdV9G/stUY1yQEPdn7cK2Rm0NjCH0giP1DaQOGbmBKil++mEhI65tMLG3aQGrA8btGI+x05Ii3ecWKFW+Uge+jmjpREfyTEj3AtOT7Dyd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LENUCCI</dc:creator>
  <cp:lastModifiedBy>Micaela Conterio (CREA-US)</cp:lastModifiedBy>
  <cp:revision>2</cp:revision>
  <dcterms:created xsi:type="dcterms:W3CDTF">2023-05-17T09:57:00Z</dcterms:created>
  <dcterms:modified xsi:type="dcterms:W3CDTF">2023-05-17T09:57:00Z</dcterms:modified>
</cp:coreProperties>
</file>