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64C3" w14:textId="109EDE35" w:rsidR="00D83845" w:rsidRPr="003A24DA" w:rsidRDefault="003A24DA" w:rsidP="00C9565C">
      <w:pPr>
        <w:spacing w:after="120" w:line="264" w:lineRule="auto"/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Schroders – Sud</w:t>
      </w:r>
      <w:r w:rsidR="00A04BC6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a</w:t>
      </w: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frica: </w:t>
      </w:r>
      <w:r w:rsidR="00D83845" w:rsidRPr="003A24DA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ci sono buone ragioni per essere </w:t>
      </w:r>
      <w:r w:rsidR="00EC3B3F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ottimisti</w:t>
      </w:r>
      <w:r w:rsidR="00EC3B3F" w:rsidRPr="003A24DA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</w:t>
      </w:r>
    </w:p>
    <w:p w14:paraId="4A4967B0" w14:textId="7EAE64DB" w:rsidR="00D83845" w:rsidRPr="003A24DA" w:rsidRDefault="00D83845" w:rsidP="00C9565C">
      <w:pPr>
        <w:spacing w:after="120" w:line="264" w:lineRule="auto"/>
        <w:rPr>
          <w:rFonts w:ascii="Calibri" w:hAnsi="Calibri" w:cs="Calibri"/>
          <w:b/>
          <w:bCs/>
          <w:sz w:val="22"/>
          <w:szCs w:val="22"/>
        </w:rPr>
      </w:pPr>
      <w:r w:rsidRPr="003A24DA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3A24DA">
        <w:rPr>
          <w:rFonts w:ascii="Calibri" w:hAnsi="Calibri" w:cs="Calibri"/>
          <w:sz w:val="22"/>
          <w:szCs w:val="22"/>
        </w:rPr>
        <w:t>cura</w:t>
      </w:r>
      <w:proofErr w:type="spellEnd"/>
      <w:r w:rsidRPr="003A24DA">
        <w:rPr>
          <w:rFonts w:ascii="Calibri" w:hAnsi="Calibri" w:cs="Calibri"/>
          <w:sz w:val="22"/>
          <w:szCs w:val="22"/>
        </w:rPr>
        <w:t xml:space="preserve"> di</w:t>
      </w:r>
      <w:r w:rsidRPr="003A24DA">
        <w:rPr>
          <w:rFonts w:ascii="Calibri" w:hAnsi="Calibri" w:cs="Calibri"/>
          <w:b/>
          <w:bCs/>
          <w:sz w:val="22"/>
          <w:szCs w:val="22"/>
        </w:rPr>
        <w:t xml:space="preserve"> Robert Davy, Emerging Market Equities Fund Manager,</w:t>
      </w:r>
      <w:r w:rsidRPr="003A24DA">
        <w:rPr>
          <w:rFonts w:ascii="Calibri" w:hAnsi="Calibri" w:cs="Calibri"/>
          <w:sz w:val="22"/>
          <w:szCs w:val="22"/>
        </w:rPr>
        <w:t xml:space="preserve"> e </w:t>
      </w:r>
      <w:r w:rsidRPr="003A24DA">
        <w:rPr>
          <w:rFonts w:ascii="Calibri" w:hAnsi="Calibri" w:cs="Calibri"/>
          <w:b/>
          <w:bCs/>
          <w:sz w:val="22"/>
          <w:szCs w:val="22"/>
        </w:rPr>
        <w:t xml:space="preserve">Andrew </w:t>
      </w:r>
      <w:proofErr w:type="spellStart"/>
      <w:r w:rsidRPr="003A24DA">
        <w:rPr>
          <w:rFonts w:ascii="Calibri" w:hAnsi="Calibri" w:cs="Calibri"/>
          <w:b/>
          <w:bCs/>
          <w:sz w:val="22"/>
          <w:szCs w:val="22"/>
        </w:rPr>
        <w:t>Rymer</w:t>
      </w:r>
      <w:proofErr w:type="spellEnd"/>
      <w:r w:rsidRPr="003A24DA">
        <w:rPr>
          <w:rFonts w:ascii="Calibri" w:hAnsi="Calibri" w:cs="Calibri"/>
          <w:b/>
          <w:bCs/>
          <w:sz w:val="22"/>
          <w:szCs w:val="22"/>
        </w:rPr>
        <w:t>, CFA Senior Strategist, Strategic Research Unit, Schroders</w:t>
      </w:r>
    </w:p>
    <w:p w14:paraId="40409175" w14:textId="56829940" w:rsidR="00750403" w:rsidRPr="003A24DA" w:rsidRDefault="00750403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L’economia sudafricana deve affrontare una serie di sfide strutturali e la necessità di riforme è più urgente che mai.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La crisi energetica si sta facendo sempre più grave</w:t>
      </w:r>
      <w:r w:rsidR="005E7B19">
        <w:rPr>
          <w:rFonts w:ascii="Calibri" w:hAnsi="Calibri" w:cs="Calibri"/>
          <w:sz w:val="22"/>
          <w:szCs w:val="22"/>
          <w:lang w:val="it-IT"/>
        </w:rPr>
        <w:t xml:space="preserve"> e a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i problemi strutturali di lungo periodo si aggiunge il rallentamento del quadro ciclico dell’economia. I prezzi delle materie prime sono in calo a causa del deterioramento del contesto esterno, mentre la domanda interna rimane debole, ostacolata dalla carenza di energia e dall’aumento dell’inflazione e dei tassi di interesse. In questo contesto,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le società di diversi settori hanno annunciato una riduzione degli utili</w:t>
      </w:r>
      <w:r w:rsidRPr="003A24DA">
        <w:rPr>
          <w:rFonts w:ascii="Calibri" w:hAnsi="Calibri" w:cs="Calibri"/>
          <w:sz w:val="22"/>
          <w:szCs w:val="22"/>
          <w:lang w:val="it-IT"/>
        </w:rPr>
        <w:t>.</w:t>
      </w:r>
      <w:r w:rsidR="0009189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Nonostante questo scenario cupo, riteniamo che ci siano buone ragioni per essere positivi nei confronti del Sudafrica</w:t>
      </w:r>
      <w:r w:rsidRPr="003A24DA">
        <w:rPr>
          <w:rFonts w:ascii="Calibri" w:hAnsi="Calibri" w:cs="Calibri"/>
          <w:sz w:val="22"/>
          <w:szCs w:val="22"/>
          <w:lang w:val="it-IT"/>
        </w:rPr>
        <w:t>.</w:t>
      </w:r>
    </w:p>
    <w:p w14:paraId="27211E15" w14:textId="77777777" w:rsidR="00750403" w:rsidRPr="003A24DA" w:rsidRDefault="00750403" w:rsidP="00C9565C">
      <w:pPr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 w:rsidRPr="003A24DA">
        <w:rPr>
          <w:rFonts w:ascii="Calibri" w:hAnsi="Calibri" w:cs="Calibri"/>
          <w:sz w:val="22"/>
          <w:szCs w:val="22"/>
          <w:u w:val="single"/>
          <w:lang w:val="it-IT"/>
        </w:rPr>
        <w:t>Guardare oltre le deboli prospettive di crescita per il 2023</w:t>
      </w:r>
    </w:p>
    <w:p w14:paraId="78A6E8FF" w14:textId="71ED288F" w:rsidR="00B96766" w:rsidRPr="003A24DA" w:rsidRDefault="00B96766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La crescita del P</w:t>
      </w:r>
      <w:r w:rsidR="003A24DA" w:rsidRPr="00C9565C">
        <w:rPr>
          <w:rFonts w:ascii="Calibri" w:hAnsi="Calibri" w:cs="Calibri"/>
          <w:b/>
          <w:bCs/>
          <w:sz w:val="22"/>
          <w:szCs w:val="22"/>
          <w:lang w:val="it-IT"/>
        </w:rPr>
        <w:t>il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 per il quarto trimestre del 2022, resa nota a marzo, è rallentata più bruscamente del previsto, scendendo allo 0,9% su base annua</w:t>
      </w:r>
      <w:r w:rsidRPr="003A24DA">
        <w:rPr>
          <w:rFonts w:ascii="Calibri" w:hAnsi="Calibri" w:cs="Calibri"/>
          <w:sz w:val="22"/>
          <w:szCs w:val="22"/>
          <w:lang w:val="it-IT"/>
        </w:rPr>
        <w:t>. Su base trimestrale, il P</w:t>
      </w:r>
      <w:r w:rsidR="003A24DA">
        <w:rPr>
          <w:rFonts w:ascii="Calibri" w:hAnsi="Calibri" w:cs="Calibri"/>
          <w:sz w:val="22"/>
          <w:szCs w:val="22"/>
          <w:lang w:val="it-IT"/>
        </w:rPr>
        <w:t>il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è sceso del</w:t>
      </w:r>
      <w:r w:rsidR="005E7B19">
        <w:rPr>
          <w:rFonts w:ascii="Calibri" w:hAnsi="Calibri" w:cs="Calibri"/>
          <w:sz w:val="22"/>
          <w:szCs w:val="22"/>
          <w:lang w:val="it-IT"/>
        </w:rPr>
        <w:t>’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1,3%. L’aumento dei blackout nel periodo, dovuto al deterioramento della situazione elettrica, ha pesato sull’attività in generale. </w:t>
      </w:r>
    </w:p>
    <w:p w14:paraId="364576F9" w14:textId="740F8EA3" w:rsidR="00B96766" w:rsidRPr="003A24DA" w:rsidRDefault="00B96766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Le aspettative di crescita del P</w:t>
      </w:r>
      <w:r w:rsidR="003A24DA" w:rsidRPr="00C9565C">
        <w:rPr>
          <w:rFonts w:ascii="Calibri" w:hAnsi="Calibri" w:cs="Calibri"/>
          <w:b/>
          <w:bCs/>
          <w:sz w:val="22"/>
          <w:szCs w:val="22"/>
          <w:lang w:val="it-IT"/>
        </w:rPr>
        <w:t>il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 per quest’anno sono ora inferiori all’1%,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e l’energia elettrica è destinata a rimanere un vincolo per </w:t>
      </w:r>
      <w:r w:rsidR="003A24DA">
        <w:rPr>
          <w:rFonts w:ascii="Calibri" w:hAnsi="Calibri" w:cs="Calibri"/>
          <w:sz w:val="22"/>
          <w:szCs w:val="22"/>
          <w:lang w:val="it-IT"/>
        </w:rPr>
        <w:t>l’economia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. L’aumento degli interessi per le famiglie, dopo 18 mesi di politiche restrittive, sta pesando sui consumi. Nel frattempo, le prospettive dei prezzi delle materie prime si sono indebolite a causa della moderazione delle prospettive di crescita globale.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Le prospettive per il 2024 e il 2025 appaiono tuttavia più ottimistiche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, grazie ai segnali di miglioramento all’orizzonte per la fornitura di elettricità e alla prevista ripresa dell’economia globale.  </w:t>
      </w:r>
    </w:p>
    <w:p w14:paraId="21F1FD82" w14:textId="44636B0D" w:rsidR="00B96766" w:rsidRPr="003A24DA" w:rsidRDefault="00B96766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L’inflazione è salita leggermente al 7% </w:t>
      </w:r>
      <w:r w:rsidR="005E7B19"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su base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annu</w:t>
      </w:r>
      <w:r w:rsidR="005E7B19" w:rsidRPr="00C9565C">
        <w:rPr>
          <w:rFonts w:ascii="Calibri" w:hAnsi="Calibri" w:cs="Calibri"/>
          <w:b/>
          <w:bCs/>
          <w:sz w:val="22"/>
          <w:szCs w:val="22"/>
          <w:lang w:val="it-IT"/>
        </w:rPr>
        <w:t>a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 a febbraio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. Nonostante la tendenza al ribasso, rimane </w:t>
      </w:r>
      <w:r w:rsidR="005E7B19">
        <w:rPr>
          <w:rFonts w:ascii="Calibri" w:hAnsi="Calibri" w:cs="Calibri"/>
          <w:sz w:val="22"/>
          <w:szCs w:val="22"/>
          <w:lang w:val="it-IT"/>
        </w:rPr>
        <w:t>superiore al target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della </w:t>
      </w:r>
      <w:r w:rsidR="005E7B19">
        <w:rPr>
          <w:rFonts w:ascii="Calibri" w:hAnsi="Calibri" w:cs="Calibri"/>
          <w:sz w:val="22"/>
          <w:szCs w:val="22"/>
          <w:lang w:val="it-IT"/>
        </w:rPr>
        <w:t>b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anca </w:t>
      </w:r>
      <w:r w:rsidR="005E7B19">
        <w:rPr>
          <w:rFonts w:ascii="Calibri" w:hAnsi="Calibri" w:cs="Calibri"/>
          <w:sz w:val="22"/>
          <w:szCs w:val="22"/>
          <w:lang w:val="it-IT"/>
        </w:rPr>
        <w:t>c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entrale del 3-6%. Da fine novembre 2021, la Reserve Bank sudafricana ha aumentato il tasso di riferimento di 4,25 punti percentuali, portandolo al 7,75%. Il rialzo di 50 punti </w:t>
      </w:r>
      <w:r w:rsidR="005E7B19">
        <w:rPr>
          <w:rFonts w:ascii="Calibri" w:hAnsi="Calibri" w:cs="Calibri"/>
          <w:sz w:val="22"/>
          <w:szCs w:val="22"/>
          <w:lang w:val="it-IT"/>
        </w:rPr>
        <w:t>base</w:t>
      </w:r>
      <w:r w:rsidR="005E7B19" w:rsidRPr="003A24D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3A24DA">
        <w:rPr>
          <w:rFonts w:ascii="Calibri" w:hAnsi="Calibri" w:cs="Calibri"/>
          <w:sz w:val="22"/>
          <w:szCs w:val="22"/>
          <w:lang w:val="it-IT"/>
        </w:rPr>
        <w:t>di marzo ha sorpreso il mercato, ma il ciclo di rialzi sembra essere al culmine. L’inflazione dovrebbe riprendere a scendere nei prossimi mesi con l’attenuarsi degli effetti base. Anche un calo dell’inflazione dei prezzi alimentari sarebbe positivo.</w:t>
      </w:r>
    </w:p>
    <w:p w14:paraId="37B49334" w14:textId="2E1A0556" w:rsidR="0009189D" w:rsidRPr="003A24DA" w:rsidRDefault="0009189D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Tuttavia,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</w:t>
      </w:r>
      <w:r w:rsidR="00B96766" w:rsidRPr="00C9565C">
        <w:rPr>
          <w:rFonts w:ascii="Calibri" w:hAnsi="Calibri" w:cs="Calibri"/>
          <w:b/>
          <w:bCs/>
          <w:sz w:val="22"/>
          <w:szCs w:val="22"/>
          <w:lang w:val="it-IT"/>
        </w:rPr>
        <w:t>a sfida più evidente che il Sudafrica si trova ad affrontare è la mancanza di energia elettrica.</w:t>
      </w:r>
      <w:r w:rsidR="003F2349" w:rsidRPr="00C9565C" w:rsidDel="003F2349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3F2349">
        <w:rPr>
          <w:rFonts w:ascii="Calibri" w:hAnsi="Calibri" w:cs="Calibri"/>
          <w:sz w:val="22"/>
          <w:szCs w:val="22"/>
          <w:lang w:val="it-IT"/>
        </w:rPr>
        <w:t>Q</w:t>
      </w:r>
      <w:r w:rsidR="00B96766" w:rsidRPr="003A24DA">
        <w:rPr>
          <w:rFonts w:ascii="Calibri" w:hAnsi="Calibri" w:cs="Calibri"/>
          <w:sz w:val="22"/>
          <w:szCs w:val="22"/>
          <w:lang w:val="it-IT"/>
        </w:rPr>
        <w:t xml:space="preserve">uesto è solo un aspetto di un più ampio collasso di varie </w:t>
      </w:r>
      <w:r w:rsidR="003F2349">
        <w:rPr>
          <w:rFonts w:ascii="Calibri" w:hAnsi="Calibri" w:cs="Calibri"/>
          <w:sz w:val="22"/>
          <w:szCs w:val="22"/>
          <w:lang w:val="it-IT"/>
        </w:rPr>
        <w:t>attività</w:t>
      </w:r>
      <w:r w:rsidR="003F2349" w:rsidRPr="003A24D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B96766" w:rsidRPr="003A24DA">
        <w:rPr>
          <w:rFonts w:ascii="Calibri" w:hAnsi="Calibri" w:cs="Calibri"/>
          <w:sz w:val="22"/>
          <w:szCs w:val="22"/>
          <w:lang w:val="it-IT"/>
        </w:rPr>
        <w:t xml:space="preserve">statali che è accelerato sotto l’amministrazione Zuma e che finora non è stato fermato dal Presidente </w:t>
      </w:r>
      <w:proofErr w:type="spellStart"/>
      <w:r w:rsidR="00B96766" w:rsidRPr="003A24DA">
        <w:rPr>
          <w:rFonts w:ascii="Calibri" w:hAnsi="Calibri" w:cs="Calibri"/>
          <w:sz w:val="22"/>
          <w:szCs w:val="22"/>
          <w:lang w:val="it-IT"/>
        </w:rPr>
        <w:t>Ramaphosa</w:t>
      </w:r>
      <w:proofErr w:type="spellEnd"/>
      <w:r w:rsidR="00B96766" w:rsidRPr="003A24DA">
        <w:rPr>
          <w:rFonts w:ascii="Calibri" w:hAnsi="Calibri" w:cs="Calibri"/>
          <w:sz w:val="22"/>
          <w:szCs w:val="22"/>
          <w:lang w:val="it-IT"/>
        </w:rPr>
        <w:t>.</w:t>
      </w:r>
    </w:p>
    <w:p w14:paraId="37B748AB" w14:textId="77777777" w:rsidR="00B96766" w:rsidRPr="003A24DA" w:rsidRDefault="00B96766" w:rsidP="00C9565C">
      <w:pPr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 w:rsidRPr="003A24DA">
        <w:rPr>
          <w:rFonts w:ascii="Calibri" w:hAnsi="Calibri" w:cs="Calibri"/>
          <w:sz w:val="22"/>
          <w:szCs w:val="22"/>
          <w:u w:val="single"/>
          <w:lang w:val="it-IT"/>
        </w:rPr>
        <w:t xml:space="preserve">La crisi energetica sta raggiungendo il suo apice? </w:t>
      </w:r>
    </w:p>
    <w:p w14:paraId="768B2D00" w14:textId="322AD590" w:rsidR="00D83845" w:rsidRPr="003A24DA" w:rsidRDefault="00B96766" w:rsidP="00C9565C">
      <w:pPr>
        <w:spacing w:after="120" w:line="264" w:lineRule="auto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In diverse aree in cui la capacità dello Stato non funziona più, il settore privato sta intervenendo con investimenti per svolgere il</w:t>
      </w:r>
      <w:r w:rsidR="00602548"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 suo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 ruolo</w:t>
      </w:r>
      <w:r w:rsidRPr="003A24DA">
        <w:rPr>
          <w:rFonts w:ascii="Calibri" w:hAnsi="Calibri" w:cs="Calibri"/>
          <w:sz w:val="22"/>
          <w:szCs w:val="22"/>
          <w:lang w:val="it-IT"/>
        </w:rPr>
        <w:t>.</w:t>
      </w:r>
      <w:r w:rsidR="00602548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È probabile che la crisi energetica persista fino al 2023, soprattutto durante l’inverno dell’emisfero meridionale. Tuttavia, verso il 2024 il quadro </w:t>
      </w:r>
      <w:r w:rsidR="00602548">
        <w:rPr>
          <w:rFonts w:ascii="Calibri" w:hAnsi="Calibri" w:cs="Calibri"/>
          <w:sz w:val="22"/>
          <w:szCs w:val="22"/>
          <w:lang w:val="it-IT"/>
        </w:rPr>
        <w:t>si prospetta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più roseo, poiché entrerà in funzione una maggiore quantità di energia privata.</w:t>
      </w:r>
    </w:p>
    <w:p w14:paraId="60E395AC" w14:textId="77777777" w:rsidR="00B96766" w:rsidRPr="003A24DA" w:rsidRDefault="00B96766" w:rsidP="00C9565C">
      <w:pPr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 w:rsidRPr="003A24DA">
        <w:rPr>
          <w:rFonts w:ascii="Calibri" w:hAnsi="Calibri" w:cs="Calibri"/>
          <w:sz w:val="22"/>
          <w:szCs w:val="22"/>
          <w:u w:val="single"/>
          <w:lang w:val="it-IT"/>
        </w:rPr>
        <w:t xml:space="preserve">La politica rappresenta un rischio a medio termine </w:t>
      </w:r>
    </w:p>
    <w:p w14:paraId="60CAC28F" w14:textId="0C5A69C0" w:rsidR="00303D1B" w:rsidRPr="003A24DA" w:rsidRDefault="00602548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Dalla sua elezione nel 2019,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303D1B"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l Presidente </w:t>
      </w:r>
      <w:proofErr w:type="spellStart"/>
      <w:r w:rsidR="00303D1B" w:rsidRPr="00C9565C">
        <w:rPr>
          <w:rFonts w:ascii="Calibri" w:hAnsi="Calibri" w:cs="Calibri"/>
          <w:b/>
          <w:bCs/>
          <w:sz w:val="22"/>
          <w:szCs w:val="22"/>
          <w:lang w:val="it-IT"/>
        </w:rPr>
        <w:t>Ramaphosa</w:t>
      </w:r>
      <w:proofErr w:type="spellEnd"/>
      <w:r w:rsidR="00303D1B"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 ha varato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diverse </w:t>
      </w:r>
      <w:r w:rsidR="00303D1B" w:rsidRPr="00C9565C">
        <w:rPr>
          <w:rFonts w:ascii="Calibri" w:hAnsi="Calibri" w:cs="Calibri"/>
          <w:b/>
          <w:bCs/>
          <w:sz w:val="22"/>
          <w:szCs w:val="22"/>
          <w:lang w:val="it-IT"/>
        </w:rPr>
        <w:t>riforme</w:t>
      </w:r>
      <w:r w:rsidR="00303D1B" w:rsidRPr="003A24DA">
        <w:rPr>
          <w:rFonts w:ascii="Calibri" w:hAnsi="Calibri" w:cs="Calibri"/>
          <w:sz w:val="22"/>
          <w:szCs w:val="22"/>
          <w:lang w:val="it-IT"/>
        </w:rPr>
        <w:t xml:space="preserve">, ma il ritmo del cambiamento è stato più lento di quanto sperato, non solo nell’affrontare le questioni legate al potere, ma anche </w:t>
      </w:r>
      <w:r>
        <w:rPr>
          <w:rFonts w:ascii="Calibri" w:hAnsi="Calibri" w:cs="Calibri"/>
          <w:sz w:val="22"/>
          <w:szCs w:val="22"/>
          <w:lang w:val="it-IT"/>
        </w:rPr>
        <w:t>nella</w:t>
      </w:r>
      <w:r w:rsidR="00303D1B" w:rsidRPr="003A24DA">
        <w:rPr>
          <w:rFonts w:ascii="Calibri" w:hAnsi="Calibri" w:cs="Calibri"/>
          <w:sz w:val="22"/>
          <w:szCs w:val="22"/>
          <w:lang w:val="it-IT"/>
        </w:rPr>
        <w:t xml:space="preserve"> lotta alla corruzione. </w:t>
      </w:r>
    </w:p>
    <w:p w14:paraId="23E68E23" w14:textId="2288BF9C" w:rsidR="00D83845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Il rischio a medio termine deriva dalle elezioni generali, previste per il secondo trimestre del 2024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. Il partito ANC di </w:t>
      </w:r>
      <w:proofErr w:type="spellStart"/>
      <w:r w:rsidRPr="003A24DA">
        <w:rPr>
          <w:rFonts w:ascii="Calibri" w:hAnsi="Calibri" w:cs="Calibri"/>
          <w:sz w:val="22"/>
          <w:szCs w:val="22"/>
          <w:lang w:val="it-IT"/>
        </w:rPr>
        <w:t>Ramaphosa</w:t>
      </w:r>
      <w:proofErr w:type="spellEnd"/>
      <w:r w:rsidRPr="003A24DA">
        <w:rPr>
          <w:rFonts w:ascii="Calibri" w:hAnsi="Calibri" w:cs="Calibri"/>
          <w:sz w:val="22"/>
          <w:szCs w:val="22"/>
          <w:lang w:val="it-IT"/>
        </w:rPr>
        <w:t xml:space="preserve"> ha ottenuto il 58% dei voti nelle ultime elezioni del 2019. Se la sua quota </w:t>
      </w:r>
      <w:r w:rsidRPr="003A24DA">
        <w:rPr>
          <w:rFonts w:ascii="Calibri" w:hAnsi="Calibri" w:cs="Calibri"/>
          <w:sz w:val="22"/>
          <w:szCs w:val="22"/>
          <w:lang w:val="it-IT"/>
        </w:rPr>
        <w:lastRenderedPageBreak/>
        <w:t>scende</w:t>
      </w:r>
      <w:r w:rsidR="00AE7F42">
        <w:rPr>
          <w:rFonts w:ascii="Calibri" w:hAnsi="Calibri" w:cs="Calibri"/>
          <w:sz w:val="22"/>
          <w:szCs w:val="22"/>
          <w:lang w:val="it-IT"/>
        </w:rPr>
        <w:t>sse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significativamente al di sotto del 50%, potrebbe dover formare una coalizione con un altro partito più piccolo, aumentando l’incertezza sulla direzione della futura politica di governo.</w:t>
      </w:r>
    </w:p>
    <w:p w14:paraId="084943D7" w14:textId="650A1053" w:rsidR="00D83845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 w:rsidRPr="003A24DA">
        <w:rPr>
          <w:rFonts w:ascii="Calibri" w:hAnsi="Calibri" w:cs="Calibri"/>
          <w:sz w:val="22"/>
          <w:szCs w:val="22"/>
          <w:u w:val="single"/>
          <w:lang w:val="it-IT"/>
        </w:rPr>
        <w:t>Come sono le valutazioni?</w:t>
      </w:r>
    </w:p>
    <w:p w14:paraId="70547113" w14:textId="28822E72" w:rsidR="00303D1B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3A24DA">
        <w:rPr>
          <w:rFonts w:ascii="Calibri" w:hAnsi="Calibri" w:cs="Calibri"/>
          <w:sz w:val="22"/>
          <w:szCs w:val="22"/>
          <w:lang w:val="it-IT"/>
        </w:rPr>
        <w:t xml:space="preserve">Su una base di valutazione combinata,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il Sudafrica è a buon mercato in base allo Z-score, che misura la distanza delle valutazioni dalla loro media storica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. Anche il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rand sudafricano è a buon mercato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E7B19">
        <w:rPr>
          <w:rFonts w:ascii="Calibri" w:hAnsi="Calibri" w:cs="Calibri"/>
          <w:sz w:val="22"/>
          <w:szCs w:val="22"/>
          <w:lang w:val="it-IT"/>
        </w:rPr>
        <w:t>su base storica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e tra i più economici dei mercati emergenti. La valuta è circa il 30% al di sotto della sua media storica dal gennaio 1995 su una base di tasso di cambio reale e il 13% su una base di cinque anni. </w:t>
      </w:r>
    </w:p>
    <w:p w14:paraId="73EAC494" w14:textId="3EC1EE01" w:rsidR="00D83845" w:rsidRPr="00C9565C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u w:val="single"/>
          <w:lang w:val="it-IT"/>
        </w:rPr>
      </w:pPr>
      <w:r w:rsidRPr="00C9565C">
        <w:rPr>
          <w:rFonts w:ascii="Calibri" w:hAnsi="Calibri" w:cs="Calibri"/>
          <w:sz w:val="22"/>
          <w:szCs w:val="22"/>
          <w:u w:val="single"/>
          <w:lang w:val="it-IT"/>
        </w:rPr>
        <w:t xml:space="preserve">La nostra </w:t>
      </w:r>
      <w:proofErr w:type="spellStart"/>
      <w:r w:rsidRPr="00C9565C">
        <w:rPr>
          <w:rFonts w:ascii="Calibri" w:hAnsi="Calibri" w:cs="Calibri"/>
          <w:sz w:val="22"/>
          <w:szCs w:val="22"/>
          <w:u w:val="single"/>
          <w:lang w:val="it-IT"/>
        </w:rPr>
        <w:t>view</w:t>
      </w:r>
      <w:proofErr w:type="spellEnd"/>
      <w:r w:rsidRPr="00C9565C">
        <w:rPr>
          <w:rFonts w:ascii="Calibri" w:hAnsi="Calibri" w:cs="Calibri"/>
          <w:sz w:val="22"/>
          <w:szCs w:val="22"/>
          <w:u w:val="single"/>
          <w:lang w:val="it-IT"/>
        </w:rPr>
        <w:t xml:space="preserve"> sul Sudafrica</w:t>
      </w:r>
    </w:p>
    <w:p w14:paraId="46885BCC" w14:textId="7A992254" w:rsidR="00303D1B" w:rsidRPr="003A24DA" w:rsidRDefault="00641F95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In Sudafrica persiste l</w:t>
      </w:r>
      <w:r w:rsidR="00303D1B" w:rsidRPr="003A24DA">
        <w:rPr>
          <w:rFonts w:ascii="Calibri" w:hAnsi="Calibri" w:cs="Calibri"/>
          <w:sz w:val="22"/>
          <w:szCs w:val="22"/>
          <w:lang w:val="it-IT"/>
        </w:rPr>
        <w:t xml:space="preserve">a necessità di una più ampia riforma strutturale. I progressi sotto il presidente </w:t>
      </w:r>
      <w:proofErr w:type="spellStart"/>
      <w:r w:rsidR="00303D1B" w:rsidRPr="003A24DA">
        <w:rPr>
          <w:rFonts w:ascii="Calibri" w:hAnsi="Calibri" w:cs="Calibri"/>
          <w:sz w:val="22"/>
          <w:szCs w:val="22"/>
          <w:lang w:val="it-IT"/>
        </w:rPr>
        <w:t>Ramaphosa</w:t>
      </w:r>
      <w:proofErr w:type="spellEnd"/>
      <w:r w:rsidR="00303D1B" w:rsidRPr="003A24DA">
        <w:rPr>
          <w:rFonts w:ascii="Calibri" w:hAnsi="Calibri" w:cs="Calibri"/>
          <w:sz w:val="22"/>
          <w:szCs w:val="22"/>
          <w:lang w:val="it-IT"/>
        </w:rPr>
        <w:t xml:space="preserve"> sono stati positivi, anche se lenti.</w:t>
      </w:r>
    </w:p>
    <w:p w14:paraId="78366F42" w14:textId="77777777" w:rsidR="00303D1B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Nel breve termine, il rischio principale è rappresentato dall’ulteriore stress del settore energetico e dalle più ampie ramificazioni per l’economia e gli utili aziendali. </w:t>
      </w:r>
      <w:r w:rsidRPr="003A24DA">
        <w:rPr>
          <w:rFonts w:ascii="Calibri" w:hAnsi="Calibri" w:cs="Calibri"/>
          <w:sz w:val="22"/>
          <w:szCs w:val="22"/>
          <w:lang w:val="it-IT"/>
        </w:rPr>
        <w:t>All’orizzonte si intravedono segnali di un potenziale allentamento della crisi energetica, ma l’incertezza permane, e questo vale anche per il 2024. Eskom ha già avvertito di gravi carenze nella produzione di energia elettrica per i prossimi 12 mesi. La politica presenta qualche rischio a medio termine a causa delle elezioni del 2024.</w:t>
      </w:r>
    </w:p>
    <w:p w14:paraId="5B57221F" w14:textId="77777777" w:rsidR="00303D1B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3A24DA">
        <w:rPr>
          <w:rFonts w:ascii="Calibri" w:hAnsi="Calibri" w:cs="Calibri"/>
          <w:sz w:val="22"/>
          <w:szCs w:val="22"/>
          <w:lang w:val="it-IT"/>
        </w:rPr>
        <w:t>Il coinvolgimento del settore privato nel settore energetico è incoraggiante e fa sperare in una risoluzione della crisi nei prossimi anni. La forza del settore privato in Sudafrica non deve essere sottovalutata e ha la capacità di contribuire a risolvere alcuni dei problemi strutturali.</w:t>
      </w:r>
    </w:p>
    <w:p w14:paraId="38C4F5E0" w14:textId="6FC7AE9C" w:rsidR="00303D1B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Il sentiment del mercato è diventato molto pessimista e gli utili sono stati rivisti al ribasso. Ciò si riflette ora in valutazioni interessanti del mercato azionario </w:t>
      </w:r>
      <w:r w:rsidR="0009189D" w:rsidRPr="00C9565C">
        <w:rPr>
          <w:rFonts w:ascii="Calibri" w:hAnsi="Calibri" w:cs="Calibri"/>
          <w:b/>
          <w:bCs/>
          <w:sz w:val="22"/>
          <w:szCs w:val="22"/>
          <w:lang w:val="it-IT"/>
        </w:rPr>
        <w:t xml:space="preserve">e </w:t>
      </w:r>
      <w:r w:rsidRPr="00C9565C">
        <w:rPr>
          <w:rFonts w:ascii="Calibri" w:hAnsi="Calibri" w:cs="Calibri"/>
          <w:b/>
          <w:bCs/>
          <w:sz w:val="22"/>
          <w:szCs w:val="22"/>
          <w:lang w:val="it-IT"/>
        </w:rPr>
        <w:t>la valuta è a buon mercato</w:t>
      </w:r>
      <w:r w:rsidRPr="003A24DA">
        <w:rPr>
          <w:rFonts w:ascii="Calibri" w:hAnsi="Calibri" w:cs="Calibri"/>
          <w:sz w:val="22"/>
          <w:szCs w:val="22"/>
          <w:lang w:val="it-IT"/>
        </w:rPr>
        <w:t>, il che</w:t>
      </w:r>
      <w:r w:rsidR="0009189D">
        <w:rPr>
          <w:rFonts w:ascii="Calibri" w:hAnsi="Calibri" w:cs="Calibri"/>
          <w:sz w:val="22"/>
          <w:szCs w:val="22"/>
          <w:lang w:val="it-IT"/>
        </w:rPr>
        <w:t xml:space="preserve"> ci spinge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a mantenere una </w:t>
      </w:r>
      <w:proofErr w:type="spellStart"/>
      <w:r w:rsidR="0009189D">
        <w:rPr>
          <w:rFonts w:ascii="Calibri" w:hAnsi="Calibri" w:cs="Calibri"/>
          <w:sz w:val="22"/>
          <w:szCs w:val="22"/>
          <w:lang w:val="it-IT"/>
        </w:rPr>
        <w:t>view</w:t>
      </w:r>
      <w:proofErr w:type="spellEnd"/>
      <w:r w:rsidR="0009189D" w:rsidRPr="003A24D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d’investimento favorevole. Il mercato azionario sudafricano offre una serie di opportunità diversificate e continuiamo a trovare </w:t>
      </w:r>
      <w:r w:rsidR="0009189D">
        <w:rPr>
          <w:rFonts w:ascii="Calibri" w:hAnsi="Calibri" w:cs="Calibri"/>
          <w:sz w:val="22"/>
          <w:szCs w:val="22"/>
          <w:lang w:val="it-IT"/>
        </w:rPr>
        <w:t>diverse</w:t>
      </w:r>
      <w:r w:rsidRPr="003A24DA">
        <w:rPr>
          <w:rFonts w:ascii="Calibri" w:hAnsi="Calibri" w:cs="Calibri"/>
          <w:sz w:val="22"/>
          <w:szCs w:val="22"/>
          <w:lang w:val="it-IT"/>
        </w:rPr>
        <w:t xml:space="preserve"> società ben gestite e con team manageriali solidi.</w:t>
      </w:r>
    </w:p>
    <w:p w14:paraId="38B73087" w14:textId="77195A74" w:rsidR="00D83845" w:rsidRPr="003A24DA" w:rsidRDefault="00303D1B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  <w:r w:rsidRPr="003A24DA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43C419CE" w14:textId="66CD7CCA" w:rsidR="00D83845" w:rsidRPr="003A24DA" w:rsidRDefault="00D83845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</w:p>
    <w:p w14:paraId="2133FBB8" w14:textId="7D1B99FC" w:rsidR="00D83845" w:rsidRPr="003A24DA" w:rsidRDefault="00D83845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</w:p>
    <w:p w14:paraId="1DEA6A67" w14:textId="624C880D" w:rsidR="006E49B2" w:rsidRPr="003A24DA" w:rsidRDefault="006E49B2" w:rsidP="00C9565C">
      <w:pPr>
        <w:spacing w:after="120" w:line="264" w:lineRule="auto"/>
        <w:rPr>
          <w:rFonts w:ascii="Calibri" w:hAnsi="Calibri" w:cs="Calibri"/>
          <w:sz w:val="22"/>
          <w:szCs w:val="22"/>
          <w:lang w:val="it-IT"/>
        </w:rPr>
      </w:pPr>
    </w:p>
    <w:sectPr w:rsidR="006E49B2" w:rsidRPr="003A2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4"/>
    <w:rsid w:val="0009189D"/>
    <w:rsid w:val="001F1E0E"/>
    <w:rsid w:val="00212737"/>
    <w:rsid w:val="00303D1B"/>
    <w:rsid w:val="00316027"/>
    <w:rsid w:val="003A24DA"/>
    <w:rsid w:val="003F2349"/>
    <w:rsid w:val="00436EA8"/>
    <w:rsid w:val="005E7B19"/>
    <w:rsid w:val="00602548"/>
    <w:rsid w:val="00641F95"/>
    <w:rsid w:val="006A2648"/>
    <w:rsid w:val="006E49B2"/>
    <w:rsid w:val="00750403"/>
    <w:rsid w:val="00A04BC6"/>
    <w:rsid w:val="00AE7F42"/>
    <w:rsid w:val="00B96766"/>
    <w:rsid w:val="00BC4C71"/>
    <w:rsid w:val="00C9565C"/>
    <w:rsid w:val="00D83845"/>
    <w:rsid w:val="00E013D2"/>
    <w:rsid w:val="00E721AE"/>
    <w:rsid w:val="00EC3B3F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640A"/>
  <w15:chartTrackingRefBased/>
  <w15:docId w15:val="{6069A5DA-0B30-AC41-BA19-CD30277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838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38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hidden-xs">
    <w:name w:val="hidden-xs"/>
    <w:basedOn w:val="Normale"/>
    <w:rsid w:val="00D838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3A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833</Words>
  <Characters>4917</Characters>
  <Application>Microsoft Office Word</Application>
  <DocSecurity>0</DocSecurity>
  <Lines>73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Jacopo Bogo</cp:lastModifiedBy>
  <cp:revision>16</cp:revision>
  <dcterms:created xsi:type="dcterms:W3CDTF">2023-05-02T07:22:00Z</dcterms:created>
  <dcterms:modified xsi:type="dcterms:W3CDTF">2023-05-02T14:49:00Z</dcterms:modified>
</cp:coreProperties>
</file>