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270C" w14:textId="21FA0FF1" w:rsidR="00003ADC" w:rsidRDefault="00003ADC">
      <w:pPr>
        <w:rPr>
          <w:b/>
          <w:bCs/>
        </w:rPr>
      </w:pPr>
      <w:r>
        <w:rPr>
          <w:b/>
          <w:bCs/>
        </w:rPr>
        <w:t xml:space="preserve">AMCHOR IS: </w:t>
      </w:r>
      <w:r w:rsidR="004B63C3">
        <w:rPr>
          <w:b/>
          <w:bCs/>
        </w:rPr>
        <w:t>Stati Uniti ed Europa sull’orlo della recessione? Diversi segnali dicono di no</w:t>
      </w:r>
    </w:p>
    <w:p w14:paraId="0D9F8493" w14:textId="352B64AE" w:rsidR="00015E27" w:rsidRPr="00015E27" w:rsidRDefault="00015E27">
      <w:pPr>
        <w:rPr>
          <w:color w:val="002E67"/>
          <w:sz w:val="20"/>
          <w:szCs w:val="20"/>
        </w:rPr>
      </w:pPr>
      <w:r>
        <w:t xml:space="preserve">A cura di </w:t>
      </w:r>
      <w:r>
        <w:rPr>
          <w:b/>
          <w:bCs/>
        </w:rPr>
        <w:t>Alvaro Sanmartin, Chief Economist, Amchor</w:t>
      </w:r>
      <w:r w:rsidRPr="00015E27">
        <w:rPr>
          <w:color w:val="002E67"/>
          <w:sz w:val="20"/>
          <w:szCs w:val="20"/>
        </w:rPr>
        <w:t xml:space="preserve"> </w:t>
      </w:r>
    </w:p>
    <w:p w14:paraId="22174AE5" w14:textId="072343FD" w:rsidR="000B07F6" w:rsidRDefault="000B07F6">
      <w:r w:rsidRPr="000B07F6">
        <w:t xml:space="preserve">Nelle ultime settimane, la (lieve) moderazione osservata in alcuni dati macro e </w:t>
      </w:r>
      <w:r w:rsidR="00822B4F">
        <w:t xml:space="preserve">fattori di rischio quali le </w:t>
      </w:r>
      <w:r w:rsidRPr="000B07F6">
        <w:t xml:space="preserve">banche regionali negli Stati Uniti, </w:t>
      </w:r>
      <w:r w:rsidR="00822B4F">
        <w:t xml:space="preserve">il </w:t>
      </w:r>
      <w:r w:rsidRPr="000B07F6">
        <w:t xml:space="preserve">tetto del debito, </w:t>
      </w:r>
      <w:r w:rsidR="00822B4F">
        <w:t xml:space="preserve">la </w:t>
      </w:r>
      <w:r w:rsidRPr="000B07F6">
        <w:t>guerra in Ucraina</w:t>
      </w:r>
      <w:r w:rsidR="00822B4F">
        <w:t xml:space="preserve">, </w:t>
      </w:r>
      <w:r w:rsidRPr="000B07F6">
        <w:t>hanno portato il mercato a scontare uno scenario per l'economia statunitense caratterizzato da tre elementi fondamentali. Il primo, una recessione più o meno immediata</w:t>
      </w:r>
      <w:r w:rsidR="00822B4F">
        <w:t xml:space="preserve">, </w:t>
      </w:r>
      <w:r w:rsidRPr="000B07F6">
        <w:t>anche se probabilmente lieve; il secondo, una moderazione relativamente rapida dell'inflazione; il terzo, coerente con i due precedenti, una Federal Reserve costretta a iniziare a ridurre i tassi di interesse ben prima della fine dell'anno.</w:t>
      </w:r>
    </w:p>
    <w:p w14:paraId="17312911" w14:textId="21FA5D57" w:rsidR="000B07F6" w:rsidRDefault="00AF55BE">
      <w:r>
        <w:t>Q</w:t>
      </w:r>
      <w:r w:rsidR="000B07F6" w:rsidRPr="000B07F6">
        <w:t>uesta narrazione</w:t>
      </w:r>
      <w:r>
        <w:t xml:space="preserve"> non ci trova del tutto allineati</w:t>
      </w:r>
      <w:r w:rsidR="000B07F6" w:rsidRPr="000B07F6">
        <w:t xml:space="preserve">. In primo luogo, perché </w:t>
      </w:r>
      <w:r w:rsidR="000B07F6" w:rsidRPr="007176E5">
        <w:rPr>
          <w:b/>
          <w:bCs/>
        </w:rPr>
        <w:t>riteniamo che la domanda aggregata negli Stati Uniti e nell'Eurozona goda di ottima salute e che ciò implichi che le politiche monetarie dovranno rimanere rigide molto più a lungo</w:t>
      </w:r>
      <w:r w:rsidR="000B07F6" w:rsidRPr="000B07F6">
        <w:t xml:space="preserve"> di quanto attualmente scontato</w:t>
      </w:r>
      <w:r>
        <w:t>. I</w:t>
      </w:r>
      <w:r w:rsidR="000B07F6" w:rsidRPr="000B07F6">
        <w:t>n particolare, non vediamo tagli dei tassi quest'anno né negli Stati Uniti né in Europa e pensiamo anche che la B</w:t>
      </w:r>
      <w:r w:rsidR="00E41362">
        <w:t>ce</w:t>
      </w:r>
      <w:r w:rsidR="000B07F6" w:rsidRPr="000B07F6">
        <w:t xml:space="preserve"> dovrà aumentar</w:t>
      </w:r>
      <w:r>
        <w:t>li</w:t>
      </w:r>
      <w:r w:rsidR="00E41362">
        <w:t xml:space="preserve"> </w:t>
      </w:r>
      <w:r w:rsidR="000B07F6" w:rsidRPr="000B07F6">
        <w:t>almeno un'altra volta o due nelle prossime riunioni.</w:t>
      </w:r>
    </w:p>
    <w:p w14:paraId="53C54A4A" w14:textId="77777777" w:rsidR="000B07F6" w:rsidRPr="00003ADC" w:rsidRDefault="000B07F6">
      <w:r w:rsidRPr="00003ADC">
        <w:t xml:space="preserve">In secondo luogo, perché </w:t>
      </w:r>
      <w:r w:rsidRPr="007176E5">
        <w:rPr>
          <w:b/>
          <w:bCs/>
        </w:rPr>
        <w:t>continuiamo a vedere segnali di un'apprezzabile ripresa dell'economia cinese</w:t>
      </w:r>
      <w:r w:rsidRPr="00003ADC">
        <w:t xml:space="preserve"> nel corso dell'intero anno e riteniamo che questo, unito a un'Asia emergente in generale molto positiva, fornirà un ulteriore significativo sostegno alla domanda aggregata globale nei prossimi trimestri.</w:t>
      </w:r>
    </w:p>
    <w:p w14:paraId="57C001FE" w14:textId="1CDBA2EE" w:rsidR="000B07F6" w:rsidRDefault="000B07F6">
      <w:r w:rsidRPr="000B07F6">
        <w:t xml:space="preserve">Inoltre, in una prospettiva di medio termine, </w:t>
      </w:r>
      <w:r w:rsidR="00E41362">
        <w:t>riteniamo</w:t>
      </w:r>
      <w:r w:rsidRPr="000B07F6">
        <w:t xml:space="preserve"> che, una volta terminato l'attuale periodo di alta inflazione e una volta che le politiche monetarie si saranno allontanate dall'inasprimento, il mondo in cui vivremo non sarà quello dei tassi zero e delle pressioni deflazionistiche, ma quello in cui </w:t>
      </w:r>
      <w:r w:rsidRPr="007176E5">
        <w:rPr>
          <w:b/>
          <w:bCs/>
        </w:rPr>
        <w:t>i rischi di inflazione saranno ragionevolmente simmetrici e in cui i tassi neutrali saranno un po' più alti di quelli attualmente prezzati</w:t>
      </w:r>
      <w:r w:rsidRPr="000B07F6">
        <w:t>.</w:t>
      </w:r>
    </w:p>
    <w:p w14:paraId="2DA0159E" w14:textId="2B699DCB" w:rsidR="000B07F6" w:rsidRDefault="00B056B8">
      <w:r w:rsidRPr="007176E5">
        <w:rPr>
          <w:b/>
          <w:bCs/>
        </w:rPr>
        <w:t>Questo p</w:t>
      </w:r>
      <w:r w:rsidR="000B07F6" w:rsidRPr="007176E5">
        <w:rPr>
          <w:b/>
          <w:bCs/>
        </w:rPr>
        <w:t xml:space="preserve">erché la domanda aggregata in molti Paesi sembra godere di </w:t>
      </w:r>
      <w:r w:rsidRPr="007176E5">
        <w:rPr>
          <w:b/>
          <w:bCs/>
        </w:rPr>
        <w:t>elementi</w:t>
      </w:r>
      <w:r w:rsidR="000B07F6" w:rsidRPr="007176E5">
        <w:rPr>
          <w:b/>
          <w:bCs/>
        </w:rPr>
        <w:t xml:space="preserve"> strutturalmente favorevoli</w:t>
      </w:r>
      <w:r>
        <w:t xml:space="preserve">: </w:t>
      </w:r>
      <w:r w:rsidR="000B07F6" w:rsidRPr="000B07F6">
        <w:t>famiglie e imprese con buoni bilanci</w:t>
      </w:r>
      <w:r>
        <w:t>,</w:t>
      </w:r>
      <w:r w:rsidR="000B07F6" w:rsidRPr="000B07F6">
        <w:t xml:space="preserve"> livelli di avversione al rischio più bassi rispetto alla norma dopo la crisi finanziaria internazionale</w:t>
      </w:r>
      <w:r>
        <w:t>,</w:t>
      </w:r>
      <w:r w:rsidR="000B07F6" w:rsidRPr="000B07F6">
        <w:t xml:space="preserve"> maggiore necessità di investimenti pubblici e privati associati alla transizione ecologica</w:t>
      </w:r>
      <w:r>
        <w:t>,</w:t>
      </w:r>
      <w:r w:rsidR="000B07F6" w:rsidRPr="000B07F6">
        <w:t xml:space="preserve"> aumento della spesa militare.</w:t>
      </w:r>
    </w:p>
    <w:p w14:paraId="05D3BD7F" w14:textId="29C0D23F" w:rsidR="000B07F6" w:rsidRPr="000B07F6" w:rsidRDefault="000B07F6">
      <w:r w:rsidRPr="000B07F6">
        <w:t xml:space="preserve">D'altro canto, </w:t>
      </w:r>
      <w:r w:rsidRPr="007176E5">
        <w:rPr>
          <w:b/>
          <w:bCs/>
        </w:rPr>
        <w:t>non dobbiamo dimenticare che esistono diversi fattori che possono ostacolare una risposta efficiente dell'offerta a questa domanda</w:t>
      </w:r>
      <w:r w:rsidRPr="000B07F6">
        <w:t xml:space="preserve"> più dinamica</w:t>
      </w:r>
      <w:r w:rsidR="00B056B8">
        <w:t xml:space="preserve">, come ad esempio il </w:t>
      </w:r>
      <w:r w:rsidRPr="000B07F6">
        <w:t xml:space="preserve">pensionamento dei baby boomer e quindi minore offerta di lavoro. </w:t>
      </w:r>
      <w:r w:rsidR="00B056B8">
        <w:t>questo i</w:t>
      </w:r>
      <w:r w:rsidRPr="000B07F6">
        <w:t>mplica</w:t>
      </w:r>
      <w:r w:rsidR="00B056B8">
        <w:t xml:space="preserve">, </w:t>
      </w:r>
      <w:r w:rsidRPr="000B07F6">
        <w:t>per i mercati</w:t>
      </w:r>
      <w:r w:rsidR="00B056B8">
        <w:t xml:space="preserve"> che g</w:t>
      </w:r>
      <w:r w:rsidRPr="000B07F6">
        <w:t>li asset che hanno fatto meglio da inizio anno (crescita, tecnologia, oro, duration, ecc.) saranno probabilmente i peggiori performer relativi per il resto dell'anno.</w:t>
      </w:r>
    </w:p>
    <w:p w14:paraId="5BBA4F9B" w14:textId="6EF403F8" w:rsidR="00677B0F" w:rsidRPr="00677B0F" w:rsidRDefault="00E41362">
      <w:r w:rsidRPr="00E41362">
        <w:t xml:space="preserve">Negli Stati Uniti, </w:t>
      </w:r>
      <w:r w:rsidR="00677B0F" w:rsidRPr="00677B0F">
        <w:t xml:space="preserve">i problemi riscontrati in alcune banche statunitensi </w:t>
      </w:r>
      <w:r>
        <w:t xml:space="preserve">non </w:t>
      </w:r>
      <w:r w:rsidR="00B056B8">
        <w:t>dovrebbero portare</w:t>
      </w:r>
      <w:r w:rsidR="00677B0F" w:rsidRPr="00677B0F">
        <w:t xml:space="preserve"> a un inasprimento "catastrofico" delle condizioni finanziarie</w:t>
      </w:r>
      <w:r w:rsidR="007176E5">
        <w:t>.</w:t>
      </w:r>
      <w:r>
        <w:t xml:space="preserve"> </w:t>
      </w:r>
      <w:r w:rsidR="00781A7E" w:rsidRPr="00677B0F">
        <w:t xml:space="preserve">In prospettiva, </w:t>
      </w:r>
      <w:r w:rsidR="00781A7E" w:rsidRPr="007176E5">
        <w:rPr>
          <w:b/>
          <w:bCs/>
        </w:rPr>
        <w:t>il forte grado di disintermediazione bancaria</w:t>
      </w:r>
      <w:r w:rsidR="00781A7E" w:rsidRPr="00677B0F">
        <w:t xml:space="preserve"> che caratterizza da tempo il sistema finanziario statunitense </w:t>
      </w:r>
      <w:r w:rsidR="00781A7E" w:rsidRPr="007176E5">
        <w:rPr>
          <w:b/>
          <w:bCs/>
        </w:rPr>
        <w:t>riduce la probabilità che i problemi che stanno interessando le banche regionali americane generino qualcosa di simile a una recessione</w:t>
      </w:r>
      <w:r w:rsidR="00781A7E" w:rsidRPr="00677B0F">
        <w:t>.</w:t>
      </w:r>
      <w:r w:rsidR="00781A7E">
        <w:t xml:space="preserve"> </w:t>
      </w:r>
      <w:r>
        <w:t>p</w:t>
      </w:r>
      <w:r w:rsidR="00677B0F" w:rsidRPr="00677B0F">
        <w:t>er quanto riguarda il tetto del debito</w:t>
      </w:r>
      <w:r>
        <w:t xml:space="preserve"> </w:t>
      </w:r>
      <w:r w:rsidR="00677B0F" w:rsidRPr="00677B0F">
        <w:t xml:space="preserve">probabilmente si risolverà </w:t>
      </w:r>
      <w:r>
        <w:t>senza causare grossi problemi, per</w:t>
      </w:r>
      <w:r w:rsidR="00B056B8">
        <w:t xml:space="preserve"> </w:t>
      </w:r>
      <w:r w:rsidR="00B056B8" w:rsidRPr="007176E5">
        <w:rPr>
          <w:b/>
          <w:bCs/>
        </w:rPr>
        <w:t>non</w:t>
      </w:r>
      <w:r w:rsidR="00677B0F" w:rsidRPr="007176E5">
        <w:rPr>
          <w:b/>
          <w:bCs/>
        </w:rPr>
        <w:t xml:space="preserve"> mettere in discussione il ruolo del dollaro come valuta di riserva e la </w:t>
      </w:r>
      <w:r w:rsidR="00B01B63" w:rsidRPr="007176E5">
        <w:rPr>
          <w:b/>
          <w:bCs/>
        </w:rPr>
        <w:t xml:space="preserve">reputazione </w:t>
      </w:r>
      <w:r w:rsidR="00677B0F" w:rsidRPr="007176E5">
        <w:rPr>
          <w:b/>
          <w:bCs/>
        </w:rPr>
        <w:t>dei titoli del Tesoro USA come asset privo di rischio per eccellenza</w:t>
      </w:r>
      <w:r w:rsidR="00677B0F" w:rsidRPr="00677B0F">
        <w:t>.</w:t>
      </w:r>
    </w:p>
    <w:p w14:paraId="382A9D76" w14:textId="52CB54C6" w:rsidR="00B01B63" w:rsidRDefault="00E41362">
      <w:r w:rsidRPr="00822B4F">
        <w:rPr>
          <w:u w:val="single"/>
        </w:rPr>
        <w:t xml:space="preserve">L’attuale </w:t>
      </w:r>
      <w:r w:rsidR="004A3FD4">
        <w:rPr>
          <w:u w:val="single"/>
        </w:rPr>
        <w:t>contesto economico</w:t>
      </w:r>
      <w:r w:rsidRPr="00822B4F">
        <w:rPr>
          <w:u w:val="single"/>
        </w:rPr>
        <w:t xml:space="preserve"> globale</w:t>
      </w:r>
    </w:p>
    <w:p w14:paraId="1791CE83" w14:textId="306BD6C6" w:rsidR="00677B0F" w:rsidRPr="00677B0F" w:rsidRDefault="00DA246D">
      <w:r>
        <w:t>S</w:t>
      </w:r>
      <w:r w:rsidR="00677B0F" w:rsidRPr="00677B0F">
        <w:t>e è vero che alcuni indicatori hanno mostrato segni di moderazione, ciò non significa che l'economia statunitense sia sull'orlo della recessione. Al contrario, gli Stati Uniti sembrano iniziare a correggere l'enorme eccesso di domanda generato dopo la pandemia.</w:t>
      </w:r>
      <w:r>
        <w:t xml:space="preserve"> Un</w:t>
      </w:r>
      <w:r w:rsidR="00677B0F" w:rsidRPr="00677B0F">
        <w:t xml:space="preserve"> segno di crescente debolezza dell'economia statunitense è quello della crescita del P</w:t>
      </w:r>
      <w:r>
        <w:t>il</w:t>
      </w:r>
      <w:r w:rsidR="00677B0F" w:rsidRPr="00677B0F">
        <w:t xml:space="preserve"> del primo trimestre (1,1% trimestre su trimestre annualizzato, un tasso </w:t>
      </w:r>
      <w:r w:rsidR="00781A7E">
        <w:t>teorico</w:t>
      </w:r>
      <w:r w:rsidR="00677B0F" w:rsidRPr="00677B0F">
        <w:t xml:space="preserve"> chiaramente inferiore al potenziale).</w:t>
      </w:r>
      <w:r w:rsidR="00677B0F">
        <w:t xml:space="preserve"> </w:t>
      </w:r>
      <w:r w:rsidR="00677B0F" w:rsidRPr="00677B0F">
        <w:t>Tuttavia, anche in questo caso, analizzan</w:t>
      </w:r>
      <w:r w:rsidR="00781A7E">
        <w:t>d</w:t>
      </w:r>
      <w:r w:rsidR="00677B0F" w:rsidRPr="00677B0F">
        <w:t xml:space="preserve">o questi dati, è </w:t>
      </w:r>
      <w:r w:rsidR="00677B0F" w:rsidRPr="00677B0F">
        <w:lastRenderedPageBreak/>
        <w:t xml:space="preserve">difficile non concludere che l'economia statunitense continua a mostrare una grande forza di fondo. Due esempi: </w:t>
      </w:r>
      <w:r w:rsidR="00677B0F" w:rsidRPr="007176E5">
        <w:rPr>
          <w:b/>
          <w:bCs/>
        </w:rPr>
        <w:t xml:space="preserve">i consumi privati sono cresciuti a tassi trimestrali annualizzati del 3,7% nel </w:t>
      </w:r>
      <w:r w:rsidR="00781A7E" w:rsidRPr="007176E5">
        <w:rPr>
          <w:b/>
          <w:bCs/>
        </w:rPr>
        <w:t>primo</w:t>
      </w:r>
      <w:r w:rsidR="00677B0F" w:rsidRPr="007176E5">
        <w:rPr>
          <w:b/>
          <w:bCs/>
        </w:rPr>
        <w:t xml:space="preserve"> trimestre</w:t>
      </w:r>
      <w:r w:rsidR="00677B0F" w:rsidRPr="00677B0F">
        <w:t>; il calo delle scorte, dal canto suo, ha sottratto quasi 2,3 punti alla crescita in quel periodo.</w:t>
      </w:r>
    </w:p>
    <w:p w14:paraId="13128C02" w14:textId="224930BD" w:rsidR="00DA246D" w:rsidRPr="00677B0F" w:rsidRDefault="00DA246D" w:rsidP="007176E5">
      <w:r>
        <w:t>Inoltre, l</w:t>
      </w:r>
      <w:r w:rsidR="00677B0F" w:rsidRPr="00677B0F">
        <w:t>e aspettative di inflazione delle imprese statunitensi continuano a muoversi nella giusta direzione e ciò rende più credibile la possibilità che la Fed possa controllare l'inflazione senza dover provocare una recessione dell'economia americana</w:t>
      </w:r>
      <w:r>
        <w:t xml:space="preserve">. </w:t>
      </w:r>
    </w:p>
    <w:p w14:paraId="2470973A" w14:textId="6CDF8F02" w:rsidR="00677B0F" w:rsidRPr="00677B0F" w:rsidRDefault="00DA246D" w:rsidP="007176E5">
      <w:r>
        <w:t>Se</w:t>
      </w:r>
      <w:r w:rsidR="00BE7F23">
        <w:t xml:space="preserve"> invece</w:t>
      </w:r>
      <w:r>
        <w:t xml:space="preserve"> analizziamo la situazione dell’Europa, </w:t>
      </w:r>
      <w:r w:rsidRPr="007176E5">
        <w:rPr>
          <w:b/>
          <w:bCs/>
        </w:rPr>
        <w:t xml:space="preserve">i </w:t>
      </w:r>
      <w:r w:rsidR="00677B0F" w:rsidRPr="007176E5">
        <w:rPr>
          <w:b/>
          <w:bCs/>
        </w:rPr>
        <w:t>dati del mercato del lavoro e del settore dei servizi nell'Eurozona</w:t>
      </w:r>
      <w:r w:rsidR="00677B0F" w:rsidRPr="00677B0F">
        <w:t xml:space="preserve"> non solo non indicano una recessione, ma </w:t>
      </w:r>
      <w:r w:rsidR="00677B0F" w:rsidRPr="007176E5">
        <w:rPr>
          <w:b/>
          <w:bCs/>
        </w:rPr>
        <w:t>sarebbero piuttosto compatibili con una certa accelerazione dell'attività economica</w:t>
      </w:r>
      <w:r>
        <w:t xml:space="preserve">. </w:t>
      </w:r>
      <w:r w:rsidRPr="007176E5">
        <w:rPr>
          <w:b/>
          <w:bCs/>
        </w:rPr>
        <w:t>Anche</w:t>
      </w:r>
      <w:r w:rsidR="00677B0F" w:rsidRPr="007176E5">
        <w:rPr>
          <w:b/>
          <w:bCs/>
        </w:rPr>
        <w:t xml:space="preserve"> le aspettative di inflazione nell'area dell'euro appaiono in fase di moderazione e questo</w:t>
      </w:r>
      <w:r w:rsidR="00677B0F" w:rsidRPr="00677B0F">
        <w:t xml:space="preserve">, come nel caso degli Stati Uniti, </w:t>
      </w:r>
      <w:r w:rsidR="00677B0F" w:rsidRPr="007176E5">
        <w:rPr>
          <w:b/>
          <w:bCs/>
        </w:rPr>
        <w:t>rende plausibile uno scenario di atterraggio morbido</w:t>
      </w:r>
      <w:r w:rsidR="00677B0F" w:rsidRPr="00677B0F">
        <w:t xml:space="preserve"> dell'attività economica, sufficiente a ottenere una progressiva moderazione delle pressioni sui prezzi nei prossimi trimestri</w:t>
      </w:r>
      <w:r>
        <w:t>.</w:t>
      </w:r>
    </w:p>
    <w:p w14:paraId="61CB418D" w14:textId="382722BD" w:rsidR="00677B0F" w:rsidRPr="00677B0F" w:rsidRDefault="00BE7F23" w:rsidP="00015E27">
      <w:r>
        <w:t>Infine, bisognerà</w:t>
      </w:r>
      <w:r w:rsidR="00677B0F" w:rsidRPr="00677B0F">
        <w:t xml:space="preserve"> </w:t>
      </w:r>
      <w:r w:rsidR="00677B0F" w:rsidRPr="007176E5">
        <w:rPr>
          <w:b/>
          <w:bCs/>
        </w:rPr>
        <w:t>tenere d'occhio anche l'evoluzione dei prezzi dei generi alimentari e dell'energia</w:t>
      </w:r>
      <w:r w:rsidR="00677B0F" w:rsidRPr="00677B0F">
        <w:t xml:space="preserve"> nel resto dell'anno.</w:t>
      </w:r>
      <w:r w:rsidR="00677B0F">
        <w:t xml:space="preserve"> </w:t>
      </w:r>
      <w:r w:rsidR="00677B0F" w:rsidRPr="007176E5">
        <w:rPr>
          <w:b/>
          <w:bCs/>
        </w:rPr>
        <w:t>Se queste dovessero aumentare in modo sensibile, l'inflazione complessiva potrebbe chiudere l'anno a tassi ancora troppo elevati</w:t>
      </w:r>
      <w:r w:rsidR="00677B0F" w:rsidRPr="00677B0F">
        <w:t xml:space="preserve">, il che a sua volta potrebbe portare a una catena di eventi </w:t>
      </w:r>
      <w:r w:rsidR="00240A81">
        <w:t>poco</w:t>
      </w:r>
      <w:r w:rsidR="00240A81" w:rsidRPr="00677B0F">
        <w:t xml:space="preserve"> </w:t>
      </w:r>
      <w:r w:rsidR="00677B0F" w:rsidRPr="00677B0F">
        <w:t>sgraditi.</w:t>
      </w:r>
      <w:r w:rsidR="00677B0F">
        <w:t xml:space="preserve"> </w:t>
      </w:r>
      <w:r w:rsidR="00677B0F" w:rsidRPr="00677B0F">
        <w:t>Vale a dire: disancoraggio delle aspettative di inflazione</w:t>
      </w:r>
      <w:r w:rsidR="00240A81">
        <w:t>,</w:t>
      </w:r>
      <w:r w:rsidR="00677B0F" w:rsidRPr="00677B0F">
        <w:t xml:space="preserve"> effetti significativi di seconda battuta su salari e prezzi</w:t>
      </w:r>
      <w:r w:rsidR="00240A81">
        <w:t>,</w:t>
      </w:r>
      <w:r w:rsidR="00677B0F" w:rsidRPr="00677B0F">
        <w:t xml:space="preserve"> rialzi dei tassi ancora più aggressivi da parte delle banche centrali</w:t>
      </w:r>
      <w:r w:rsidR="00240A81">
        <w:t>.</w:t>
      </w:r>
      <w:r w:rsidR="00677B0F" w:rsidRPr="00677B0F">
        <w:t xml:space="preserve"> </w:t>
      </w:r>
      <w:r w:rsidR="00240A81">
        <w:t>E,</w:t>
      </w:r>
      <w:r w:rsidR="00240A81" w:rsidRPr="00677B0F">
        <w:t xml:space="preserve"> </w:t>
      </w:r>
      <w:r w:rsidR="00677B0F" w:rsidRPr="00677B0F">
        <w:t>poi, recessione (forse significativa) come scenario centrale per il 2024.</w:t>
      </w:r>
    </w:p>
    <w:p w14:paraId="0EFF19BD" w14:textId="11B5E2EF" w:rsidR="00677B0F" w:rsidRPr="00003ADC" w:rsidRDefault="00A50EE2" w:rsidP="00015E27">
      <w:pPr>
        <w:pStyle w:val="Default"/>
        <w:rPr>
          <w:b/>
          <w:bCs/>
          <w:color w:val="auto"/>
          <w:sz w:val="22"/>
          <w:szCs w:val="22"/>
        </w:rPr>
      </w:pPr>
      <w:r w:rsidRPr="00003ADC">
        <w:rPr>
          <w:b/>
          <w:bCs/>
          <w:color w:val="auto"/>
          <w:sz w:val="22"/>
          <w:szCs w:val="22"/>
        </w:rPr>
        <w:t>View di mercato</w:t>
      </w:r>
    </w:p>
    <w:p w14:paraId="642A1023" w14:textId="77777777" w:rsidR="00677B0F" w:rsidRPr="00003ADC" w:rsidRDefault="00677B0F" w:rsidP="00015E27">
      <w:pPr>
        <w:pStyle w:val="Default"/>
        <w:rPr>
          <w:color w:val="auto"/>
          <w:sz w:val="22"/>
          <w:szCs w:val="22"/>
        </w:rPr>
      </w:pPr>
    </w:p>
    <w:p w14:paraId="2E91E06E" w14:textId="506C8D2B" w:rsidR="00677B0F" w:rsidRDefault="00677B0F" w:rsidP="00015E27">
      <w:pPr>
        <w:pStyle w:val="Default"/>
        <w:rPr>
          <w:color w:val="auto"/>
          <w:sz w:val="22"/>
          <w:szCs w:val="22"/>
        </w:rPr>
      </w:pPr>
      <w:r w:rsidRPr="00677B0F">
        <w:rPr>
          <w:b/>
          <w:bCs/>
          <w:color w:val="auto"/>
          <w:sz w:val="22"/>
          <w:szCs w:val="22"/>
        </w:rPr>
        <w:t>Titoli di Stato</w:t>
      </w:r>
      <w:r w:rsidRPr="00677B0F">
        <w:rPr>
          <w:color w:val="auto"/>
          <w:sz w:val="22"/>
          <w:szCs w:val="22"/>
        </w:rPr>
        <w:t xml:space="preserve">: </w:t>
      </w:r>
      <w:r w:rsidRPr="007176E5">
        <w:rPr>
          <w:b/>
          <w:bCs/>
          <w:color w:val="auto"/>
          <w:sz w:val="22"/>
          <w:szCs w:val="22"/>
        </w:rPr>
        <w:t>i tassi d'interesse rimarranno relativamente alti per molto più tempo di quanto attualmente previsto dai mercati</w:t>
      </w:r>
      <w:r w:rsidRPr="00677B0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r w:rsidRPr="00677B0F">
        <w:rPr>
          <w:color w:val="auto"/>
          <w:sz w:val="22"/>
          <w:szCs w:val="22"/>
        </w:rPr>
        <w:t>In Giappone, invece, continuiamo a credere che la BOJ sarà costretta ad abbandonare la sua politica di controllo della curva nei prossimi mesi e che questo giustifichi posizioni corte sul decennale giapponese.</w:t>
      </w:r>
    </w:p>
    <w:p w14:paraId="3EABD3D7" w14:textId="77777777" w:rsidR="00677B0F" w:rsidRPr="00822B4F" w:rsidRDefault="00677B0F" w:rsidP="00015E27">
      <w:pPr>
        <w:pStyle w:val="Default"/>
        <w:rPr>
          <w:color w:val="auto"/>
          <w:sz w:val="22"/>
          <w:szCs w:val="22"/>
        </w:rPr>
      </w:pPr>
    </w:p>
    <w:p w14:paraId="3744E165" w14:textId="5F5FC4BE" w:rsidR="00677B0F" w:rsidRDefault="00677B0F" w:rsidP="00015E27">
      <w:pPr>
        <w:pStyle w:val="Default"/>
        <w:rPr>
          <w:color w:val="auto"/>
          <w:sz w:val="22"/>
          <w:szCs w:val="22"/>
        </w:rPr>
      </w:pPr>
      <w:r w:rsidRPr="00677B0F">
        <w:rPr>
          <w:b/>
          <w:bCs/>
          <w:color w:val="auto"/>
          <w:sz w:val="22"/>
          <w:szCs w:val="22"/>
        </w:rPr>
        <w:t>Credito</w:t>
      </w:r>
      <w:r w:rsidRPr="00677B0F">
        <w:rPr>
          <w:color w:val="auto"/>
          <w:sz w:val="22"/>
          <w:szCs w:val="22"/>
        </w:rPr>
        <w:t xml:space="preserve">: </w:t>
      </w:r>
      <w:r w:rsidRPr="007176E5">
        <w:rPr>
          <w:b/>
          <w:bCs/>
          <w:color w:val="auto"/>
          <w:sz w:val="22"/>
          <w:szCs w:val="22"/>
        </w:rPr>
        <w:t xml:space="preserve">continuiamo a preferire le obbligazioni societarie a bassa duration perché nel nostro scenario macro centrale i tassi di default non dovrebbero aumentare </w:t>
      </w:r>
      <w:r w:rsidR="008C6BAF">
        <w:rPr>
          <w:b/>
          <w:bCs/>
          <w:color w:val="auto"/>
          <w:sz w:val="22"/>
          <w:szCs w:val="22"/>
        </w:rPr>
        <w:t>eccessivamente</w:t>
      </w:r>
      <w:r w:rsidRPr="00677B0F">
        <w:rPr>
          <w:color w:val="auto"/>
          <w:sz w:val="22"/>
          <w:szCs w:val="22"/>
        </w:rPr>
        <w:t>. In ogni caso, continuiamo a combinare questa esposizione al credito con posizioni ben selezionate in titoli di Stato dei mercati emergenti in valuta locale.</w:t>
      </w:r>
      <w:r w:rsidR="00806AE4">
        <w:rPr>
          <w:color w:val="auto"/>
          <w:sz w:val="22"/>
          <w:szCs w:val="22"/>
        </w:rPr>
        <w:t xml:space="preserve"> </w:t>
      </w:r>
      <w:r w:rsidR="00202BF4">
        <w:rPr>
          <w:color w:val="auto"/>
          <w:sz w:val="22"/>
          <w:szCs w:val="22"/>
        </w:rPr>
        <w:t>Q</w:t>
      </w:r>
      <w:r w:rsidR="00806AE4" w:rsidRPr="00806AE4">
        <w:rPr>
          <w:color w:val="auto"/>
          <w:sz w:val="22"/>
          <w:szCs w:val="22"/>
        </w:rPr>
        <w:t xml:space="preserve">uesta asset class </w:t>
      </w:r>
      <w:r w:rsidR="008C6BAF">
        <w:rPr>
          <w:color w:val="auto"/>
          <w:sz w:val="22"/>
          <w:szCs w:val="22"/>
        </w:rPr>
        <w:t>ci convince</w:t>
      </w:r>
      <w:r w:rsidR="00202BF4">
        <w:rPr>
          <w:color w:val="auto"/>
          <w:sz w:val="22"/>
          <w:szCs w:val="22"/>
        </w:rPr>
        <w:t xml:space="preserve"> </w:t>
      </w:r>
      <w:r w:rsidR="00806AE4" w:rsidRPr="00806AE4">
        <w:rPr>
          <w:color w:val="auto"/>
          <w:sz w:val="22"/>
          <w:szCs w:val="22"/>
        </w:rPr>
        <w:t xml:space="preserve">per due motivi principali: in primo luogo, perché presenta ottime prospettive di rendimento, sia in termini di carry </w:t>
      </w:r>
      <w:r w:rsidR="008C6BAF">
        <w:rPr>
          <w:color w:val="auto"/>
          <w:sz w:val="22"/>
          <w:szCs w:val="22"/>
        </w:rPr>
        <w:t>sia</w:t>
      </w:r>
      <w:r w:rsidR="008C6BAF" w:rsidRPr="00806AE4">
        <w:rPr>
          <w:color w:val="auto"/>
          <w:sz w:val="22"/>
          <w:szCs w:val="22"/>
        </w:rPr>
        <w:t xml:space="preserve"> </w:t>
      </w:r>
      <w:r w:rsidR="00806AE4" w:rsidRPr="00806AE4">
        <w:rPr>
          <w:color w:val="auto"/>
          <w:sz w:val="22"/>
          <w:szCs w:val="22"/>
        </w:rPr>
        <w:t>di potenziale apprezzamento del tasso di cambio</w:t>
      </w:r>
      <w:r w:rsidR="008C6BAF">
        <w:rPr>
          <w:color w:val="auto"/>
          <w:sz w:val="22"/>
          <w:szCs w:val="22"/>
        </w:rPr>
        <w:t>. I</w:t>
      </w:r>
      <w:r w:rsidR="00806AE4" w:rsidRPr="00806AE4">
        <w:rPr>
          <w:color w:val="auto"/>
          <w:sz w:val="22"/>
          <w:szCs w:val="22"/>
        </w:rPr>
        <w:t xml:space="preserve">n secondo luogo, perché </w:t>
      </w:r>
      <w:r w:rsidR="00806AE4" w:rsidRPr="007176E5">
        <w:rPr>
          <w:b/>
          <w:bCs/>
          <w:color w:val="auto"/>
          <w:sz w:val="22"/>
          <w:szCs w:val="22"/>
        </w:rPr>
        <w:t>oggi esiste un gruppo di Paesi emergenti per i quali prevediamo tassi di crescita economica molto interessanti e che beneficiano anche di una solida governance economica, di deficit pubblici contenuti e di un'inflazione ragionevolmente bassa</w:t>
      </w:r>
      <w:r w:rsidR="005F31D5">
        <w:rPr>
          <w:color w:val="auto"/>
          <w:sz w:val="22"/>
          <w:szCs w:val="22"/>
        </w:rPr>
        <w:t>. Q</w:t>
      </w:r>
      <w:r w:rsidR="005F31D5" w:rsidRPr="00806AE4">
        <w:rPr>
          <w:color w:val="auto"/>
          <w:sz w:val="22"/>
          <w:szCs w:val="22"/>
        </w:rPr>
        <w:t xml:space="preserve">ueste </w:t>
      </w:r>
      <w:r w:rsidR="00806AE4" w:rsidRPr="00806AE4">
        <w:rPr>
          <w:color w:val="auto"/>
          <w:sz w:val="22"/>
          <w:szCs w:val="22"/>
        </w:rPr>
        <w:t>caratteristiche, a nostro avviso, fanno sì che l'esposizione ai titoli di Stato in valuta locale di questi Paesi sia oggi meno rischiosa che in passato.</w:t>
      </w:r>
    </w:p>
    <w:p w14:paraId="7A1CE91A" w14:textId="77777777" w:rsidR="00806AE4" w:rsidRPr="00822B4F" w:rsidRDefault="00806AE4" w:rsidP="00015E27">
      <w:pPr>
        <w:pStyle w:val="Default"/>
        <w:rPr>
          <w:color w:val="auto"/>
          <w:sz w:val="22"/>
          <w:szCs w:val="22"/>
        </w:rPr>
      </w:pPr>
    </w:p>
    <w:p w14:paraId="02C24B43" w14:textId="5F77F086" w:rsidR="00806AE4" w:rsidRDefault="00806AE4" w:rsidP="00015E27">
      <w:pPr>
        <w:pStyle w:val="Default"/>
        <w:rPr>
          <w:color w:val="auto"/>
          <w:sz w:val="22"/>
          <w:szCs w:val="22"/>
        </w:rPr>
      </w:pPr>
      <w:r w:rsidRPr="00806AE4">
        <w:rPr>
          <w:b/>
          <w:bCs/>
          <w:color w:val="auto"/>
          <w:sz w:val="22"/>
          <w:szCs w:val="22"/>
        </w:rPr>
        <w:t>Azioni</w:t>
      </w:r>
      <w:r w:rsidRPr="00806AE4">
        <w:rPr>
          <w:color w:val="auto"/>
          <w:sz w:val="22"/>
          <w:szCs w:val="22"/>
        </w:rPr>
        <w:t>: il segmento di mercato value/ciclico (comprese le banche) dovrebbe fare meglio di quello growth/difensivo. Dal punto di vista geografico, preferiamo il mercato europeo a quello statunitense.</w:t>
      </w:r>
      <w:r>
        <w:rPr>
          <w:color w:val="auto"/>
          <w:sz w:val="22"/>
          <w:szCs w:val="22"/>
        </w:rPr>
        <w:t xml:space="preserve"> </w:t>
      </w:r>
      <w:r w:rsidRPr="00806AE4">
        <w:rPr>
          <w:color w:val="auto"/>
          <w:sz w:val="22"/>
          <w:szCs w:val="22"/>
        </w:rPr>
        <w:t xml:space="preserve">Allo stesso tempo, l'Asia emergente sarà chiaramente la regione a più rapida crescita a livello globale sia nel breve </w:t>
      </w:r>
      <w:r w:rsidR="005F31D5">
        <w:rPr>
          <w:color w:val="auto"/>
          <w:sz w:val="22"/>
          <w:szCs w:val="22"/>
        </w:rPr>
        <w:t>sia</w:t>
      </w:r>
      <w:r w:rsidR="005F31D5" w:rsidRPr="00806AE4">
        <w:rPr>
          <w:color w:val="auto"/>
          <w:sz w:val="22"/>
          <w:szCs w:val="22"/>
        </w:rPr>
        <w:t xml:space="preserve"> </w:t>
      </w:r>
      <w:r w:rsidRPr="00806AE4">
        <w:rPr>
          <w:color w:val="auto"/>
          <w:sz w:val="22"/>
          <w:szCs w:val="22"/>
        </w:rPr>
        <w:t>nel medio termine e pertanto continuiamo a privilegiare una certa esposizione alle azioni di questa regione.</w:t>
      </w:r>
    </w:p>
    <w:p w14:paraId="4AEEBC4D" w14:textId="77777777" w:rsidR="00806AE4" w:rsidRPr="00806AE4" w:rsidRDefault="00806AE4" w:rsidP="00015E27">
      <w:pPr>
        <w:pStyle w:val="Default"/>
        <w:rPr>
          <w:color w:val="auto"/>
          <w:sz w:val="22"/>
          <w:szCs w:val="22"/>
        </w:rPr>
      </w:pPr>
    </w:p>
    <w:p w14:paraId="0EBBDD4B" w14:textId="1F89DE56" w:rsidR="00806AE4" w:rsidRPr="00806AE4" w:rsidRDefault="00806AE4" w:rsidP="00015E27">
      <w:r w:rsidRPr="00806AE4">
        <w:rPr>
          <w:b/>
          <w:bCs/>
        </w:rPr>
        <w:t>Valute</w:t>
      </w:r>
      <w:r w:rsidRPr="00806AE4">
        <w:t xml:space="preserve">: i livelli del dollaro intorno a 1,10 (o meglio ancora 1,12, se </w:t>
      </w:r>
      <w:r w:rsidR="005F31D5">
        <w:t>dovesse</w:t>
      </w:r>
      <w:r w:rsidR="005F31D5" w:rsidRPr="00806AE4">
        <w:t xml:space="preserve"> </w:t>
      </w:r>
      <w:r w:rsidRPr="00806AE4">
        <w:t>arriva</w:t>
      </w:r>
      <w:r w:rsidR="005F31D5">
        <w:t>rci</w:t>
      </w:r>
      <w:r w:rsidRPr="00806AE4">
        <w:t xml:space="preserve">) </w:t>
      </w:r>
      <w:r w:rsidR="00202BF4">
        <w:t>possono essere</w:t>
      </w:r>
      <w:r w:rsidRPr="00806AE4">
        <w:t xml:space="preserve"> interessanti per rendere questa valuta una buona copertura per gli investitori in euro. Allo stesso tempo, </w:t>
      </w:r>
      <w:r w:rsidR="005F31D5">
        <w:t>alla luce</w:t>
      </w:r>
      <w:r w:rsidR="005F31D5" w:rsidRPr="00806AE4">
        <w:t xml:space="preserve"> </w:t>
      </w:r>
      <w:r w:rsidR="005F31D5">
        <w:t>de</w:t>
      </w:r>
      <w:r w:rsidRPr="00806AE4">
        <w:t xml:space="preserve">i buoni segnali che il Giappone sta generando, riteniamo che anche lo yen possa </w:t>
      </w:r>
      <w:r w:rsidR="005F31D5">
        <w:t>offrire</w:t>
      </w:r>
      <w:r w:rsidR="005F31D5" w:rsidRPr="00806AE4">
        <w:t xml:space="preserve"> </w:t>
      </w:r>
      <w:r w:rsidRPr="00806AE4">
        <w:t>una buona posizione di copertura per il resto dell'anno.</w:t>
      </w:r>
      <w:r>
        <w:t xml:space="preserve"> </w:t>
      </w:r>
      <w:r w:rsidRPr="00806AE4">
        <w:t xml:space="preserve">Inoltre, </w:t>
      </w:r>
      <w:r w:rsidR="00202BF4">
        <w:t>sono</w:t>
      </w:r>
      <w:r w:rsidR="00202BF4" w:rsidRPr="00806AE4">
        <w:t xml:space="preserve"> </w:t>
      </w:r>
      <w:r w:rsidRPr="00806AE4">
        <w:t xml:space="preserve">interessanti anche alcune valute come la sterlina o la corona norvegese </w:t>
      </w:r>
      <w:r w:rsidR="00202BF4">
        <w:t>ma anche</w:t>
      </w:r>
      <w:r w:rsidRPr="00806AE4">
        <w:t xml:space="preserve"> le valute emergenti di paesi con una buona governance macro e livelli di carry interessanti.</w:t>
      </w:r>
    </w:p>
    <w:sectPr w:rsidR="00806AE4" w:rsidRPr="00806A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40"/>
    <w:rsid w:val="00003ADC"/>
    <w:rsid w:val="00015E27"/>
    <w:rsid w:val="0008048F"/>
    <w:rsid w:val="000B07F6"/>
    <w:rsid w:val="00202BF4"/>
    <w:rsid w:val="00203CBB"/>
    <w:rsid w:val="00240A81"/>
    <w:rsid w:val="00324630"/>
    <w:rsid w:val="004A3FD4"/>
    <w:rsid w:val="004B63C3"/>
    <w:rsid w:val="005F31D5"/>
    <w:rsid w:val="00677B0F"/>
    <w:rsid w:val="007176E5"/>
    <w:rsid w:val="00781A7E"/>
    <w:rsid w:val="00806AE4"/>
    <w:rsid w:val="00822B4F"/>
    <w:rsid w:val="008C6BAF"/>
    <w:rsid w:val="00A50EE2"/>
    <w:rsid w:val="00A536F5"/>
    <w:rsid w:val="00AF55BE"/>
    <w:rsid w:val="00B01B63"/>
    <w:rsid w:val="00B056B8"/>
    <w:rsid w:val="00BE7F23"/>
    <w:rsid w:val="00CB18BA"/>
    <w:rsid w:val="00DA246D"/>
    <w:rsid w:val="00E41362"/>
    <w:rsid w:val="00E6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769F"/>
  <w15:chartTrackingRefBased/>
  <w15:docId w15:val="{42304990-E576-4F92-979A-9640103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5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Revisione">
    <w:name w:val="Revision"/>
    <w:hidden/>
    <w:uiPriority w:val="99"/>
    <w:semiHidden/>
    <w:rsid w:val="00324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Bogo</dc:creator>
  <cp:keywords/>
  <dc:description/>
  <cp:lastModifiedBy>Diana Ferla</cp:lastModifiedBy>
  <cp:revision>22</cp:revision>
  <dcterms:created xsi:type="dcterms:W3CDTF">2023-05-08T14:32:00Z</dcterms:created>
  <dcterms:modified xsi:type="dcterms:W3CDTF">2023-05-09T13:35:00Z</dcterms:modified>
</cp:coreProperties>
</file>