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63AAB" w:rsidRDefault="00EA20F2" w:rsidP="00563AAB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4FF4B20E" w14:textId="1E404B71" w:rsidR="004760A8" w:rsidRPr="00563AAB" w:rsidRDefault="00563AAB" w:rsidP="00563AAB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563AAB">
        <w:rPr>
          <w:rFonts w:ascii="Arial" w:hAnsi="Arial" w:cs="Arial"/>
          <w:b/>
          <w:sz w:val="36"/>
          <w:szCs w:val="36"/>
        </w:rPr>
        <w:t>FLASH - Inflazione USA: leggero calo, più marcato nella parte "</w:t>
      </w:r>
      <w:proofErr w:type="spellStart"/>
      <w:r w:rsidRPr="00563AAB">
        <w:rPr>
          <w:rFonts w:ascii="Arial" w:hAnsi="Arial" w:cs="Arial"/>
          <w:b/>
          <w:sz w:val="36"/>
          <w:szCs w:val="36"/>
        </w:rPr>
        <w:t>supercore</w:t>
      </w:r>
      <w:proofErr w:type="spellEnd"/>
      <w:r w:rsidRPr="00563AAB">
        <w:rPr>
          <w:rFonts w:ascii="Arial" w:hAnsi="Arial" w:cs="Arial"/>
          <w:b/>
          <w:sz w:val="36"/>
          <w:szCs w:val="36"/>
        </w:rPr>
        <w:t>"</w:t>
      </w:r>
    </w:p>
    <w:p w14:paraId="5D67ECBD" w14:textId="77777777" w:rsidR="00563AAB" w:rsidRPr="00563AAB" w:rsidRDefault="00563AAB" w:rsidP="00563AAB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6666A875" w:rsidR="00A76468" w:rsidRPr="00563AAB" w:rsidRDefault="00A76468" w:rsidP="00563AAB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63AAB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563AAB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563AAB">
        <w:rPr>
          <w:rFonts w:ascii="Arial" w:hAnsi="Arial" w:cs="Arial"/>
          <w:bCs/>
          <w:i/>
          <w:iCs/>
          <w:sz w:val="24"/>
          <w:szCs w:val="24"/>
        </w:rPr>
        <w:t xml:space="preserve"> Global Strategist, Intermonte</w:t>
      </w:r>
    </w:p>
    <w:bookmarkEnd w:id="0"/>
    <w:p w14:paraId="613A8689" w14:textId="77777777" w:rsidR="00BC43BE" w:rsidRPr="00563AAB" w:rsidRDefault="00BC43BE" w:rsidP="00563AAB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3559ACD0" w14:textId="77777777" w:rsidR="004760A8" w:rsidRPr="00563AAB" w:rsidRDefault="004760A8" w:rsidP="00563AAB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18615B64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</w:rPr>
      </w:pPr>
    </w:p>
    <w:p w14:paraId="69FBC94B" w14:textId="390BF0C4" w:rsidR="00563AAB" w:rsidRPr="00563AAB" w:rsidRDefault="00563AAB" w:rsidP="00563AAB">
      <w:pPr>
        <w:numPr>
          <w:ilvl w:val="0"/>
          <w:numId w:val="46"/>
        </w:numPr>
        <w:spacing w:after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>Inflazione USA di aprile</w:t>
      </w: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leggermente sotto le attese 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>sia in termini generali sia core, ma soprattutto con un sensibile calo della componente cosiddetta</w:t>
      </w: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supercore</w:t>
      </w:r>
      <w:proofErr w:type="spellEnd"/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(al netto cioè degli affitti oltre che di alimentari ed energia) passata da 5,8 a 5,1% a/a e, per la prima volta da settembre 2022, sotto l'inflazione core  </w:t>
      </w:r>
    </w:p>
    <w:p w14:paraId="7B662466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8CB0D4" w14:textId="77777777" w:rsid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3367A09" wp14:editId="02B66EE9">
            <wp:extent cx="4389120" cy="2156460"/>
            <wp:effectExtent l="0" t="0" r="11430" b="15240"/>
            <wp:docPr id="1954713696" name="Immagine 3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13696" name="Immagine 3" descr="Immagine che contiene testo, schermata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7EA9" w14:textId="77777777" w:rsid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DCEF570" w14:textId="77777777" w:rsid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6A7992" w14:textId="77777777" w:rsid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88F5B50" w14:textId="27AA96DE" w:rsidR="00563AAB" w:rsidRP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BF4632B" wp14:editId="6ABE7E1F">
            <wp:extent cx="3619500" cy="2209800"/>
            <wp:effectExtent l="0" t="0" r="0" b="0"/>
            <wp:docPr id="1796094098" name="Immagine 2" descr="Immagine che contiene testo, diagramm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094098" name="Immagine 2" descr="Immagine che contiene testo, diagramma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C216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589E69" w14:textId="1A205ACF" w:rsidR="00563AAB" w:rsidRPr="00563AAB" w:rsidRDefault="00563AAB" w:rsidP="00563AAB">
      <w:pPr>
        <w:numPr>
          <w:ilvl w:val="0"/>
          <w:numId w:val="47"/>
        </w:numPr>
        <w:spacing w:after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Ad alimentare il ridimensionamento della </w:t>
      </w:r>
      <w:proofErr w:type="spellStart"/>
      <w:r w:rsidR="00D142A5">
        <w:rPr>
          <w:rFonts w:ascii="Arial" w:eastAsia="Times New Roman" w:hAnsi="Arial" w:cs="Arial"/>
          <w:color w:val="000000"/>
          <w:sz w:val="24"/>
          <w:szCs w:val="24"/>
        </w:rPr>
        <w:t>supercore</w:t>
      </w:r>
      <w:proofErr w:type="spellEnd"/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soprattutto il rallentamento della componente </w:t>
      </w:r>
      <w:proofErr w:type="spellStart"/>
      <w:r w:rsidRPr="00563AAB">
        <w:rPr>
          <w:rFonts w:ascii="Arial" w:eastAsia="Times New Roman" w:hAnsi="Arial" w:cs="Arial"/>
          <w:color w:val="000000"/>
          <w:sz w:val="24"/>
          <w:szCs w:val="24"/>
        </w:rPr>
        <w:t>medical</w:t>
      </w:r>
      <w:proofErr w:type="spellEnd"/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care</w:t>
      </w:r>
    </w:p>
    <w:p w14:paraId="5FC1E282" w14:textId="04C68E4A" w:rsidR="00563AAB" w:rsidRPr="00563AAB" w:rsidRDefault="00563AAB" w:rsidP="00563AAB">
      <w:pPr>
        <w:numPr>
          <w:ilvl w:val="0"/>
          <w:numId w:val="48"/>
        </w:numPr>
        <w:spacing w:after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componente affitti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(che rappresenta oltre il 30% dell'intero paniere) inizia a dare qualche primo </w:t>
      </w:r>
      <w:r w:rsidR="00D142A5">
        <w:rPr>
          <w:rFonts w:ascii="Arial" w:eastAsia="Times New Roman" w:hAnsi="Arial" w:cs="Arial"/>
          <w:color w:val="000000"/>
          <w:sz w:val="24"/>
          <w:szCs w:val="24"/>
        </w:rPr>
        <w:t>timido</w:t>
      </w:r>
      <w:r w:rsidR="00D142A5"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>segnale di rallentamento in termini mensili soprattutto grazie al calo di alcune componenti collegate agli affitti al di fuori dell'abitazione principale (in rosso nel grafico in basso)</w:t>
      </w:r>
    </w:p>
    <w:p w14:paraId="2C1B7031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ABCEE9" w14:textId="0373B2E8" w:rsidR="00563AAB" w:rsidRPr="00563AAB" w:rsidRDefault="00563AAB" w:rsidP="00563AAB">
      <w:pPr>
        <w:spacing w:after="0" w:line="20" w:lineRule="atLeast"/>
        <w:jc w:val="center"/>
        <w:rPr>
          <w:rFonts w:ascii="Arial" w:eastAsia="Times New Roman" w:hAnsi="Arial" w:cs="Arial"/>
        </w:rPr>
      </w:pPr>
      <w:r w:rsidRPr="00563AAB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598D2F6D" wp14:editId="53D3E7E2">
            <wp:extent cx="6120130" cy="1807210"/>
            <wp:effectExtent l="0" t="0" r="13970" b="2540"/>
            <wp:docPr id="2027598961" name="Immagine 1" descr="Immagine che contiene schermata, testo, Diagramma, Policrom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98961" name="Immagine 1" descr="Immagine che contiene schermata, testo, Diagramma, Policrom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8294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</w:rPr>
      </w:pPr>
    </w:p>
    <w:p w14:paraId="29F761FA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</w:rPr>
      </w:pPr>
    </w:p>
    <w:p w14:paraId="1276711D" w14:textId="3081A735" w:rsidR="00563AAB" w:rsidRPr="00563AAB" w:rsidRDefault="00563AAB" w:rsidP="00563AAB">
      <w:pPr>
        <w:numPr>
          <w:ilvl w:val="0"/>
          <w:numId w:val="49"/>
        </w:numPr>
        <w:spacing w:after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>Complessivamente si tratta di un andamento che</w:t>
      </w: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riduce le pressioni sulla Fed su ulteriori rialzi dei tassi a giugno e luglio</w:t>
      </w:r>
    </w:p>
    <w:p w14:paraId="3ACAF339" w14:textId="70F9B58C" w:rsidR="00563AAB" w:rsidRPr="008756B4" w:rsidRDefault="00563AAB" w:rsidP="00E079ED">
      <w:pPr>
        <w:numPr>
          <w:ilvl w:val="1"/>
          <w:numId w:val="49"/>
        </w:numPr>
        <w:spacing w:after="0" w:line="20" w:lineRule="atLeas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6B4">
        <w:rPr>
          <w:rFonts w:ascii="Arial" w:eastAsia="Times New Roman" w:hAnsi="Arial" w:cs="Arial"/>
          <w:color w:val="000000"/>
          <w:sz w:val="24"/>
          <w:szCs w:val="24"/>
        </w:rPr>
        <w:t xml:space="preserve">Allo stesso modo un dato che </w:t>
      </w:r>
      <w:r w:rsidRPr="00875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aumenta la percezione di un eccesso di aspettative di mercato sull'ipotesi di riduzione dei tassi entro fine anno</w:t>
      </w:r>
      <w:r w:rsidRPr="008756B4">
        <w:rPr>
          <w:rFonts w:ascii="Arial" w:eastAsia="Times New Roman" w:hAnsi="Arial" w:cs="Arial"/>
          <w:color w:val="000000"/>
          <w:sz w:val="24"/>
          <w:szCs w:val="24"/>
        </w:rPr>
        <w:t xml:space="preserve">, stimata in circa 100 </w:t>
      </w:r>
      <w:proofErr w:type="spellStart"/>
      <w:r w:rsidRPr="008756B4">
        <w:rPr>
          <w:rFonts w:ascii="Arial" w:eastAsia="Times New Roman" w:hAnsi="Arial" w:cs="Arial"/>
          <w:color w:val="000000"/>
          <w:sz w:val="24"/>
          <w:szCs w:val="24"/>
        </w:rPr>
        <w:t>pb</w:t>
      </w:r>
      <w:proofErr w:type="spellEnd"/>
      <w:r w:rsidRPr="008756B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16E1AAA6" w14:textId="2EE4C8AE" w:rsidR="00563AAB" w:rsidRPr="00563AAB" w:rsidRDefault="00563AAB" w:rsidP="00563AAB">
      <w:pPr>
        <w:numPr>
          <w:ilvl w:val="0"/>
          <w:numId w:val="49"/>
        </w:numPr>
        <w:spacing w:after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>Queste indicazioni consentono ai tassi US di ridurre nel breve termine il rialzo che aveva portato in pochi giorni il tasso decennale da 3,30% a 3,53%</w:t>
      </w:r>
    </w:p>
    <w:p w14:paraId="76D1A31B" w14:textId="55541B6A" w:rsidR="00563AAB" w:rsidRPr="00563AAB" w:rsidRDefault="00563AAB" w:rsidP="007C6B95">
      <w:pPr>
        <w:numPr>
          <w:ilvl w:val="1"/>
          <w:numId w:val="49"/>
        </w:numPr>
        <w:spacing w:after="0" w:line="20" w:lineRule="atLeas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>Sull'andamento odierno contribuisce anche la marcata riduzione dell'offerta di bond corporate Investment grade USA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>, dopo circa 28Mld$ emessi nei primi due giorni della settimana (tra cui 5,25Mld$ di Apple) prima del dato odierno</w:t>
      </w:r>
    </w:p>
    <w:p w14:paraId="636B32E6" w14:textId="16AC958A" w:rsidR="00563AAB" w:rsidRPr="00563AAB" w:rsidRDefault="00563AAB" w:rsidP="00563AAB">
      <w:pPr>
        <w:numPr>
          <w:ilvl w:val="1"/>
          <w:numId w:val="49"/>
        </w:numPr>
        <w:spacing w:after="0" w:line="20" w:lineRule="atLeas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>Il flusso di emissioni potrebbe riprendere nei prossimi giorni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il che potrebbe temporaneamente riportare in alto i tassi con due  livelli di resistenza chiave in area 3,55 e 3,65%</w:t>
      </w:r>
    </w:p>
    <w:p w14:paraId="228C9792" w14:textId="36C43451" w:rsidR="00563AAB" w:rsidRPr="00563AAB" w:rsidRDefault="00563AAB" w:rsidP="00563AAB">
      <w:pPr>
        <w:pStyle w:val="xcontentpasted3"/>
        <w:numPr>
          <w:ilvl w:val="0"/>
          <w:numId w:val="50"/>
        </w:numPr>
        <w:spacing w:before="0" w:beforeAutospacing="0" w:after="0" w:afterAutospacing="0" w:line="2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ottica secondo semestre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rimane l'attesa di marcato calo dei tassi che sul comparto decennale potrebbe spingersi fino al 2/2,5% per fine anno in vista dell'attesa recessione US indotta dalla contrazione del credito e rispett</w:t>
      </w:r>
      <w:r>
        <w:rPr>
          <w:rFonts w:ascii="Arial" w:eastAsia="Times New Roman" w:hAnsi="Arial" w:cs="Arial"/>
          <w:color w:val="000000"/>
          <w:sz w:val="24"/>
          <w:szCs w:val="24"/>
        </w:rPr>
        <w:t>iv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o calo della </w:t>
      </w:r>
      <w:r w:rsidR="00D142A5">
        <w:rPr>
          <w:rFonts w:ascii="Arial" w:eastAsia="Times New Roman" w:hAnsi="Arial" w:cs="Arial"/>
          <w:color w:val="000000"/>
          <w:sz w:val="24"/>
          <w:szCs w:val="24"/>
        </w:rPr>
        <w:t xml:space="preserve">domanda 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>di credito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come emerso dal  recente  Senior </w:t>
      </w:r>
      <w:proofErr w:type="spellStart"/>
      <w:r w:rsidRPr="00563AAB">
        <w:rPr>
          <w:rFonts w:ascii="Arial" w:eastAsia="Times New Roman" w:hAnsi="Arial" w:cs="Arial"/>
          <w:color w:val="000000"/>
          <w:sz w:val="24"/>
          <w:szCs w:val="24"/>
        </w:rPr>
        <w:t>Loan</w:t>
      </w:r>
      <w:proofErr w:type="spellEnd"/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3AAB">
        <w:rPr>
          <w:rFonts w:ascii="Arial" w:eastAsia="Times New Roman" w:hAnsi="Arial" w:cs="Arial"/>
          <w:color w:val="000000"/>
          <w:sz w:val="24"/>
          <w:szCs w:val="24"/>
        </w:rPr>
        <w:t>Officer</w:t>
      </w:r>
      <w:proofErr w:type="spellEnd"/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Opinion Survey pubblicato dalla FED</w:t>
      </w:r>
    </w:p>
    <w:p w14:paraId="069F72BE" w14:textId="77777777" w:rsidR="00563AAB" w:rsidRPr="00563AAB" w:rsidRDefault="00563AAB" w:rsidP="00563AAB">
      <w:pPr>
        <w:numPr>
          <w:ilvl w:val="1"/>
          <w:numId w:val="49"/>
        </w:numPr>
        <w:spacing w:after="0" w:line="20" w:lineRule="atLeas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3AAB">
        <w:rPr>
          <w:rFonts w:ascii="Arial" w:eastAsia="Times New Roman" w:hAnsi="Arial" w:cs="Arial"/>
          <w:color w:val="000000"/>
          <w:sz w:val="24"/>
          <w:szCs w:val="24"/>
        </w:rPr>
        <w:t>Il</w:t>
      </w:r>
      <w:r w:rsidRPr="00563A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supporto chiave</w:t>
      </w:r>
      <w:r w:rsidRPr="00563AAB">
        <w:rPr>
          <w:rFonts w:ascii="Arial" w:eastAsia="Times New Roman" w:hAnsi="Arial" w:cs="Arial"/>
          <w:color w:val="000000"/>
          <w:sz w:val="24"/>
          <w:szCs w:val="24"/>
        </w:rPr>
        <w:t xml:space="preserve"> da monitorare per ipotizzare l'inizio del calo ipotizzato è l'area 3,30% sul comparto decennale USA</w:t>
      </w:r>
    </w:p>
    <w:p w14:paraId="2E018711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BA758D1" w14:textId="77777777" w:rsidR="00563AAB" w:rsidRPr="00563AAB" w:rsidRDefault="00563AAB" w:rsidP="00563AAB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2E4E26" w14:textId="77777777" w:rsidR="004760A8" w:rsidRPr="00563AAB" w:rsidRDefault="004760A8" w:rsidP="00563AAB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7FCD3608" w14:textId="7AEFEBEB" w:rsidR="00BC43BE" w:rsidRPr="00563AAB" w:rsidRDefault="00BC43BE" w:rsidP="00563AAB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563AAB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2BA6C97E" w14:textId="2326D104" w:rsidR="00BC43BE" w:rsidRPr="00563AAB" w:rsidRDefault="004D5E74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63AAB">
        <w:rPr>
          <w:rFonts w:ascii="Arial" w:hAnsi="Arial" w:cs="Arial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 &amp; Advisory”. L’Investment Banking offre servizi rivolti a imprese quotate e non quotate in operazioni straordinarie, incluse operazioni di Equity Capital Markets, M&amp;A e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563AAB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563AAB">
        <w:rPr>
          <w:rFonts w:ascii="Arial" w:hAnsi="Arial" w:cs="Arial"/>
          <w:color w:val="000000"/>
          <w:sz w:val="18"/>
          <w:szCs w:val="18"/>
        </w:rPr>
        <w:t xml:space="preserve">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388CB094" w14:textId="77777777" w:rsidR="00BC43BE" w:rsidRPr="00563AAB" w:rsidRDefault="00BC43BE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63AAB" w:rsidRDefault="00BC43BE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63AAB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63AAB" w:rsidRDefault="00BC43BE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63AAB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63AAB" w:rsidRDefault="00BC43BE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63AAB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63AAB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563AAB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63AAB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63AAB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63AAB">
        <w:rPr>
          <w:rFonts w:ascii="Arial" w:hAnsi="Arial" w:cs="Arial"/>
          <w:b/>
          <w:i/>
          <w:sz w:val="18"/>
          <w:szCs w:val="18"/>
        </w:rPr>
        <w:t>+39 335 5635111</w:t>
      </w:r>
    </w:p>
    <w:p w14:paraId="7C68B0E8" w14:textId="77777777" w:rsidR="00BC43BE" w:rsidRPr="00563AAB" w:rsidRDefault="00BC43BE" w:rsidP="00563AAB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63AAB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563AAB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5" w:history="1">
        <w:r w:rsidRPr="00563AAB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563AAB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563AAB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563AAB" w:rsidRDefault="00A76468" w:rsidP="00563AAB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u w:val="single"/>
        </w:rPr>
      </w:pPr>
    </w:p>
    <w:sectPr w:rsidR="00A76468" w:rsidRPr="00563AAB" w:rsidSect="00BC43BE">
      <w:footerReference w:type="default" r:id="rId16"/>
      <w:headerReference w:type="first" r:id="rId17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C0F5" w14:textId="77777777" w:rsidR="008A1430" w:rsidRDefault="008A1430" w:rsidP="00652E76">
      <w:pPr>
        <w:spacing w:after="0" w:line="240" w:lineRule="auto"/>
      </w:pPr>
      <w:r>
        <w:separator/>
      </w:r>
    </w:p>
  </w:endnote>
  <w:endnote w:type="continuationSeparator" w:id="0">
    <w:p w14:paraId="5B16B633" w14:textId="77777777" w:rsidR="008A1430" w:rsidRDefault="008A1430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E30" w14:textId="77777777" w:rsidR="008A1430" w:rsidRDefault="008A1430" w:rsidP="00652E76">
      <w:pPr>
        <w:spacing w:after="0" w:line="240" w:lineRule="auto"/>
      </w:pPr>
      <w:r>
        <w:separator/>
      </w:r>
    </w:p>
  </w:footnote>
  <w:footnote w:type="continuationSeparator" w:id="0">
    <w:p w14:paraId="2536A575" w14:textId="77777777" w:rsidR="008A1430" w:rsidRDefault="008A1430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A03A95"/>
    <w:multiLevelType w:val="multilevel"/>
    <w:tmpl w:val="54B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E145CB"/>
    <w:multiLevelType w:val="multilevel"/>
    <w:tmpl w:val="5DB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62604"/>
    <w:multiLevelType w:val="multilevel"/>
    <w:tmpl w:val="544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E57AE"/>
    <w:multiLevelType w:val="multilevel"/>
    <w:tmpl w:val="E61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C1D48"/>
    <w:multiLevelType w:val="multilevel"/>
    <w:tmpl w:val="194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4D433F"/>
    <w:multiLevelType w:val="multilevel"/>
    <w:tmpl w:val="13C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9B06DD"/>
    <w:multiLevelType w:val="multilevel"/>
    <w:tmpl w:val="0EC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01A50"/>
    <w:multiLevelType w:val="multilevel"/>
    <w:tmpl w:val="4CA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6B186B"/>
    <w:multiLevelType w:val="multilevel"/>
    <w:tmpl w:val="CDF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9"/>
  </w:num>
  <w:num w:numId="7" w16cid:durableId="75442133">
    <w:abstractNumId w:val="42"/>
  </w:num>
  <w:num w:numId="8" w16cid:durableId="1502354731">
    <w:abstractNumId w:val="37"/>
  </w:num>
  <w:num w:numId="9" w16cid:durableId="1159007046">
    <w:abstractNumId w:val="47"/>
  </w:num>
  <w:num w:numId="10" w16cid:durableId="1071583816">
    <w:abstractNumId w:val="14"/>
  </w:num>
  <w:num w:numId="11" w16cid:durableId="1773238840">
    <w:abstractNumId w:val="43"/>
  </w:num>
  <w:num w:numId="12" w16cid:durableId="1475416074">
    <w:abstractNumId w:val="27"/>
  </w:num>
  <w:num w:numId="13" w16cid:durableId="1911310375">
    <w:abstractNumId w:val="23"/>
  </w:num>
  <w:num w:numId="14" w16cid:durableId="562133050">
    <w:abstractNumId w:val="31"/>
  </w:num>
  <w:num w:numId="15" w16cid:durableId="911350417">
    <w:abstractNumId w:val="46"/>
  </w:num>
  <w:num w:numId="16" w16cid:durableId="211770006">
    <w:abstractNumId w:val="21"/>
  </w:num>
  <w:num w:numId="17" w16cid:durableId="1675844259">
    <w:abstractNumId w:val="36"/>
  </w:num>
  <w:num w:numId="18" w16cid:durableId="1945729841">
    <w:abstractNumId w:val="17"/>
  </w:num>
  <w:num w:numId="19" w16cid:durableId="1849246288">
    <w:abstractNumId w:val="28"/>
  </w:num>
  <w:num w:numId="20" w16cid:durableId="1664627395">
    <w:abstractNumId w:val="41"/>
  </w:num>
  <w:num w:numId="21" w16cid:durableId="1930195021">
    <w:abstractNumId w:val="18"/>
  </w:num>
  <w:num w:numId="22" w16cid:durableId="1230382549">
    <w:abstractNumId w:val="26"/>
  </w:num>
  <w:num w:numId="23" w16cid:durableId="1602834213">
    <w:abstractNumId w:val="29"/>
  </w:num>
  <w:num w:numId="24" w16cid:durableId="236979604">
    <w:abstractNumId w:val="32"/>
  </w:num>
  <w:num w:numId="25" w16cid:durableId="1730954519">
    <w:abstractNumId w:val="24"/>
  </w:num>
  <w:num w:numId="26" w16cid:durableId="832911448">
    <w:abstractNumId w:val="35"/>
  </w:num>
  <w:num w:numId="27" w16cid:durableId="1350520802">
    <w:abstractNumId w:val="45"/>
  </w:num>
  <w:num w:numId="28" w16cid:durableId="2033845447">
    <w:abstractNumId w:val="8"/>
  </w:num>
  <w:num w:numId="29" w16cid:durableId="294414855">
    <w:abstractNumId w:val="38"/>
  </w:num>
  <w:num w:numId="30" w16cid:durableId="556012639">
    <w:abstractNumId w:val="48"/>
  </w:num>
  <w:num w:numId="31" w16cid:durableId="1600408554">
    <w:abstractNumId w:val="39"/>
  </w:num>
  <w:num w:numId="32" w16cid:durableId="1904828800">
    <w:abstractNumId w:val="7"/>
  </w:num>
  <w:num w:numId="33" w16cid:durableId="348222447">
    <w:abstractNumId w:val="50"/>
  </w:num>
  <w:num w:numId="34" w16cid:durableId="1788115590">
    <w:abstractNumId w:val="25"/>
  </w:num>
  <w:num w:numId="35" w16cid:durableId="354310954">
    <w:abstractNumId w:val="44"/>
  </w:num>
  <w:num w:numId="36" w16cid:durableId="135339046">
    <w:abstractNumId w:val="49"/>
  </w:num>
  <w:num w:numId="37" w16cid:durableId="1060129259">
    <w:abstractNumId w:val="13"/>
  </w:num>
  <w:num w:numId="38" w16cid:durableId="441917527">
    <w:abstractNumId w:val="12"/>
  </w:num>
  <w:num w:numId="39" w16cid:durableId="454492761">
    <w:abstractNumId w:val="40"/>
  </w:num>
  <w:num w:numId="40" w16cid:durableId="1477141141">
    <w:abstractNumId w:val="40"/>
  </w:num>
  <w:num w:numId="41" w16cid:durableId="1286542535">
    <w:abstractNumId w:val="16"/>
  </w:num>
  <w:num w:numId="42" w16cid:durableId="1982685923">
    <w:abstractNumId w:val="34"/>
  </w:num>
  <w:num w:numId="43" w16cid:durableId="747581034">
    <w:abstractNumId w:val="30"/>
  </w:num>
  <w:num w:numId="44" w16cid:durableId="1296642655">
    <w:abstractNumId w:val="20"/>
  </w:num>
  <w:num w:numId="45" w16cid:durableId="1730496065">
    <w:abstractNumId w:val="11"/>
  </w:num>
  <w:num w:numId="46" w16cid:durableId="1473399262">
    <w:abstractNumId w:val="33"/>
  </w:num>
  <w:num w:numId="47" w16cid:durableId="463231757">
    <w:abstractNumId w:val="10"/>
  </w:num>
  <w:num w:numId="48" w16cid:durableId="1507674456">
    <w:abstractNumId w:val="19"/>
  </w:num>
  <w:num w:numId="49" w16cid:durableId="878474449">
    <w:abstractNumId w:val="15"/>
  </w:num>
  <w:num w:numId="50" w16cid:durableId="169418848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A7F36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147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224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60A8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5E74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AAB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756B4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430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305C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2A5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paragraph" w:customStyle="1" w:styleId="contentpasted0">
    <w:name w:val="contentpasted0"/>
    <w:basedOn w:val="Normale"/>
    <w:uiPriority w:val="99"/>
    <w:semiHidden/>
    <w:rsid w:val="004760A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contentpasted3">
    <w:name w:val="x_contentpasted3"/>
    <w:basedOn w:val="Normale"/>
    <w:uiPriority w:val="99"/>
    <w:semiHidden/>
    <w:rsid w:val="00563A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7960ddf5-eb23-4deb-a2d2-48439bf698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c4e4abe-c2cd-46af-a760-d911eafa32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guerrini@bc-communication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838d192a-5c63-458d-a7e1-085a863d9bf6" TargetMode="External"/><Relationship Id="rId14" Type="http://schemas.openxmlformats.org/officeDocument/2006/relationships/hyperlink" Target="mailto:beatrice.cagn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74</cp:revision>
  <cp:lastPrinted>2023-03-23T08:36:00Z</cp:lastPrinted>
  <dcterms:created xsi:type="dcterms:W3CDTF">2021-10-28T14:10:00Z</dcterms:created>
  <dcterms:modified xsi:type="dcterms:W3CDTF">2023-05-10T15:28:00Z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