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9146" w14:textId="5DC206CC" w:rsidR="00E76308" w:rsidRPr="00DA0FA3" w:rsidRDefault="00AD5938" w:rsidP="00DA0FA3">
      <w:pPr>
        <w:spacing w:after="120" w:line="264" w:lineRule="auto"/>
        <w:rPr>
          <w:b/>
          <w:bCs/>
          <w:sz w:val="22"/>
          <w:szCs w:val="22"/>
          <w:lang w:val="it-IT"/>
        </w:rPr>
      </w:pPr>
      <w:r w:rsidRPr="00DA0FA3">
        <w:rPr>
          <w:b/>
          <w:bCs/>
          <w:sz w:val="22"/>
          <w:szCs w:val="22"/>
          <w:lang w:val="it-IT"/>
        </w:rPr>
        <w:t xml:space="preserve">T. Rowe Price: </w:t>
      </w:r>
      <w:r w:rsidR="00E76308" w:rsidRPr="00DA0FA3">
        <w:rPr>
          <w:b/>
          <w:bCs/>
          <w:sz w:val="22"/>
          <w:szCs w:val="22"/>
          <w:lang w:val="it-IT"/>
        </w:rPr>
        <w:t>Quale sarà il futuro del mercato delle obbligazioni AT1?</w:t>
      </w:r>
    </w:p>
    <w:p w14:paraId="75514FA6" w14:textId="7F744753" w:rsidR="008F09E1" w:rsidRPr="00DA0FA3" w:rsidRDefault="00E76308" w:rsidP="00DA0FA3">
      <w:pPr>
        <w:pStyle w:val="gims-article-infoauthor"/>
        <w:shd w:val="clear" w:color="auto" w:fill="FFFFFF"/>
        <w:spacing w:before="0" w:beforeAutospacing="0" w:after="120" w:afterAutospacing="0" w:line="264" w:lineRule="auto"/>
        <w:rPr>
          <w:rFonts w:ascii="Calibri" w:hAnsi="Calibri" w:cs="Calibri"/>
          <w:sz w:val="22"/>
          <w:szCs w:val="22"/>
          <w:lang w:val="en-US"/>
        </w:rPr>
      </w:pPr>
      <w:r w:rsidRPr="00DA0FA3">
        <w:rPr>
          <w:rFonts w:ascii="Calibri" w:hAnsi="Calibri" w:cs="Calibri"/>
          <w:sz w:val="22"/>
          <w:szCs w:val="22"/>
          <w:lang w:val="en-US"/>
        </w:rPr>
        <w:t xml:space="preserve">A </w:t>
      </w:r>
      <w:proofErr w:type="spellStart"/>
      <w:r w:rsidRPr="00DA0FA3">
        <w:rPr>
          <w:rFonts w:ascii="Calibri" w:hAnsi="Calibri" w:cs="Calibri"/>
          <w:sz w:val="22"/>
          <w:szCs w:val="22"/>
          <w:lang w:val="en-US"/>
        </w:rPr>
        <w:t>cura</w:t>
      </w:r>
      <w:proofErr w:type="spellEnd"/>
      <w:r w:rsidRPr="00DA0FA3">
        <w:rPr>
          <w:rFonts w:ascii="Calibri" w:hAnsi="Calibri" w:cs="Calibri"/>
          <w:sz w:val="22"/>
          <w:szCs w:val="22"/>
          <w:lang w:val="en-US"/>
        </w:rPr>
        <w:t xml:space="preserve"> di </w:t>
      </w:r>
      <w:r w:rsidR="008F09E1" w:rsidRPr="00DA0FA3">
        <w:rPr>
          <w:rFonts w:ascii="Calibri" w:hAnsi="Calibri" w:cs="Calibri"/>
          <w:b/>
          <w:bCs/>
          <w:sz w:val="22"/>
          <w:szCs w:val="22"/>
          <w:lang w:val="en-US"/>
        </w:rPr>
        <w:t>Rob Thomas, </w:t>
      </w:r>
      <w:r w:rsidR="008F09E1" w:rsidRPr="00DA0FA3">
        <w:rPr>
          <w:rStyle w:val="gims-article-infoauthortitle"/>
          <w:rFonts w:ascii="Calibri" w:eastAsiaTheme="majorEastAsia" w:hAnsi="Calibri" w:cs="Calibri"/>
          <w:b/>
          <w:bCs/>
          <w:sz w:val="22"/>
          <w:szCs w:val="22"/>
          <w:lang w:val="en-US"/>
        </w:rPr>
        <w:t>Credit Analyst</w:t>
      </w:r>
      <w:r w:rsidRPr="00DA0FA3">
        <w:rPr>
          <w:rStyle w:val="gims-article-infoauthortitle"/>
          <w:rFonts w:ascii="Calibri" w:hAnsi="Calibri" w:cs="Calibri"/>
          <w:b/>
          <w:bCs/>
          <w:sz w:val="22"/>
          <w:szCs w:val="22"/>
          <w:lang w:val="en-US"/>
        </w:rPr>
        <w:t xml:space="preserve">, e </w:t>
      </w:r>
      <w:hyperlink r:id="rId4" w:history="1">
        <w:proofErr w:type="spellStart"/>
        <w:r w:rsidR="008F09E1" w:rsidRPr="00DA0FA3">
          <w:rPr>
            <w:rStyle w:val="Collegamentoipertestuale"/>
            <w:rFonts w:ascii="Calibri" w:hAnsi="Calibri" w:cs="Calibri"/>
            <w:b/>
            <w:bCs/>
            <w:color w:val="auto"/>
            <w:sz w:val="22"/>
            <w:szCs w:val="22"/>
            <w:u w:val="none"/>
            <w:lang w:val="en-US"/>
          </w:rPr>
          <w:t>Bineesha</w:t>
        </w:r>
        <w:proofErr w:type="spellEnd"/>
        <w:r w:rsidRPr="00DA0FA3">
          <w:rPr>
            <w:rStyle w:val="Collegamentoipertestuale"/>
            <w:rFonts w:ascii="Calibri" w:hAnsi="Calibri" w:cs="Calibri"/>
            <w:b/>
            <w:bCs/>
            <w:color w:val="auto"/>
            <w:sz w:val="22"/>
            <w:szCs w:val="22"/>
            <w:u w:val="none"/>
            <w:lang w:val="en-US"/>
          </w:rPr>
          <w:t xml:space="preserve"> </w:t>
        </w:r>
        <w:proofErr w:type="spellStart"/>
        <w:r w:rsidR="008F09E1" w:rsidRPr="00DA0FA3">
          <w:rPr>
            <w:rStyle w:val="Collegamentoipertestuale"/>
            <w:rFonts w:ascii="Calibri" w:hAnsi="Calibri" w:cs="Calibri"/>
            <w:b/>
            <w:bCs/>
            <w:color w:val="auto"/>
            <w:sz w:val="22"/>
            <w:szCs w:val="22"/>
            <w:u w:val="none"/>
            <w:lang w:val="en-US"/>
          </w:rPr>
          <w:t>Wickremarachchi</w:t>
        </w:r>
        <w:proofErr w:type="spellEnd"/>
      </w:hyperlink>
      <w:r w:rsidR="008F09E1" w:rsidRPr="00DA0FA3">
        <w:rPr>
          <w:rFonts w:ascii="Calibri" w:hAnsi="Calibri" w:cs="Calibri"/>
          <w:b/>
          <w:bCs/>
          <w:sz w:val="22"/>
          <w:szCs w:val="22"/>
          <w:lang w:val="en-US"/>
        </w:rPr>
        <w:t>,</w:t>
      </w:r>
      <w:r w:rsidR="008F09E1" w:rsidRPr="00DA0FA3">
        <w:rPr>
          <w:rFonts w:ascii="Calibri" w:hAnsi="Calibri" w:cs="Calibri"/>
          <w:sz w:val="22"/>
          <w:szCs w:val="22"/>
          <w:lang w:val="en-US"/>
        </w:rPr>
        <w:t> </w:t>
      </w:r>
      <w:r w:rsidR="008F09E1" w:rsidRPr="00DA0FA3">
        <w:rPr>
          <w:rStyle w:val="gims-article-infoauthortitle"/>
          <w:rFonts w:ascii="Calibri" w:eastAsiaTheme="majorEastAsia" w:hAnsi="Calibri" w:cs="Calibri"/>
          <w:b/>
          <w:bCs/>
          <w:sz w:val="22"/>
          <w:szCs w:val="22"/>
          <w:lang w:val="en-US"/>
        </w:rPr>
        <w:t>Credit Analyst</w:t>
      </w:r>
      <w:r w:rsidR="003D4FA8" w:rsidRPr="00DA0FA3">
        <w:rPr>
          <w:rStyle w:val="gims-article-infoauthortitle"/>
          <w:rFonts w:ascii="Calibri" w:eastAsiaTheme="majorEastAsia" w:hAnsi="Calibri" w:cs="Calibri"/>
          <w:b/>
          <w:bCs/>
          <w:sz w:val="22"/>
          <w:szCs w:val="22"/>
          <w:lang w:val="en-US"/>
        </w:rPr>
        <w:t>, T. Rowe Price</w:t>
      </w:r>
    </w:p>
    <w:p w14:paraId="594DA803" w14:textId="77777777" w:rsidR="00D32F86" w:rsidRPr="00AA6E7E" w:rsidRDefault="00D32F86" w:rsidP="00D32F86">
      <w:pPr>
        <w:pStyle w:val="Titolo3"/>
        <w:shd w:val="clear" w:color="auto" w:fill="FFFFFF"/>
        <w:spacing w:before="0" w:after="120" w:line="264" w:lineRule="auto"/>
        <w:rPr>
          <w:rFonts w:ascii="Calibri" w:eastAsia="Times New Roman" w:hAnsi="Calibri" w:cs="Calibri"/>
          <w:color w:val="auto"/>
          <w:kern w:val="0"/>
          <w:sz w:val="22"/>
          <w:szCs w:val="22"/>
          <w:lang w:val="en-US" w:eastAsia="en-GB"/>
          <w14:ligatures w14:val="none"/>
        </w:rPr>
      </w:pPr>
    </w:p>
    <w:p w14:paraId="6C8993B6" w14:textId="0863ABB3" w:rsidR="00E76308" w:rsidRPr="00DA0FA3" w:rsidRDefault="00E76308" w:rsidP="00DA0FA3">
      <w:pPr>
        <w:pStyle w:val="Titolo3"/>
        <w:shd w:val="clear" w:color="auto" w:fill="FFFFFF"/>
        <w:spacing w:before="0" w:after="120" w:line="264" w:lineRule="auto"/>
        <w:rPr>
          <w:rFonts w:ascii="Calibri" w:eastAsia="Times New Roman" w:hAnsi="Calibri" w:cs="Calibri"/>
          <w:color w:val="auto"/>
          <w:kern w:val="0"/>
          <w:sz w:val="22"/>
          <w:szCs w:val="22"/>
          <w:lang w:val="it-IT" w:eastAsia="en-GB"/>
          <w14:ligatures w14:val="none"/>
        </w:rPr>
      </w:pPr>
      <w:r w:rsidRPr="00DA0FA3">
        <w:rPr>
          <w:rFonts w:ascii="Calibri" w:eastAsia="Times New Roman" w:hAnsi="Calibri" w:cs="Calibri"/>
          <w:color w:val="auto"/>
          <w:kern w:val="0"/>
          <w:sz w:val="22"/>
          <w:szCs w:val="22"/>
          <w:lang w:val="it-IT" w:eastAsia="en-GB"/>
          <w14:ligatures w14:val="none"/>
        </w:rPr>
        <w:t xml:space="preserve">Il mercato di nicchia delle obbligazioni </w:t>
      </w:r>
      <w:proofErr w:type="spellStart"/>
      <w:r w:rsidRPr="00DA0FA3">
        <w:rPr>
          <w:rFonts w:ascii="Calibri" w:eastAsia="Times New Roman" w:hAnsi="Calibri" w:cs="Calibri"/>
          <w:color w:val="auto"/>
          <w:kern w:val="0"/>
          <w:sz w:val="22"/>
          <w:szCs w:val="22"/>
          <w:lang w:val="it-IT" w:eastAsia="en-GB"/>
          <w14:ligatures w14:val="none"/>
        </w:rPr>
        <w:t>Additional</w:t>
      </w:r>
      <w:proofErr w:type="spellEnd"/>
      <w:r w:rsidRPr="00DA0FA3">
        <w:rPr>
          <w:rFonts w:ascii="Calibri" w:eastAsia="Times New Roman" w:hAnsi="Calibri" w:cs="Calibri"/>
          <w:color w:val="auto"/>
          <w:kern w:val="0"/>
          <w:sz w:val="22"/>
          <w:szCs w:val="22"/>
          <w:lang w:val="it-IT" w:eastAsia="en-GB"/>
          <w14:ligatures w14:val="none"/>
        </w:rPr>
        <w:t xml:space="preserve"> </w:t>
      </w:r>
      <w:proofErr w:type="spellStart"/>
      <w:r w:rsidRPr="00DA0FA3">
        <w:rPr>
          <w:rFonts w:ascii="Calibri" w:eastAsia="Times New Roman" w:hAnsi="Calibri" w:cs="Calibri"/>
          <w:color w:val="auto"/>
          <w:kern w:val="0"/>
          <w:sz w:val="22"/>
          <w:szCs w:val="22"/>
          <w:lang w:val="it-IT" w:eastAsia="en-GB"/>
          <w14:ligatures w14:val="none"/>
        </w:rPr>
        <w:t>Tier</w:t>
      </w:r>
      <w:proofErr w:type="spellEnd"/>
      <w:r w:rsidRPr="00DA0FA3">
        <w:rPr>
          <w:rFonts w:ascii="Calibri" w:eastAsia="Times New Roman" w:hAnsi="Calibri" w:cs="Calibri"/>
          <w:color w:val="auto"/>
          <w:kern w:val="0"/>
          <w:sz w:val="22"/>
          <w:szCs w:val="22"/>
          <w:lang w:val="it-IT" w:eastAsia="en-GB"/>
          <w14:ligatures w14:val="none"/>
        </w:rPr>
        <w:t xml:space="preserve"> 1 (AT1) è finito sotto i riflettori a marzo, quando </w:t>
      </w:r>
      <w:r w:rsidRPr="00DA0FA3">
        <w:rPr>
          <w:rFonts w:ascii="Calibri" w:eastAsia="Times New Roman" w:hAnsi="Calibri" w:cs="Calibri"/>
          <w:b/>
          <w:bCs/>
          <w:color w:val="auto"/>
          <w:kern w:val="0"/>
          <w:sz w:val="22"/>
          <w:szCs w:val="22"/>
          <w:lang w:val="it-IT" w:eastAsia="en-GB"/>
          <w14:ligatures w14:val="none"/>
        </w:rPr>
        <w:t xml:space="preserve">l’autorità di vigilanza svizzera </w:t>
      </w:r>
      <w:proofErr w:type="spellStart"/>
      <w:r w:rsidRPr="00DA0FA3">
        <w:rPr>
          <w:rFonts w:ascii="Calibri" w:eastAsia="Times New Roman" w:hAnsi="Calibri" w:cs="Calibri"/>
          <w:b/>
          <w:bCs/>
          <w:color w:val="auto"/>
          <w:kern w:val="0"/>
          <w:sz w:val="22"/>
          <w:szCs w:val="22"/>
          <w:lang w:val="it-IT" w:eastAsia="en-GB"/>
          <w14:ligatures w14:val="none"/>
        </w:rPr>
        <w:t>Finma</w:t>
      </w:r>
      <w:proofErr w:type="spellEnd"/>
      <w:r w:rsidRPr="00DA0FA3">
        <w:rPr>
          <w:rFonts w:ascii="Calibri" w:eastAsia="Times New Roman" w:hAnsi="Calibri" w:cs="Calibri"/>
          <w:b/>
          <w:bCs/>
          <w:color w:val="auto"/>
          <w:kern w:val="0"/>
          <w:sz w:val="22"/>
          <w:szCs w:val="22"/>
          <w:lang w:val="it-IT" w:eastAsia="en-GB"/>
          <w14:ligatures w14:val="none"/>
        </w:rPr>
        <w:t xml:space="preserve"> ha ordinato l’azzeramento delle obbligazioni AT1 di Credit Suisse nell’ambito della vendita della società a UBS</w:t>
      </w:r>
      <w:r w:rsidRPr="00DA0FA3">
        <w:rPr>
          <w:rFonts w:ascii="Calibri" w:eastAsia="Times New Roman" w:hAnsi="Calibri" w:cs="Calibri"/>
          <w:color w:val="auto"/>
          <w:kern w:val="0"/>
          <w:sz w:val="22"/>
          <w:szCs w:val="22"/>
          <w:lang w:val="it-IT" w:eastAsia="en-GB"/>
          <w14:ligatures w14:val="none"/>
        </w:rPr>
        <w:t>. Ciò ha comportato</w:t>
      </w:r>
      <w:r w:rsidRPr="00DA0FA3">
        <w:rPr>
          <w:rFonts w:ascii="Calibri" w:eastAsia="Times New Roman" w:hAnsi="Calibri" w:cs="Calibri"/>
          <w:b/>
          <w:bCs/>
          <w:color w:val="auto"/>
          <w:kern w:val="0"/>
          <w:sz w:val="22"/>
          <w:szCs w:val="22"/>
          <w:lang w:val="it-IT" w:eastAsia="en-GB"/>
          <w14:ligatures w14:val="none"/>
        </w:rPr>
        <w:t xml:space="preserve"> la più grande perdita nella storia delle obbligazioni AT1</w:t>
      </w:r>
      <w:r w:rsidRPr="00DA0FA3">
        <w:rPr>
          <w:rFonts w:ascii="Calibri" w:eastAsia="Times New Roman" w:hAnsi="Calibri" w:cs="Calibri"/>
          <w:color w:val="auto"/>
          <w:kern w:val="0"/>
          <w:sz w:val="22"/>
          <w:szCs w:val="22"/>
          <w:lang w:val="it-IT" w:eastAsia="en-GB"/>
          <w14:ligatures w14:val="none"/>
        </w:rPr>
        <w:t xml:space="preserve">, che sono una forma di </w:t>
      </w:r>
      <w:r w:rsidR="00D32F86">
        <w:rPr>
          <w:rFonts w:ascii="Calibri" w:eastAsia="Times New Roman" w:hAnsi="Calibri" w:cs="Calibri"/>
          <w:color w:val="auto"/>
          <w:kern w:val="0"/>
          <w:sz w:val="22"/>
          <w:szCs w:val="22"/>
          <w:lang w:val="it-IT" w:eastAsia="en-GB"/>
          <w14:ligatures w14:val="none"/>
        </w:rPr>
        <w:t>bond</w:t>
      </w:r>
      <w:r w:rsidR="00D32F86" w:rsidRPr="00DA0FA3">
        <w:rPr>
          <w:rFonts w:ascii="Calibri" w:eastAsia="Times New Roman" w:hAnsi="Calibri" w:cs="Calibri"/>
          <w:color w:val="auto"/>
          <w:kern w:val="0"/>
          <w:sz w:val="22"/>
          <w:szCs w:val="22"/>
          <w:lang w:val="it-IT" w:eastAsia="en-GB"/>
          <w14:ligatures w14:val="none"/>
        </w:rPr>
        <w:t xml:space="preserve"> </w:t>
      </w:r>
      <w:r w:rsidRPr="00DA0FA3">
        <w:rPr>
          <w:rFonts w:ascii="Calibri" w:eastAsia="Times New Roman" w:hAnsi="Calibri" w:cs="Calibri"/>
          <w:color w:val="auto"/>
          <w:kern w:val="0"/>
          <w:sz w:val="22"/>
          <w:szCs w:val="22"/>
          <w:lang w:val="it-IT" w:eastAsia="en-GB"/>
          <w14:ligatures w14:val="none"/>
        </w:rPr>
        <w:t>contingente convertibile (</w:t>
      </w:r>
      <w:proofErr w:type="spellStart"/>
      <w:r w:rsidRPr="00DA0FA3">
        <w:rPr>
          <w:rFonts w:ascii="Calibri" w:eastAsia="Times New Roman" w:hAnsi="Calibri" w:cs="Calibri"/>
          <w:color w:val="auto"/>
          <w:kern w:val="0"/>
          <w:sz w:val="22"/>
          <w:szCs w:val="22"/>
          <w:lang w:val="it-IT" w:eastAsia="en-GB"/>
          <w14:ligatures w14:val="none"/>
        </w:rPr>
        <w:t>CoCo</w:t>
      </w:r>
      <w:proofErr w:type="spellEnd"/>
      <w:r w:rsidRPr="00DA0FA3">
        <w:rPr>
          <w:rFonts w:ascii="Calibri" w:eastAsia="Times New Roman" w:hAnsi="Calibri" w:cs="Calibri"/>
          <w:color w:val="auto"/>
          <w:kern w:val="0"/>
          <w:sz w:val="22"/>
          <w:szCs w:val="22"/>
          <w:lang w:val="it-IT" w:eastAsia="en-GB"/>
          <w14:ligatures w14:val="none"/>
        </w:rPr>
        <w:t>) che può essere convertito in</w:t>
      </w:r>
      <w:r w:rsidR="00D32F86">
        <w:rPr>
          <w:rFonts w:ascii="Calibri" w:eastAsia="Times New Roman" w:hAnsi="Calibri" w:cs="Calibri"/>
          <w:color w:val="auto"/>
          <w:kern w:val="0"/>
          <w:sz w:val="22"/>
          <w:szCs w:val="22"/>
          <w:lang w:val="it-IT" w:eastAsia="en-GB"/>
          <w14:ligatures w14:val="none"/>
        </w:rPr>
        <w:t xml:space="preserve"> titolo azionario</w:t>
      </w:r>
      <w:r w:rsidRPr="00DA0FA3">
        <w:rPr>
          <w:rFonts w:ascii="Calibri" w:eastAsia="Times New Roman" w:hAnsi="Calibri" w:cs="Calibri"/>
          <w:color w:val="auto"/>
          <w:kern w:val="0"/>
          <w:sz w:val="22"/>
          <w:szCs w:val="22"/>
          <w:lang w:val="it-IT" w:eastAsia="en-GB"/>
          <w14:ligatures w14:val="none"/>
        </w:rPr>
        <w:t xml:space="preserve"> se una banca scende al di sotto di un certo limite di capitale o è considerata “non redditizia” dall’autorità di regolamentazione. La mossa è stata particolarmente controversa perché </w:t>
      </w:r>
      <w:r w:rsidR="00D32F86">
        <w:rPr>
          <w:rFonts w:ascii="Calibri" w:eastAsia="Times New Roman" w:hAnsi="Calibri" w:cs="Calibri"/>
          <w:color w:val="auto"/>
          <w:kern w:val="0"/>
          <w:sz w:val="22"/>
          <w:szCs w:val="22"/>
          <w:lang w:val="it-IT" w:eastAsia="en-GB"/>
          <w14:ligatures w14:val="none"/>
        </w:rPr>
        <w:t>gli azionisti di Credit Suisse</w:t>
      </w:r>
      <w:r w:rsidRPr="00DA0FA3">
        <w:rPr>
          <w:rFonts w:ascii="Calibri" w:eastAsia="Times New Roman" w:hAnsi="Calibri" w:cs="Calibri"/>
          <w:color w:val="auto"/>
          <w:kern w:val="0"/>
          <w:sz w:val="22"/>
          <w:szCs w:val="22"/>
          <w:lang w:val="it-IT" w:eastAsia="en-GB"/>
          <w14:ligatures w14:val="none"/>
        </w:rPr>
        <w:t xml:space="preserve"> hanno ricevuto una certa compensazione, mentre gli obbligazionisti AT1 </w:t>
      </w:r>
      <w:r w:rsidR="00D32F86">
        <w:rPr>
          <w:rFonts w:ascii="Calibri" w:eastAsia="Times New Roman" w:hAnsi="Calibri" w:cs="Calibri"/>
          <w:color w:val="auto"/>
          <w:kern w:val="0"/>
          <w:sz w:val="22"/>
          <w:szCs w:val="22"/>
          <w:lang w:val="it-IT" w:eastAsia="en-GB"/>
          <w14:ligatures w14:val="none"/>
        </w:rPr>
        <w:t>hanno visto un azzeramento del valore di tali bond</w:t>
      </w:r>
      <w:r w:rsidRPr="00DA0FA3">
        <w:rPr>
          <w:rFonts w:ascii="Calibri" w:eastAsia="Times New Roman" w:hAnsi="Calibri" w:cs="Calibri"/>
          <w:color w:val="auto"/>
          <w:kern w:val="0"/>
          <w:sz w:val="22"/>
          <w:szCs w:val="22"/>
          <w:lang w:val="it-IT" w:eastAsia="en-GB"/>
          <w14:ligatures w14:val="none"/>
        </w:rPr>
        <w:t xml:space="preserve">. </w:t>
      </w:r>
    </w:p>
    <w:p w14:paraId="74F497BD" w14:textId="10353C23" w:rsidR="00E76308" w:rsidRPr="00DA0FA3" w:rsidRDefault="00E76308" w:rsidP="00DA0FA3">
      <w:pPr>
        <w:pStyle w:val="Titolo3"/>
        <w:shd w:val="clear" w:color="auto" w:fill="FFFFFF"/>
        <w:spacing w:before="0" w:after="120" w:line="264" w:lineRule="auto"/>
        <w:rPr>
          <w:rFonts w:ascii="Calibri" w:eastAsia="Times New Roman" w:hAnsi="Calibri" w:cs="Calibri"/>
          <w:color w:val="auto"/>
          <w:kern w:val="0"/>
          <w:sz w:val="22"/>
          <w:szCs w:val="22"/>
          <w:lang w:val="it-IT" w:eastAsia="en-GB"/>
          <w14:ligatures w14:val="none"/>
        </w:rPr>
      </w:pPr>
      <w:r w:rsidRPr="00DA0FA3">
        <w:rPr>
          <w:rFonts w:ascii="Calibri" w:eastAsia="Times New Roman" w:hAnsi="Calibri" w:cs="Calibri"/>
          <w:b/>
          <w:bCs/>
          <w:color w:val="auto"/>
          <w:kern w:val="0"/>
          <w:sz w:val="22"/>
          <w:szCs w:val="22"/>
          <w:lang w:val="it-IT" w:eastAsia="en-GB"/>
          <w14:ligatures w14:val="none"/>
        </w:rPr>
        <w:t>La decisione di stravolgere la tradizionale struttura del capitale, che vede gli obbligazionisti al di sopra degli azionisti, ha lasciato il mercato degli AT1 in fibrillazione e ha sollevato il timore di danni permanenti</w:t>
      </w:r>
      <w:r w:rsidRPr="00DA0FA3">
        <w:rPr>
          <w:rFonts w:ascii="Calibri" w:eastAsia="Times New Roman" w:hAnsi="Calibri" w:cs="Calibri"/>
          <w:color w:val="auto"/>
          <w:kern w:val="0"/>
          <w:sz w:val="22"/>
          <w:szCs w:val="22"/>
          <w:lang w:val="it-IT" w:eastAsia="en-GB"/>
          <w14:ligatures w14:val="none"/>
        </w:rPr>
        <w:t xml:space="preserve">. Anche se è ancora troppo presto per dire quale sarà l'impatto </w:t>
      </w:r>
      <w:r w:rsidR="003E4F76">
        <w:rPr>
          <w:rFonts w:ascii="Calibri" w:eastAsia="Times New Roman" w:hAnsi="Calibri" w:cs="Calibri"/>
          <w:color w:val="auto"/>
          <w:kern w:val="0"/>
          <w:sz w:val="22"/>
          <w:szCs w:val="22"/>
          <w:lang w:val="it-IT" w:eastAsia="en-GB"/>
          <w14:ligatures w14:val="none"/>
        </w:rPr>
        <w:t>complessivo</w:t>
      </w:r>
      <w:r w:rsidR="003E4F76" w:rsidRPr="00DA0FA3">
        <w:rPr>
          <w:rFonts w:ascii="Calibri" w:eastAsia="Times New Roman" w:hAnsi="Calibri" w:cs="Calibri"/>
          <w:color w:val="auto"/>
          <w:kern w:val="0"/>
          <w:sz w:val="22"/>
          <w:szCs w:val="22"/>
          <w:lang w:val="it-IT" w:eastAsia="en-GB"/>
          <w14:ligatures w14:val="none"/>
        </w:rPr>
        <w:t xml:space="preserve"> </w:t>
      </w:r>
      <w:r w:rsidRPr="00DA0FA3">
        <w:rPr>
          <w:rFonts w:ascii="Calibri" w:eastAsia="Times New Roman" w:hAnsi="Calibri" w:cs="Calibri"/>
          <w:color w:val="auto"/>
          <w:kern w:val="0"/>
          <w:sz w:val="22"/>
          <w:szCs w:val="22"/>
          <w:lang w:val="it-IT" w:eastAsia="en-GB"/>
          <w14:ligatures w14:val="none"/>
        </w:rPr>
        <w:t xml:space="preserve">sulle obbligazioni AT1, riteniamo che il mercato sia ancora </w:t>
      </w:r>
      <w:r w:rsidR="003E4F76">
        <w:rPr>
          <w:rFonts w:ascii="Calibri" w:eastAsia="Times New Roman" w:hAnsi="Calibri" w:cs="Calibri"/>
          <w:color w:val="auto"/>
          <w:kern w:val="0"/>
          <w:sz w:val="22"/>
          <w:szCs w:val="22"/>
          <w:lang w:val="it-IT" w:eastAsia="en-GB"/>
          <w14:ligatures w14:val="none"/>
        </w:rPr>
        <w:t>in salute</w:t>
      </w:r>
      <w:r w:rsidRPr="00DA0FA3">
        <w:rPr>
          <w:rFonts w:ascii="Calibri" w:eastAsia="Times New Roman" w:hAnsi="Calibri" w:cs="Calibri"/>
          <w:color w:val="auto"/>
          <w:kern w:val="0"/>
          <w:sz w:val="22"/>
          <w:szCs w:val="22"/>
          <w:lang w:val="it-IT" w:eastAsia="en-GB"/>
          <w14:ligatures w14:val="none"/>
        </w:rPr>
        <w:t xml:space="preserve">, ma che </w:t>
      </w:r>
      <w:r w:rsidR="003E4F76">
        <w:rPr>
          <w:rFonts w:ascii="Calibri" w:eastAsia="Times New Roman" w:hAnsi="Calibri" w:cs="Calibri"/>
          <w:color w:val="auto"/>
          <w:kern w:val="0"/>
          <w:sz w:val="22"/>
          <w:szCs w:val="22"/>
          <w:lang w:val="it-IT" w:eastAsia="en-GB"/>
          <w14:ligatures w14:val="none"/>
        </w:rPr>
        <w:t>dovrà</w:t>
      </w:r>
      <w:r w:rsidR="003E4F76" w:rsidRPr="00DA0FA3">
        <w:rPr>
          <w:rFonts w:ascii="Calibri" w:eastAsia="Times New Roman" w:hAnsi="Calibri" w:cs="Calibri"/>
          <w:color w:val="auto"/>
          <w:kern w:val="0"/>
          <w:sz w:val="22"/>
          <w:szCs w:val="22"/>
          <w:lang w:val="it-IT" w:eastAsia="en-GB"/>
          <w14:ligatures w14:val="none"/>
        </w:rPr>
        <w:t xml:space="preserve"> </w:t>
      </w:r>
      <w:r w:rsidRPr="00DA0FA3">
        <w:rPr>
          <w:rFonts w:ascii="Calibri" w:eastAsia="Times New Roman" w:hAnsi="Calibri" w:cs="Calibri"/>
          <w:color w:val="auto"/>
          <w:kern w:val="0"/>
          <w:sz w:val="22"/>
          <w:szCs w:val="22"/>
          <w:lang w:val="it-IT" w:eastAsia="en-GB"/>
          <w14:ligatures w14:val="none"/>
        </w:rPr>
        <w:t xml:space="preserve">affrontare prove notevoli.  </w:t>
      </w:r>
    </w:p>
    <w:p w14:paraId="2841BE74" w14:textId="71D992D5" w:rsidR="00E76308" w:rsidRPr="00DA0FA3" w:rsidRDefault="00E76308" w:rsidP="00DA0FA3">
      <w:pPr>
        <w:pStyle w:val="NormaleWeb"/>
        <w:shd w:val="clear" w:color="auto" w:fill="FFFFFF"/>
        <w:spacing w:before="0" w:beforeAutospacing="0" w:after="120" w:afterAutospacing="0" w:line="264" w:lineRule="auto"/>
        <w:rPr>
          <w:rFonts w:ascii="Calibri" w:eastAsiaTheme="majorEastAsia" w:hAnsi="Calibri" w:cs="Calibri"/>
          <w:kern w:val="2"/>
          <w:sz w:val="22"/>
          <w:szCs w:val="22"/>
          <w:u w:val="single"/>
          <w:lang w:val="it-IT" w:eastAsia="en-US"/>
          <w14:ligatures w14:val="standardContextual"/>
        </w:rPr>
      </w:pPr>
      <w:r w:rsidRPr="00DA0FA3">
        <w:rPr>
          <w:rFonts w:ascii="Calibri" w:eastAsiaTheme="majorEastAsia" w:hAnsi="Calibri" w:cs="Calibri"/>
          <w:kern w:val="2"/>
          <w:sz w:val="22"/>
          <w:szCs w:val="22"/>
          <w:u w:val="single"/>
          <w:lang w:val="it-IT" w:eastAsia="en-US"/>
          <w14:ligatures w14:val="standardContextual"/>
        </w:rPr>
        <w:t>L</w:t>
      </w:r>
      <w:r w:rsidR="003E4F76">
        <w:rPr>
          <w:rFonts w:ascii="Calibri" w:eastAsiaTheme="majorEastAsia" w:hAnsi="Calibri" w:cs="Calibri"/>
          <w:kern w:val="2"/>
          <w:sz w:val="22"/>
          <w:szCs w:val="22"/>
          <w:u w:val="single"/>
          <w:lang w:val="it-IT" w:eastAsia="en-US"/>
          <w14:ligatures w14:val="standardContextual"/>
        </w:rPr>
        <w:t>e</w:t>
      </w:r>
      <w:r w:rsidRPr="00DA0FA3">
        <w:rPr>
          <w:rFonts w:ascii="Calibri" w:eastAsiaTheme="majorEastAsia" w:hAnsi="Calibri" w:cs="Calibri"/>
          <w:kern w:val="2"/>
          <w:sz w:val="22"/>
          <w:szCs w:val="22"/>
          <w:u w:val="single"/>
          <w:lang w:val="it-IT" w:eastAsia="en-US"/>
          <w14:ligatures w14:val="standardContextual"/>
        </w:rPr>
        <w:t xml:space="preserve"> nuov</w:t>
      </w:r>
      <w:r w:rsidR="003E4F76">
        <w:rPr>
          <w:rFonts w:ascii="Calibri" w:eastAsiaTheme="majorEastAsia" w:hAnsi="Calibri" w:cs="Calibri"/>
          <w:kern w:val="2"/>
          <w:sz w:val="22"/>
          <w:szCs w:val="22"/>
          <w:u w:val="single"/>
          <w:lang w:val="it-IT" w:eastAsia="en-US"/>
          <w14:ligatures w14:val="standardContextual"/>
        </w:rPr>
        <w:t>e</w:t>
      </w:r>
      <w:r w:rsidRPr="00DA0FA3">
        <w:rPr>
          <w:rFonts w:ascii="Calibri" w:eastAsiaTheme="majorEastAsia" w:hAnsi="Calibri" w:cs="Calibri"/>
          <w:kern w:val="2"/>
          <w:sz w:val="22"/>
          <w:szCs w:val="22"/>
          <w:u w:val="single"/>
          <w:lang w:val="it-IT" w:eastAsia="en-US"/>
          <w14:ligatures w14:val="standardContextual"/>
        </w:rPr>
        <w:t xml:space="preserve"> emission</w:t>
      </w:r>
      <w:r w:rsidR="003E4F76">
        <w:rPr>
          <w:rFonts w:ascii="Calibri" w:eastAsiaTheme="majorEastAsia" w:hAnsi="Calibri" w:cs="Calibri"/>
          <w:kern w:val="2"/>
          <w:sz w:val="22"/>
          <w:szCs w:val="22"/>
          <w:u w:val="single"/>
          <w:lang w:val="it-IT" w:eastAsia="en-US"/>
          <w14:ligatures w14:val="standardContextual"/>
        </w:rPr>
        <w:t>i</w:t>
      </w:r>
      <w:r w:rsidRPr="00DA0FA3">
        <w:rPr>
          <w:rFonts w:ascii="Calibri" w:eastAsiaTheme="majorEastAsia" w:hAnsi="Calibri" w:cs="Calibri"/>
          <w:kern w:val="2"/>
          <w:sz w:val="22"/>
          <w:szCs w:val="22"/>
          <w:u w:val="single"/>
          <w:lang w:val="it-IT" w:eastAsia="en-US"/>
          <w14:ligatures w14:val="standardContextual"/>
        </w:rPr>
        <w:t xml:space="preserve"> probabilmente metter</w:t>
      </w:r>
      <w:r w:rsidR="003E4F76">
        <w:rPr>
          <w:rFonts w:ascii="Calibri" w:eastAsiaTheme="majorEastAsia" w:hAnsi="Calibri" w:cs="Calibri"/>
          <w:kern w:val="2"/>
          <w:sz w:val="22"/>
          <w:szCs w:val="22"/>
          <w:u w:val="single"/>
          <w:lang w:val="it-IT" w:eastAsia="en-US"/>
          <w14:ligatures w14:val="standardContextual"/>
        </w:rPr>
        <w:t>anno</w:t>
      </w:r>
      <w:r w:rsidRPr="00DA0FA3">
        <w:rPr>
          <w:rFonts w:ascii="Calibri" w:eastAsiaTheme="majorEastAsia" w:hAnsi="Calibri" w:cs="Calibri"/>
          <w:kern w:val="2"/>
          <w:sz w:val="22"/>
          <w:szCs w:val="22"/>
          <w:u w:val="single"/>
          <w:lang w:val="it-IT" w:eastAsia="en-US"/>
          <w14:ligatures w14:val="standardContextual"/>
        </w:rPr>
        <w:t xml:space="preserve"> alla prova la fiducia del mercato </w:t>
      </w:r>
    </w:p>
    <w:p w14:paraId="29D63274" w14:textId="40BA5CC0" w:rsidR="00A3491F" w:rsidRDefault="00A3491F" w:rsidP="00DA0FA3">
      <w:pPr>
        <w:pStyle w:val="NormaleWeb"/>
        <w:shd w:val="clear" w:color="auto" w:fill="FFFFFF"/>
        <w:spacing w:before="0" w:beforeAutospacing="0" w:after="120" w:afterAutospacing="0" w:line="264" w:lineRule="auto"/>
        <w:rPr>
          <w:rFonts w:ascii="Calibri" w:hAnsi="Calibri" w:cs="Calibri"/>
          <w:sz w:val="22"/>
          <w:szCs w:val="22"/>
          <w:lang w:val="it-IT"/>
        </w:rPr>
      </w:pPr>
      <w:r w:rsidRPr="00DA0FA3">
        <w:rPr>
          <w:rFonts w:ascii="Calibri" w:hAnsi="Calibri" w:cs="Calibri"/>
          <w:b/>
          <w:bCs/>
          <w:sz w:val="22"/>
          <w:szCs w:val="22"/>
          <w:lang w:val="it-IT"/>
        </w:rPr>
        <w:t xml:space="preserve">Quando torneranno le nuove emissioni, sarà più chiaro se il mercato </w:t>
      </w:r>
      <w:r w:rsidR="00210BFA" w:rsidRPr="00DA0FA3">
        <w:rPr>
          <w:rFonts w:ascii="Calibri" w:hAnsi="Calibri" w:cs="Calibri"/>
          <w:b/>
          <w:bCs/>
          <w:sz w:val="22"/>
          <w:szCs w:val="22"/>
          <w:lang w:val="it-IT"/>
        </w:rPr>
        <w:t>avrà</w:t>
      </w:r>
      <w:r w:rsidRPr="00DA0FA3">
        <w:rPr>
          <w:rFonts w:ascii="Calibri" w:hAnsi="Calibri" w:cs="Calibri"/>
          <w:b/>
          <w:bCs/>
          <w:sz w:val="22"/>
          <w:szCs w:val="22"/>
          <w:lang w:val="it-IT"/>
        </w:rPr>
        <w:t xml:space="preserve"> subito un danno </w:t>
      </w:r>
      <w:r w:rsidR="003E4F76">
        <w:rPr>
          <w:rFonts w:ascii="Calibri" w:hAnsi="Calibri" w:cs="Calibri"/>
          <w:b/>
          <w:bCs/>
          <w:sz w:val="22"/>
          <w:szCs w:val="22"/>
          <w:lang w:val="it-IT"/>
        </w:rPr>
        <w:t>reputazionale</w:t>
      </w:r>
      <w:r w:rsidRPr="00DA0FA3">
        <w:rPr>
          <w:rFonts w:ascii="Calibri" w:hAnsi="Calibri" w:cs="Calibri"/>
          <w:sz w:val="22"/>
          <w:szCs w:val="22"/>
          <w:lang w:val="it-IT"/>
        </w:rPr>
        <w:t xml:space="preserve">. </w:t>
      </w:r>
      <w:r w:rsidR="003E4F76">
        <w:rPr>
          <w:rFonts w:ascii="Calibri" w:hAnsi="Calibri" w:cs="Calibri"/>
          <w:sz w:val="22"/>
          <w:szCs w:val="22"/>
          <w:lang w:val="it-IT"/>
        </w:rPr>
        <w:t>Secondo le nostre stime, c</w:t>
      </w:r>
      <w:r w:rsidRPr="00DA0FA3">
        <w:rPr>
          <w:rFonts w:ascii="Calibri" w:hAnsi="Calibri" w:cs="Calibri"/>
          <w:sz w:val="22"/>
          <w:szCs w:val="22"/>
          <w:lang w:val="it-IT"/>
        </w:rPr>
        <w:t xml:space="preserve">i sono più di 10 miliardi di euro di obbligazioni AT1 </w:t>
      </w:r>
      <w:r w:rsidR="003E4F76">
        <w:rPr>
          <w:rFonts w:ascii="Calibri" w:hAnsi="Calibri" w:cs="Calibri"/>
          <w:sz w:val="22"/>
          <w:szCs w:val="22"/>
          <w:lang w:val="it-IT"/>
        </w:rPr>
        <w:t>in</w:t>
      </w:r>
      <w:r w:rsidRPr="00DA0FA3">
        <w:rPr>
          <w:rFonts w:ascii="Calibri" w:hAnsi="Calibri" w:cs="Calibri"/>
          <w:sz w:val="22"/>
          <w:szCs w:val="22"/>
          <w:lang w:val="it-IT"/>
        </w:rPr>
        <w:t xml:space="preserve"> scadenza nei restanti tre trimestri del 2023 e ci aspettiamo che alcune di queste vengano richiamate e riemesse, in particolare quelle delle banche più grandi. Le prime operazioni saranno </w:t>
      </w:r>
      <w:r w:rsidR="003E4F76">
        <w:rPr>
          <w:rFonts w:ascii="Calibri" w:hAnsi="Calibri" w:cs="Calibri"/>
          <w:sz w:val="22"/>
          <w:szCs w:val="22"/>
          <w:lang w:val="it-IT"/>
        </w:rPr>
        <w:t>monitorate</w:t>
      </w:r>
      <w:r w:rsidR="003E4F76" w:rsidRPr="00DA0FA3">
        <w:rPr>
          <w:rFonts w:ascii="Calibri" w:hAnsi="Calibri" w:cs="Calibri"/>
          <w:sz w:val="22"/>
          <w:szCs w:val="22"/>
          <w:lang w:val="it-IT"/>
        </w:rPr>
        <w:t xml:space="preserve"> </w:t>
      </w:r>
      <w:r w:rsidRPr="00DA0FA3">
        <w:rPr>
          <w:rFonts w:ascii="Calibri" w:hAnsi="Calibri" w:cs="Calibri"/>
          <w:sz w:val="22"/>
          <w:szCs w:val="22"/>
          <w:lang w:val="it-IT"/>
        </w:rPr>
        <w:t xml:space="preserve">da vicino per valutare il livello di domanda e il prezzo. È certamente possibile che, a causa dell’azione della </w:t>
      </w:r>
      <w:proofErr w:type="spellStart"/>
      <w:r w:rsidRPr="00DA0FA3">
        <w:rPr>
          <w:rFonts w:ascii="Calibri" w:hAnsi="Calibri" w:cs="Calibri"/>
          <w:sz w:val="22"/>
          <w:szCs w:val="22"/>
          <w:lang w:val="it-IT"/>
        </w:rPr>
        <w:t>Finma</w:t>
      </w:r>
      <w:proofErr w:type="spellEnd"/>
      <w:r w:rsidRPr="00DA0FA3">
        <w:rPr>
          <w:rFonts w:ascii="Calibri" w:hAnsi="Calibri" w:cs="Calibri"/>
          <w:sz w:val="22"/>
          <w:szCs w:val="22"/>
          <w:lang w:val="it-IT"/>
        </w:rPr>
        <w:t xml:space="preserve">, le obbligazioni AT1, già considerate più rischiose di altri </w:t>
      </w:r>
      <w:r w:rsidR="003E4F76">
        <w:rPr>
          <w:rFonts w:ascii="Calibri" w:hAnsi="Calibri" w:cs="Calibri"/>
          <w:sz w:val="22"/>
          <w:szCs w:val="22"/>
          <w:lang w:val="it-IT"/>
        </w:rPr>
        <w:t>titoli di debito</w:t>
      </w:r>
      <w:r w:rsidRPr="00DA0FA3">
        <w:rPr>
          <w:rFonts w:ascii="Calibri" w:hAnsi="Calibri" w:cs="Calibri"/>
          <w:sz w:val="22"/>
          <w:szCs w:val="22"/>
          <w:lang w:val="it-IT"/>
        </w:rPr>
        <w:t xml:space="preserve">, vengano considerate ancora più rischiose e che il costo di emissione possa quindi aumentare. </w:t>
      </w:r>
    </w:p>
    <w:p w14:paraId="4AA2AE83" w14:textId="36B97DEB" w:rsidR="00613244" w:rsidRPr="00613244" w:rsidRDefault="00613244" w:rsidP="00DA0FA3">
      <w:pPr>
        <w:pStyle w:val="NormaleWeb"/>
        <w:shd w:val="clear" w:color="auto" w:fill="FFFFFF"/>
        <w:spacing w:before="0" w:beforeAutospacing="0" w:after="120" w:afterAutospacing="0" w:line="264" w:lineRule="auto"/>
        <w:rPr>
          <w:rFonts w:ascii="Calibri" w:hAnsi="Calibri" w:cs="Calibri"/>
          <w:b/>
          <w:bCs/>
          <w:sz w:val="22"/>
          <w:szCs w:val="22"/>
          <w:lang w:val="it-IT"/>
        </w:rPr>
      </w:pPr>
      <w:r w:rsidRPr="00613244">
        <w:rPr>
          <w:rFonts w:ascii="Calibri" w:hAnsi="Calibri" w:cs="Calibri"/>
          <w:b/>
          <w:bCs/>
          <w:sz w:val="22"/>
          <w:szCs w:val="22"/>
          <w:lang w:val="it-IT"/>
        </w:rPr>
        <w:t xml:space="preserve">Indice globale dei </w:t>
      </w:r>
      <w:proofErr w:type="spellStart"/>
      <w:r w:rsidRPr="00613244">
        <w:rPr>
          <w:rFonts w:ascii="Calibri" w:hAnsi="Calibri" w:cs="Calibri"/>
          <w:b/>
          <w:bCs/>
          <w:sz w:val="22"/>
          <w:szCs w:val="22"/>
          <w:lang w:val="it-IT"/>
        </w:rPr>
        <w:t>CoCo</w:t>
      </w:r>
      <w:proofErr w:type="spellEnd"/>
      <w:r w:rsidRPr="00613244">
        <w:rPr>
          <w:rFonts w:ascii="Calibri" w:hAnsi="Calibri" w:cs="Calibri"/>
          <w:b/>
          <w:bCs/>
          <w:sz w:val="22"/>
          <w:szCs w:val="22"/>
          <w:lang w:val="it-IT"/>
        </w:rPr>
        <w:t xml:space="preserve"> bond</w:t>
      </w:r>
      <w:r>
        <w:rPr>
          <w:rFonts w:ascii="Calibri" w:hAnsi="Calibri" w:cs="Calibri"/>
          <w:b/>
          <w:bCs/>
          <w:sz w:val="22"/>
          <w:szCs w:val="22"/>
          <w:lang w:val="it-IT"/>
        </w:rPr>
        <w:t>,</w:t>
      </w:r>
      <w:r w:rsidRPr="00613244">
        <w:rPr>
          <w:rFonts w:ascii="Calibri" w:hAnsi="Calibri" w:cs="Calibri"/>
          <w:b/>
          <w:bCs/>
          <w:sz w:val="22"/>
          <w:szCs w:val="22"/>
          <w:lang w:val="it-IT"/>
        </w:rPr>
        <w:t xml:space="preserve"> Performance dall'inizio del 2022</w:t>
      </w:r>
    </w:p>
    <w:p w14:paraId="07E27036" w14:textId="3AD6E24E" w:rsidR="00613244" w:rsidRPr="00DA0FA3" w:rsidRDefault="00613244" w:rsidP="00DA0FA3">
      <w:pPr>
        <w:pStyle w:val="NormaleWeb"/>
        <w:shd w:val="clear" w:color="auto" w:fill="FFFFFF"/>
        <w:spacing w:before="0" w:beforeAutospacing="0" w:after="120" w:afterAutospacing="0" w:line="264" w:lineRule="auto"/>
        <w:rPr>
          <w:rFonts w:ascii="Calibri" w:hAnsi="Calibri" w:cs="Calibri"/>
          <w:sz w:val="22"/>
          <w:szCs w:val="22"/>
          <w:lang w:val="it-IT"/>
        </w:rPr>
      </w:pPr>
      <w:r>
        <w:rPr>
          <w:noProof/>
        </w:rPr>
        <w:drawing>
          <wp:inline distT="0" distB="0" distL="0" distR="0" wp14:anchorId="60B4AAFE" wp14:editId="71290103">
            <wp:extent cx="5731510" cy="2273300"/>
            <wp:effectExtent l="0" t="0" r="2540" b="0"/>
            <wp:docPr id="840970824" name="Immagine 1" descr="Immagine che contiene testo, Carattere,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970824" name="Immagine 1" descr="Immagine che contiene testo, Carattere, linea, Diagramma&#10;&#10;Descrizione generata automaticamente"/>
                    <pic:cNvPicPr/>
                  </pic:nvPicPr>
                  <pic:blipFill>
                    <a:blip r:embed="rId5"/>
                    <a:stretch>
                      <a:fillRect/>
                    </a:stretch>
                  </pic:blipFill>
                  <pic:spPr>
                    <a:xfrm>
                      <a:off x="0" y="0"/>
                      <a:ext cx="5731510" cy="2273300"/>
                    </a:xfrm>
                    <a:prstGeom prst="rect">
                      <a:avLst/>
                    </a:prstGeom>
                  </pic:spPr>
                </pic:pic>
              </a:graphicData>
            </a:graphic>
          </wp:inline>
        </w:drawing>
      </w:r>
    </w:p>
    <w:p w14:paraId="161FF7E2" w14:textId="26131AEC" w:rsidR="00613244" w:rsidRPr="00AA6E7E" w:rsidRDefault="00613244" w:rsidP="00DA0FA3">
      <w:pPr>
        <w:pStyle w:val="NormaleWeb"/>
        <w:shd w:val="clear" w:color="auto" w:fill="FFFFFF"/>
        <w:spacing w:before="0" w:beforeAutospacing="0" w:after="120" w:afterAutospacing="0" w:line="264" w:lineRule="auto"/>
        <w:rPr>
          <w:rFonts w:ascii="Calibri" w:hAnsi="Calibri" w:cs="Calibri"/>
          <w:i/>
          <w:iCs/>
          <w:sz w:val="20"/>
          <w:szCs w:val="20"/>
          <w:lang w:val="it-IT"/>
        </w:rPr>
      </w:pPr>
      <w:r w:rsidRPr="00AA6E7E">
        <w:rPr>
          <w:rFonts w:ascii="Calibri" w:hAnsi="Calibri" w:cs="Calibri"/>
          <w:i/>
          <w:iCs/>
          <w:sz w:val="20"/>
          <w:szCs w:val="20"/>
          <w:lang w:val="it-IT"/>
        </w:rPr>
        <w:t>Fonte: Bloomberg Finance L.P.</w:t>
      </w:r>
    </w:p>
    <w:p w14:paraId="2879423D" w14:textId="77777777" w:rsidR="00AA6E7E" w:rsidRDefault="00AA6E7E" w:rsidP="00DA0FA3">
      <w:pPr>
        <w:pStyle w:val="NormaleWeb"/>
        <w:shd w:val="clear" w:color="auto" w:fill="FFFFFF"/>
        <w:spacing w:before="0" w:beforeAutospacing="0" w:after="120" w:afterAutospacing="0" w:line="264" w:lineRule="auto"/>
        <w:rPr>
          <w:rFonts w:ascii="Calibri" w:hAnsi="Calibri" w:cs="Calibri"/>
          <w:sz w:val="22"/>
          <w:szCs w:val="22"/>
          <w:lang w:val="it-IT"/>
        </w:rPr>
      </w:pPr>
    </w:p>
    <w:p w14:paraId="195A5EDD" w14:textId="5D5F34CB" w:rsidR="00A3491F" w:rsidRPr="00DA0FA3" w:rsidRDefault="00A3491F" w:rsidP="00DA0FA3">
      <w:pPr>
        <w:pStyle w:val="NormaleWeb"/>
        <w:shd w:val="clear" w:color="auto" w:fill="FFFFFF"/>
        <w:spacing w:before="0" w:beforeAutospacing="0" w:after="120" w:afterAutospacing="0" w:line="264" w:lineRule="auto"/>
        <w:rPr>
          <w:rFonts w:ascii="Calibri" w:hAnsi="Calibri" w:cs="Calibri"/>
          <w:sz w:val="22"/>
          <w:szCs w:val="22"/>
          <w:lang w:val="it-IT"/>
        </w:rPr>
      </w:pPr>
      <w:r w:rsidRPr="00DA0FA3">
        <w:rPr>
          <w:rFonts w:ascii="Calibri" w:hAnsi="Calibri" w:cs="Calibri"/>
          <w:sz w:val="22"/>
          <w:szCs w:val="22"/>
          <w:lang w:val="it-IT"/>
        </w:rPr>
        <w:t xml:space="preserve">Non tutte le imprese cercheranno di rifinanziarsi. Dato il significativo aumento dei tassi nell’ultimo anno, riteniamo che esista un rischio di estensione delle obbligazioni, in base al quale i </w:t>
      </w:r>
      <w:r w:rsidR="003E4F76">
        <w:rPr>
          <w:rFonts w:ascii="Calibri" w:hAnsi="Calibri" w:cs="Calibri"/>
          <w:sz w:val="22"/>
          <w:szCs w:val="22"/>
          <w:lang w:val="it-IT"/>
        </w:rPr>
        <w:t>debitori</w:t>
      </w:r>
      <w:r w:rsidR="0040775C" w:rsidRPr="00DA0FA3">
        <w:rPr>
          <w:rFonts w:ascii="Calibri" w:hAnsi="Calibri" w:cs="Calibri"/>
          <w:sz w:val="22"/>
          <w:szCs w:val="22"/>
          <w:lang w:val="it-IT"/>
        </w:rPr>
        <w:t xml:space="preserve"> </w:t>
      </w:r>
      <w:r w:rsidRPr="00DA0FA3">
        <w:rPr>
          <w:rFonts w:ascii="Calibri" w:hAnsi="Calibri" w:cs="Calibri"/>
          <w:sz w:val="22"/>
          <w:szCs w:val="22"/>
          <w:lang w:val="it-IT"/>
        </w:rPr>
        <w:t>lasciano in sospeso un</w:t>
      </w:r>
      <w:r w:rsidR="003E4F76">
        <w:rPr>
          <w:rFonts w:ascii="Calibri" w:hAnsi="Calibri" w:cs="Calibri"/>
          <w:sz w:val="22"/>
          <w:szCs w:val="22"/>
          <w:lang w:val="it-IT"/>
        </w:rPr>
        <w:t xml:space="preserve">’obbligazione </w:t>
      </w:r>
      <w:proofErr w:type="spellStart"/>
      <w:r w:rsidR="003E4F76">
        <w:rPr>
          <w:rFonts w:ascii="Calibri" w:hAnsi="Calibri" w:cs="Calibri"/>
          <w:i/>
          <w:iCs/>
          <w:sz w:val="22"/>
          <w:szCs w:val="22"/>
          <w:lang w:val="it-IT"/>
        </w:rPr>
        <w:t>callable</w:t>
      </w:r>
      <w:proofErr w:type="spellEnd"/>
      <w:r w:rsidR="00DA0FA3">
        <w:rPr>
          <w:rFonts w:ascii="Calibri" w:hAnsi="Calibri" w:cs="Calibri"/>
          <w:i/>
          <w:iCs/>
          <w:sz w:val="22"/>
          <w:szCs w:val="22"/>
          <w:lang w:val="it-IT"/>
        </w:rPr>
        <w:t>.</w:t>
      </w:r>
      <w:r w:rsidRPr="00DA0FA3">
        <w:rPr>
          <w:rFonts w:ascii="Calibri" w:hAnsi="Calibri" w:cs="Calibri"/>
          <w:sz w:val="22"/>
          <w:szCs w:val="22"/>
          <w:lang w:val="it-IT"/>
        </w:rPr>
        <w:t xml:space="preserve"> Per le banche più piccole, in particolare, la decisione si </w:t>
      </w:r>
      <w:r w:rsidRPr="00DA0FA3">
        <w:rPr>
          <w:rFonts w:ascii="Calibri" w:hAnsi="Calibri" w:cs="Calibri"/>
          <w:sz w:val="22"/>
          <w:szCs w:val="22"/>
          <w:lang w:val="it-IT"/>
        </w:rPr>
        <w:lastRenderedPageBreak/>
        <w:t xml:space="preserve">riduce al costo economico: se il costo della </w:t>
      </w:r>
      <w:proofErr w:type="spellStart"/>
      <w:r w:rsidRPr="00DA0FA3">
        <w:rPr>
          <w:rFonts w:ascii="Calibri" w:hAnsi="Calibri" w:cs="Calibri"/>
          <w:sz w:val="22"/>
          <w:szCs w:val="22"/>
          <w:lang w:val="it-IT"/>
        </w:rPr>
        <w:t>riemissione</w:t>
      </w:r>
      <w:proofErr w:type="spellEnd"/>
      <w:r w:rsidRPr="00DA0FA3">
        <w:rPr>
          <w:rFonts w:ascii="Calibri" w:hAnsi="Calibri" w:cs="Calibri"/>
          <w:sz w:val="22"/>
          <w:szCs w:val="22"/>
          <w:lang w:val="it-IT"/>
        </w:rPr>
        <w:t xml:space="preserve"> è superiore al livello di azzeramento della cedola di un’obbligazione AT1 alla scadenza della call option, una banca può decidere che non è conveniente rimborsare e quindi scegliere di estendere la scadenza dell’obbligazione. La decisione di una banca di richiamare o prorogare la scadenza delle proprie obbligazioni AT1 sarà determinata solo caso per caso, motivo per cui è importante effettuare un’analisi dei singoli emittenti e dei titoli.  </w:t>
      </w:r>
    </w:p>
    <w:p w14:paraId="68F4753A" w14:textId="6E39B11B" w:rsidR="00A3491F" w:rsidRPr="00DA0FA3" w:rsidRDefault="00A3491F" w:rsidP="00DA0FA3">
      <w:pPr>
        <w:pStyle w:val="Titolo3"/>
        <w:shd w:val="clear" w:color="auto" w:fill="FFFFFF"/>
        <w:spacing w:before="0" w:after="120" w:line="264" w:lineRule="auto"/>
        <w:rPr>
          <w:rFonts w:ascii="Calibri" w:eastAsia="Times New Roman" w:hAnsi="Calibri" w:cs="Calibri"/>
          <w:color w:val="auto"/>
          <w:kern w:val="0"/>
          <w:sz w:val="22"/>
          <w:szCs w:val="22"/>
          <w:lang w:val="it-IT" w:eastAsia="en-GB"/>
          <w14:ligatures w14:val="none"/>
        </w:rPr>
      </w:pPr>
      <w:r w:rsidRPr="00DA0FA3">
        <w:rPr>
          <w:rFonts w:ascii="Calibri" w:eastAsia="Times New Roman" w:hAnsi="Calibri" w:cs="Calibri"/>
          <w:color w:val="auto"/>
          <w:kern w:val="0"/>
          <w:sz w:val="22"/>
          <w:szCs w:val="22"/>
          <w:lang w:val="it-IT" w:eastAsia="en-GB"/>
          <w14:ligatures w14:val="none"/>
        </w:rPr>
        <w:t xml:space="preserve">Alcuni acquirenti sono tornati sul mercato secondario. </w:t>
      </w:r>
      <w:r w:rsidRPr="00DA0FA3">
        <w:rPr>
          <w:rFonts w:ascii="Calibri" w:eastAsia="Times New Roman" w:hAnsi="Calibri" w:cs="Calibri"/>
          <w:b/>
          <w:bCs/>
          <w:color w:val="auto"/>
          <w:kern w:val="0"/>
          <w:sz w:val="22"/>
          <w:szCs w:val="22"/>
          <w:lang w:val="it-IT" w:eastAsia="en-GB"/>
          <w14:ligatures w14:val="none"/>
        </w:rPr>
        <w:t xml:space="preserve">All’indomani della decisione della </w:t>
      </w:r>
      <w:proofErr w:type="spellStart"/>
      <w:r w:rsidRPr="00DA0FA3">
        <w:rPr>
          <w:rFonts w:ascii="Calibri" w:eastAsia="Times New Roman" w:hAnsi="Calibri" w:cs="Calibri"/>
          <w:b/>
          <w:bCs/>
          <w:color w:val="auto"/>
          <w:kern w:val="0"/>
          <w:sz w:val="22"/>
          <w:szCs w:val="22"/>
          <w:lang w:val="it-IT" w:eastAsia="en-GB"/>
          <w14:ligatures w14:val="none"/>
        </w:rPr>
        <w:t>Finma</w:t>
      </w:r>
      <w:proofErr w:type="spellEnd"/>
      <w:r w:rsidRPr="00DA0FA3">
        <w:rPr>
          <w:rFonts w:ascii="Calibri" w:eastAsia="Times New Roman" w:hAnsi="Calibri" w:cs="Calibri"/>
          <w:b/>
          <w:bCs/>
          <w:color w:val="auto"/>
          <w:kern w:val="0"/>
          <w:sz w:val="22"/>
          <w:szCs w:val="22"/>
          <w:lang w:val="it-IT" w:eastAsia="en-GB"/>
          <w14:ligatures w14:val="none"/>
        </w:rPr>
        <w:t>, le obbligazioni AT1 hanno inizialmente registrato forti ribassi, ma hanno poi recuperato, anche se non proprio ai livelli precedenti la crisi.</w:t>
      </w:r>
      <w:r w:rsidRPr="00DA0FA3">
        <w:rPr>
          <w:rFonts w:ascii="Calibri" w:eastAsia="Times New Roman" w:hAnsi="Calibri" w:cs="Calibri"/>
          <w:color w:val="auto"/>
          <w:kern w:val="0"/>
          <w:sz w:val="22"/>
          <w:szCs w:val="22"/>
          <w:lang w:val="it-IT" w:eastAsia="en-GB"/>
          <w14:ligatures w14:val="none"/>
        </w:rPr>
        <w:t xml:space="preserve"> La ripresa è avvenuta dopo che le autorità europee e britanniche hanno cercato di rassicurare gli investitori dichiarando che avrebbero rispettato la gerarchia della struttura del capitale, con gli strumenti di common equity che sarebbero stati i primi ad assorbire le perdite. Va inoltre notato che </w:t>
      </w:r>
      <w:r w:rsidRPr="00DA0FA3">
        <w:rPr>
          <w:rFonts w:ascii="Calibri" w:eastAsia="Times New Roman" w:hAnsi="Calibri" w:cs="Calibri"/>
          <w:b/>
          <w:bCs/>
          <w:color w:val="auto"/>
          <w:kern w:val="0"/>
          <w:sz w:val="22"/>
          <w:szCs w:val="22"/>
          <w:lang w:val="it-IT" w:eastAsia="en-GB"/>
          <w14:ligatures w14:val="none"/>
        </w:rPr>
        <w:t>le obbligazioni AT1 di Credit Suisse hanno rappresentato una sorta di eccezione</w:t>
      </w:r>
      <w:r w:rsidRPr="00DA0FA3">
        <w:rPr>
          <w:rFonts w:ascii="Calibri" w:eastAsia="Times New Roman" w:hAnsi="Calibri" w:cs="Calibri"/>
          <w:color w:val="auto"/>
          <w:kern w:val="0"/>
          <w:sz w:val="22"/>
          <w:szCs w:val="22"/>
          <w:lang w:val="it-IT" w:eastAsia="en-GB"/>
          <w14:ligatures w14:val="none"/>
        </w:rPr>
        <w:t xml:space="preserve">, in quanto è stata prevista una disposizione speciale per uno scenario in cui le autorità di regolamentazione potrebbero svalutare tali obbligazioni senza cancellare il capitale proprio. La legislazione non lo consente altrove, il che ha contribuito a eliminare il rischio che gli AT1 potessero assorbire le perdite per primi.  </w:t>
      </w:r>
    </w:p>
    <w:p w14:paraId="05D995E0" w14:textId="42913A3F" w:rsidR="00A3491F" w:rsidRPr="00DA0FA3" w:rsidRDefault="00A3491F" w:rsidP="00DA0FA3">
      <w:pPr>
        <w:pStyle w:val="NormaleWeb"/>
        <w:shd w:val="clear" w:color="auto" w:fill="FFFFFF"/>
        <w:spacing w:before="0" w:beforeAutospacing="0" w:after="120" w:afterAutospacing="0" w:line="264" w:lineRule="auto"/>
        <w:rPr>
          <w:rFonts w:ascii="Calibri" w:eastAsiaTheme="majorEastAsia" w:hAnsi="Calibri" w:cs="Calibri"/>
          <w:kern w:val="2"/>
          <w:sz w:val="22"/>
          <w:szCs w:val="22"/>
          <w:u w:val="single"/>
          <w:lang w:val="it-IT" w:eastAsia="en-US"/>
          <w14:ligatures w14:val="standardContextual"/>
        </w:rPr>
      </w:pPr>
      <w:r w:rsidRPr="00DA0FA3">
        <w:rPr>
          <w:rFonts w:ascii="Calibri" w:eastAsiaTheme="majorEastAsia" w:hAnsi="Calibri" w:cs="Calibri"/>
          <w:kern w:val="2"/>
          <w:sz w:val="22"/>
          <w:szCs w:val="22"/>
          <w:u w:val="single"/>
          <w:lang w:val="it-IT" w:eastAsia="en-US"/>
          <w14:ligatures w14:val="standardContextual"/>
        </w:rPr>
        <w:t xml:space="preserve">Riflettori puntati sulla </w:t>
      </w:r>
      <w:r w:rsidR="003E4F76">
        <w:rPr>
          <w:rFonts w:ascii="Calibri" w:eastAsiaTheme="majorEastAsia" w:hAnsi="Calibri" w:cs="Calibri"/>
          <w:kern w:val="2"/>
          <w:sz w:val="22"/>
          <w:szCs w:val="22"/>
          <w:u w:val="single"/>
          <w:lang w:val="it-IT" w:eastAsia="en-US"/>
          <w14:ligatures w14:val="standardContextual"/>
        </w:rPr>
        <w:t>regolamentazione</w:t>
      </w:r>
    </w:p>
    <w:p w14:paraId="35690EBB" w14:textId="6CDAD170" w:rsidR="00536B46" w:rsidRPr="00DA0FA3" w:rsidRDefault="00536B46" w:rsidP="00DA0FA3">
      <w:pPr>
        <w:pStyle w:val="NormaleWeb"/>
        <w:shd w:val="clear" w:color="auto" w:fill="FFFFFF"/>
        <w:spacing w:before="0" w:beforeAutospacing="0" w:after="120" w:afterAutospacing="0" w:line="264" w:lineRule="auto"/>
        <w:rPr>
          <w:rFonts w:ascii="Calibri" w:hAnsi="Calibri" w:cs="Calibri"/>
          <w:sz w:val="22"/>
          <w:szCs w:val="22"/>
          <w:lang w:val="it-IT"/>
        </w:rPr>
      </w:pPr>
      <w:r w:rsidRPr="00DA0FA3">
        <w:rPr>
          <w:rFonts w:ascii="Calibri" w:hAnsi="Calibri" w:cs="Calibri"/>
          <w:sz w:val="22"/>
          <w:szCs w:val="22"/>
          <w:lang w:val="it-IT"/>
        </w:rPr>
        <w:t xml:space="preserve">I recenti sviluppi hanno rappresentato il primo vero banco di prova delle normative attuate dopo la crisi finanziaria globale </w:t>
      </w:r>
      <w:r w:rsidR="0040775C" w:rsidRPr="00DA0FA3">
        <w:rPr>
          <w:rFonts w:ascii="Calibri" w:hAnsi="Calibri" w:cs="Calibri"/>
          <w:sz w:val="22"/>
          <w:szCs w:val="22"/>
          <w:lang w:val="it-IT"/>
        </w:rPr>
        <w:t>ch</w:t>
      </w:r>
      <w:r w:rsidRPr="00DA0FA3">
        <w:rPr>
          <w:rFonts w:ascii="Calibri" w:hAnsi="Calibri" w:cs="Calibri"/>
          <w:sz w:val="22"/>
          <w:szCs w:val="22"/>
          <w:lang w:val="it-IT"/>
        </w:rPr>
        <w:t xml:space="preserve">e, in linea di massima, hanno dimostrato di funzionare: </w:t>
      </w:r>
      <w:r w:rsidRPr="00DA0FA3">
        <w:rPr>
          <w:rFonts w:ascii="Calibri" w:hAnsi="Calibri" w:cs="Calibri"/>
          <w:b/>
          <w:bCs/>
          <w:sz w:val="22"/>
          <w:szCs w:val="22"/>
          <w:lang w:val="it-IT"/>
        </w:rPr>
        <w:t>le autorità svizzere sono riuscite a proteggere la stabilità finanziaria e a limitare il rischio di contagio</w:t>
      </w:r>
      <w:r w:rsidRPr="00DA0FA3">
        <w:rPr>
          <w:rFonts w:ascii="Calibri" w:hAnsi="Calibri" w:cs="Calibri"/>
          <w:sz w:val="22"/>
          <w:szCs w:val="22"/>
          <w:lang w:val="it-IT"/>
        </w:rPr>
        <w:t xml:space="preserve">. </w:t>
      </w:r>
      <w:r w:rsidRPr="00DA0FA3">
        <w:rPr>
          <w:rFonts w:ascii="Calibri" w:hAnsi="Calibri" w:cs="Calibri"/>
          <w:b/>
          <w:bCs/>
          <w:sz w:val="22"/>
          <w:szCs w:val="22"/>
          <w:lang w:val="it-IT"/>
        </w:rPr>
        <w:t xml:space="preserve">Poiché le regole sono diverse nel resto d’Europa, non è chiaro se </w:t>
      </w:r>
      <w:r w:rsidR="003E4F76">
        <w:rPr>
          <w:rFonts w:ascii="Calibri" w:hAnsi="Calibri" w:cs="Calibri"/>
          <w:b/>
          <w:bCs/>
          <w:sz w:val="22"/>
          <w:szCs w:val="22"/>
          <w:lang w:val="it-IT"/>
        </w:rPr>
        <w:t>le autorità normative</w:t>
      </w:r>
      <w:r w:rsidR="003E4F76" w:rsidRPr="00DA0FA3">
        <w:rPr>
          <w:rFonts w:ascii="Calibri" w:hAnsi="Calibri" w:cs="Calibri"/>
          <w:b/>
          <w:bCs/>
          <w:sz w:val="22"/>
          <w:szCs w:val="22"/>
          <w:lang w:val="it-IT"/>
        </w:rPr>
        <w:t xml:space="preserve"> </w:t>
      </w:r>
      <w:r w:rsidRPr="00DA0FA3">
        <w:rPr>
          <w:rFonts w:ascii="Calibri" w:hAnsi="Calibri" w:cs="Calibri"/>
          <w:b/>
          <w:bCs/>
          <w:sz w:val="22"/>
          <w:szCs w:val="22"/>
          <w:lang w:val="it-IT"/>
        </w:rPr>
        <w:t>europe</w:t>
      </w:r>
      <w:r w:rsidR="003E4F76">
        <w:rPr>
          <w:rFonts w:ascii="Calibri" w:hAnsi="Calibri" w:cs="Calibri"/>
          <w:b/>
          <w:bCs/>
          <w:sz w:val="22"/>
          <w:szCs w:val="22"/>
          <w:lang w:val="it-IT"/>
        </w:rPr>
        <w:t>e</w:t>
      </w:r>
      <w:r w:rsidRPr="00DA0FA3">
        <w:rPr>
          <w:rFonts w:ascii="Calibri" w:hAnsi="Calibri" w:cs="Calibri"/>
          <w:b/>
          <w:bCs/>
          <w:sz w:val="22"/>
          <w:szCs w:val="22"/>
          <w:lang w:val="it-IT"/>
        </w:rPr>
        <w:t xml:space="preserve"> avrebbero potuto ottenere lo stesso risultato</w:t>
      </w:r>
      <w:r w:rsidRPr="00DA0FA3">
        <w:rPr>
          <w:rFonts w:ascii="Calibri" w:hAnsi="Calibri" w:cs="Calibri"/>
          <w:sz w:val="22"/>
          <w:szCs w:val="22"/>
          <w:lang w:val="it-IT"/>
        </w:rPr>
        <w:t xml:space="preserve"> visto che, in base alla legislazione attuale, una banca dovrebbe essere messa in risoluzione prima che i detentori di AT1 </w:t>
      </w:r>
      <w:r w:rsidR="003E4F76">
        <w:rPr>
          <w:rFonts w:ascii="Calibri" w:hAnsi="Calibri" w:cs="Calibri"/>
          <w:sz w:val="22"/>
          <w:szCs w:val="22"/>
          <w:lang w:val="it-IT"/>
        </w:rPr>
        <w:t>vedano un azzeramento del valore dei bond</w:t>
      </w:r>
      <w:r w:rsidRPr="00DA0FA3">
        <w:rPr>
          <w:rFonts w:ascii="Calibri" w:hAnsi="Calibri" w:cs="Calibri"/>
          <w:sz w:val="22"/>
          <w:szCs w:val="22"/>
          <w:lang w:val="it-IT"/>
        </w:rPr>
        <w:t>. In questo scenario,</w:t>
      </w:r>
      <w:r w:rsidR="0040775C" w:rsidRPr="00DA0FA3">
        <w:rPr>
          <w:rFonts w:ascii="Calibri" w:hAnsi="Calibri" w:cs="Calibri"/>
          <w:sz w:val="22"/>
          <w:szCs w:val="22"/>
          <w:lang w:val="it-IT"/>
        </w:rPr>
        <w:t xml:space="preserve"> </w:t>
      </w:r>
      <w:r w:rsidRPr="00DA0FA3">
        <w:rPr>
          <w:rFonts w:ascii="Calibri" w:hAnsi="Calibri" w:cs="Calibri"/>
          <w:sz w:val="22"/>
          <w:szCs w:val="22"/>
          <w:lang w:val="it-IT"/>
        </w:rPr>
        <w:t>esist</w:t>
      </w:r>
      <w:r w:rsidR="003E4F76">
        <w:rPr>
          <w:rFonts w:ascii="Calibri" w:hAnsi="Calibri" w:cs="Calibri"/>
          <w:sz w:val="22"/>
          <w:szCs w:val="22"/>
          <w:lang w:val="it-IT"/>
        </w:rPr>
        <w:t>e</w:t>
      </w:r>
      <w:r w:rsidRPr="00DA0FA3">
        <w:rPr>
          <w:rFonts w:ascii="Calibri" w:hAnsi="Calibri" w:cs="Calibri"/>
          <w:sz w:val="22"/>
          <w:szCs w:val="22"/>
          <w:lang w:val="it-IT"/>
        </w:rPr>
        <w:t xml:space="preserve"> un potenziale rischio di contagio per il debito senior e per altri tipi di debito. A fronte di ciò, in futuro </w:t>
      </w:r>
      <w:r w:rsidR="003B6096" w:rsidRPr="00DA0FA3">
        <w:rPr>
          <w:rFonts w:ascii="Calibri" w:hAnsi="Calibri" w:cs="Calibri"/>
          <w:sz w:val="22"/>
          <w:szCs w:val="22"/>
          <w:lang w:val="it-IT"/>
        </w:rPr>
        <w:t>esiste</w:t>
      </w:r>
      <w:r w:rsidRPr="00DA0FA3">
        <w:rPr>
          <w:rFonts w:ascii="Calibri" w:hAnsi="Calibri" w:cs="Calibri"/>
          <w:sz w:val="22"/>
          <w:szCs w:val="22"/>
          <w:lang w:val="it-IT"/>
        </w:rPr>
        <w:t xml:space="preserve"> la possibilità di adeguamenti normativi in Europa, anche se probabilmente ciò avverrà tra diversi anni.  </w:t>
      </w:r>
    </w:p>
    <w:p w14:paraId="1A66F494" w14:textId="3468C907" w:rsidR="00536B46" w:rsidRPr="00DA0FA3" w:rsidRDefault="00536B46" w:rsidP="00DA0FA3">
      <w:pPr>
        <w:pStyle w:val="NormaleWeb"/>
        <w:shd w:val="clear" w:color="auto" w:fill="FFFFFF"/>
        <w:spacing w:before="0" w:beforeAutospacing="0" w:after="120" w:afterAutospacing="0" w:line="264" w:lineRule="auto"/>
        <w:rPr>
          <w:rFonts w:ascii="Calibri" w:hAnsi="Calibri" w:cs="Calibri"/>
          <w:sz w:val="22"/>
          <w:szCs w:val="22"/>
          <w:lang w:val="it-IT"/>
        </w:rPr>
      </w:pPr>
      <w:r w:rsidRPr="00DA0FA3">
        <w:rPr>
          <w:rFonts w:ascii="Calibri" w:hAnsi="Calibri" w:cs="Calibri"/>
          <w:sz w:val="22"/>
          <w:szCs w:val="22"/>
          <w:lang w:val="it-IT"/>
        </w:rPr>
        <w:t xml:space="preserve">Probabilmente ci vorrà ancora un po’ di tempo prima che sia chiaro il pieno impatto della decisione della </w:t>
      </w:r>
      <w:proofErr w:type="spellStart"/>
      <w:r w:rsidRPr="00DA0FA3">
        <w:rPr>
          <w:rFonts w:ascii="Calibri" w:hAnsi="Calibri" w:cs="Calibri"/>
          <w:sz w:val="22"/>
          <w:szCs w:val="22"/>
          <w:lang w:val="it-IT"/>
        </w:rPr>
        <w:t>Finma</w:t>
      </w:r>
      <w:proofErr w:type="spellEnd"/>
      <w:r w:rsidRPr="00DA0FA3">
        <w:rPr>
          <w:rFonts w:ascii="Calibri" w:hAnsi="Calibri" w:cs="Calibri"/>
          <w:sz w:val="22"/>
          <w:szCs w:val="22"/>
          <w:lang w:val="it-IT"/>
        </w:rPr>
        <w:t xml:space="preserve"> sul mercato delle obbligazioni AT1. </w:t>
      </w:r>
      <w:r w:rsidRPr="00DA0FA3">
        <w:rPr>
          <w:rFonts w:ascii="Calibri" w:hAnsi="Calibri" w:cs="Calibri"/>
          <w:b/>
          <w:bCs/>
          <w:sz w:val="22"/>
          <w:szCs w:val="22"/>
          <w:lang w:val="it-IT"/>
        </w:rPr>
        <w:t>È probabile che le nuove emissioni rappresentino un importante test di fiducia e diano un’idea di come gli investitori valutino ora lo strumento</w:t>
      </w:r>
      <w:r w:rsidRPr="00DA0FA3">
        <w:rPr>
          <w:rFonts w:ascii="Calibri" w:hAnsi="Calibri" w:cs="Calibri"/>
          <w:sz w:val="22"/>
          <w:szCs w:val="22"/>
          <w:lang w:val="it-IT"/>
        </w:rPr>
        <w:t xml:space="preserve">, che a nostro avviso deve essere più in linea con il costo del capitale. In attesa che ciò avvenga, </w:t>
      </w:r>
      <w:r w:rsidR="003E4F76">
        <w:rPr>
          <w:rFonts w:ascii="Calibri" w:hAnsi="Calibri" w:cs="Calibri"/>
          <w:sz w:val="22"/>
          <w:szCs w:val="22"/>
          <w:lang w:val="it-IT"/>
        </w:rPr>
        <w:t xml:space="preserve">ci concentriamo </w:t>
      </w:r>
      <w:r w:rsidRPr="00DA0FA3">
        <w:rPr>
          <w:rFonts w:ascii="Calibri" w:hAnsi="Calibri" w:cs="Calibri"/>
          <w:sz w:val="22"/>
          <w:szCs w:val="22"/>
          <w:lang w:val="it-IT"/>
        </w:rPr>
        <w:t xml:space="preserve">sul mercato secondario, dove si può trovare un valore potenzialmente interessante in alcune obbligazioni AT1 di alta qualità. Sebbene i prezzi si siano ripresi, </w:t>
      </w:r>
      <w:r w:rsidR="00D40291" w:rsidRPr="00DA0FA3">
        <w:rPr>
          <w:rFonts w:ascii="Calibri" w:hAnsi="Calibri" w:cs="Calibri"/>
          <w:sz w:val="22"/>
          <w:szCs w:val="22"/>
          <w:lang w:val="it-IT"/>
        </w:rPr>
        <w:t xml:space="preserve">esiste </w:t>
      </w:r>
      <w:r w:rsidRPr="00DA0FA3">
        <w:rPr>
          <w:rFonts w:ascii="Calibri" w:hAnsi="Calibri" w:cs="Calibri"/>
          <w:sz w:val="22"/>
          <w:szCs w:val="22"/>
          <w:lang w:val="it-IT"/>
        </w:rPr>
        <w:t xml:space="preserve">ancora spazio per un’ulteriore compressione degli spread </w:t>
      </w:r>
      <w:r w:rsidR="00D40291" w:rsidRPr="00DA0FA3">
        <w:rPr>
          <w:rFonts w:ascii="Calibri" w:hAnsi="Calibri" w:cs="Calibri"/>
          <w:sz w:val="22"/>
          <w:szCs w:val="22"/>
          <w:lang w:val="it-IT"/>
        </w:rPr>
        <w:t xml:space="preserve">mentre </w:t>
      </w:r>
      <w:r w:rsidRPr="00DA0FA3">
        <w:rPr>
          <w:rFonts w:ascii="Calibri" w:hAnsi="Calibri" w:cs="Calibri"/>
          <w:sz w:val="22"/>
          <w:szCs w:val="22"/>
          <w:lang w:val="it-IT"/>
        </w:rPr>
        <w:t xml:space="preserve">una ricerca fondamentale approfondita </w:t>
      </w:r>
      <w:r w:rsidR="00D40291" w:rsidRPr="00DA0FA3">
        <w:rPr>
          <w:rFonts w:ascii="Calibri" w:hAnsi="Calibri" w:cs="Calibri"/>
          <w:sz w:val="22"/>
          <w:szCs w:val="22"/>
          <w:lang w:val="it-IT"/>
        </w:rPr>
        <w:t xml:space="preserve">potrà </w:t>
      </w:r>
      <w:r w:rsidRPr="00DA0FA3">
        <w:rPr>
          <w:rFonts w:ascii="Calibri" w:hAnsi="Calibri" w:cs="Calibri"/>
          <w:sz w:val="22"/>
          <w:szCs w:val="22"/>
          <w:lang w:val="it-IT"/>
        </w:rPr>
        <w:t>aiutare a filtrare le opportunità più interessanti di questo mercato.</w:t>
      </w:r>
    </w:p>
    <w:p w14:paraId="7AC180AB" w14:textId="77777777" w:rsidR="00536B46" w:rsidRPr="00DA0FA3" w:rsidRDefault="00536B46" w:rsidP="00DA0FA3">
      <w:pPr>
        <w:pStyle w:val="NormaleWeb"/>
        <w:shd w:val="clear" w:color="auto" w:fill="FFFFFF"/>
        <w:spacing w:before="0" w:beforeAutospacing="0" w:after="120" w:afterAutospacing="0" w:line="264" w:lineRule="auto"/>
        <w:rPr>
          <w:rFonts w:ascii="Calibri" w:hAnsi="Calibri" w:cs="Calibri"/>
          <w:sz w:val="22"/>
          <w:szCs w:val="22"/>
          <w:lang w:val="it-IT"/>
        </w:rPr>
      </w:pPr>
    </w:p>
    <w:p w14:paraId="08D75DC7" w14:textId="77777777" w:rsidR="006E49B2" w:rsidRPr="00DA0FA3" w:rsidRDefault="006E49B2" w:rsidP="00DA0FA3">
      <w:pPr>
        <w:pStyle w:val="NormaleWeb"/>
        <w:shd w:val="clear" w:color="auto" w:fill="FFFFFF"/>
        <w:spacing w:before="0" w:beforeAutospacing="0" w:after="120" w:afterAutospacing="0" w:line="264" w:lineRule="auto"/>
        <w:rPr>
          <w:rFonts w:ascii="Calibri" w:hAnsi="Calibri" w:cs="Calibri"/>
          <w:sz w:val="22"/>
          <w:szCs w:val="22"/>
          <w:lang w:val="it-IT"/>
        </w:rPr>
      </w:pPr>
    </w:p>
    <w:sectPr w:rsidR="006E49B2" w:rsidRPr="00DA0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E1"/>
    <w:rsid w:val="000A574D"/>
    <w:rsid w:val="001F1E0E"/>
    <w:rsid w:val="00210BFA"/>
    <w:rsid w:val="00212737"/>
    <w:rsid w:val="002E4E49"/>
    <w:rsid w:val="003B6096"/>
    <w:rsid w:val="003D4FA8"/>
    <w:rsid w:val="003E4F76"/>
    <w:rsid w:val="0040775C"/>
    <w:rsid w:val="00491AF5"/>
    <w:rsid w:val="00536B46"/>
    <w:rsid w:val="00613244"/>
    <w:rsid w:val="00620CEC"/>
    <w:rsid w:val="006E49B2"/>
    <w:rsid w:val="008A27BA"/>
    <w:rsid w:val="008F09E1"/>
    <w:rsid w:val="00A3491F"/>
    <w:rsid w:val="00A87422"/>
    <w:rsid w:val="00AA6E7E"/>
    <w:rsid w:val="00AD5938"/>
    <w:rsid w:val="00B92A72"/>
    <w:rsid w:val="00BC4C71"/>
    <w:rsid w:val="00D1268A"/>
    <w:rsid w:val="00D32F86"/>
    <w:rsid w:val="00D40291"/>
    <w:rsid w:val="00DA0FA3"/>
    <w:rsid w:val="00E76308"/>
    <w:rsid w:val="00E8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82B5"/>
  <w15:chartTrackingRefBased/>
  <w15:docId w15:val="{A85DBB1D-65DA-B041-8085-6A56C003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F09E1"/>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Titolo3">
    <w:name w:val="heading 3"/>
    <w:basedOn w:val="Normale"/>
    <w:next w:val="Normale"/>
    <w:link w:val="Titolo3Carattere"/>
    <w:uiPriority w:val="9"/>
    <w:semiHidden/>
    <w:unhideWhenUsed/>
    <w:qFormat/>
    <w:rsid w:val="00E76308"/>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F09E1"/>
    <w:rPr>
      <w:color w:val="0563C1" w:themeColor="hyperlink"/>
      <w:u w:val="single"/>
    </w:rPr>
  </w:style>
  <w:style w:type="character" w:styleId="Menzionenonrisolta">
    <w:name w:val="Unresolved Mention"/>
    <w:basedOn w:val="Carpredefinitoparagrafo"/>
    <w:uiPriority w:val="99"/>
    <w:semiHidden/>
    <w:unhideWhenUsed/>
    <w:rsid w:val="008F09E1"/>
    <w:rPr>
      <w:color w:val="605E5C"/>
      <w:shd w:val="clear" w:color="auto" w:fill="E1DFDD"/>
    </w:rPr>
  </w:style>
  <w:style w:type="character" w:customStyle="1" w:styleId="Titolo1Carattere">
    <w:name w:val="Titolo 1 Carattere"/>
    <w:basedOn w:val="Carpredefinitoparagrafo"/>
    <w:link w:val="Titolo1"/>
    <w:uiPriority w:val="9"/>
    <w:rsid w:val="008F09E1"/>
    <w:rPr>
      <w:rFonts w:ascii="Times New Roman" w:eastAsia="Times New Roman" w:hAnsi="Times New Roman" w:cs="Times New Roman"/>
      <w:b/>
      <w:bCs/>
      <w:kern w:val="36"/>
      <w:sz w:val="48"/>
      <w:szCs w:val="48"/>
      <w:lang w:eastAsia="en-GB"/>
      <w14:ligatures w14:val="none"/>
    </w:rPr>
  </w:style>
  <w:style w:type="paragraph" w:customStyle="1" w:styleId="aem-gridcolumn">
    <w:name w:val="aem-gridcolumn"/>
    <w:basedOn w:val="Normale"/>
    <w:rsid w:val="008F09E1"/>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ims-article-infoauthor">
    <w:name w:val="gims-article-info__author"/>
    <w:basedOn w:val="Normale"/>
    <w:rsid w:val="008F09E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gims-article-infoauthortitle">
    <w:name w:val="gims-article-info__author__title"/>
    <w:basedOn w:val="Carpredefinitoparagrafo"/>
    <w:rsid w:val="008F09E1"/>
  </w:style>
  <w:style w:type="character" w:customStyle="1" w:styleId="Titolo3Carattere">
    <w:name w:val="Titolo 3 Carattere"/>
    <w:basedOn w:val="Carpredefinitoparagrafo"/>
    <w:link w:val="Titolo3"/>
    <w:uiPriority w:val="9"/>
    <w:semiHidden/>
    <w:rsid w:val="00E76308"/>
    <w:rPr>
      <w:rFonts w:asciiTheme="majorHAnsi" w:eastAsiaTheme="majorEastAsia" w:hAnsiTheme="majorHAnsi" w:cstheme="majorBidi"/>
      <w:color w:val="1F3763" w:themeColor="accent1" w:themeShade="7F"/>
    </w:rPr>
  </w:style>
  <w:style w:type="paragraph" w:styleId="NormaleWeb">
    <w:name w:val="Normal (Web)"/>
    <w:basedOn w:val="Normale"/>
    <w:uiPriority w:val="99"/>
    <w:unhideWhenUsed/>
    <w:rsid w:val="00E7630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e">
    <w:name w:val="Revision"/>
    <w:hidden/>
    <w:uiPriority w:val="99"/>
    <w:semiHidden/>
    <w:rsid w:val="00AD5938"/>
  </w:style>
  <w:style w:type="character" w:styleId="Rimandocommento">
    <w:name w:val="annotation reference"/>
    <w:basedOn w:val="Carpredefinitoparagrafo"/>
    <w:uiPriority w:val="99"/>
    <w:semiHidden/>
    <w:unhideWhenUsed/>
    <w:rsid w:val="0040775C"/>
    <w:rPr>
      <w:sz w:val="16"/>
      <w:szCs w:val="16"/>
    </w:rPr>
  </w:style>
  <w:style w:type="paragraph" w:styleId="Testocommento">
    <w:name w:val="annotation text"/>
    <w:basedOn w:val="Normale"/>
    <w:link w:val="TestocommentoCarattere"/>
    <w:uiPriority w:val="99"/>
    <w:unhideWhenUsed/>
    <w:rsid w:val="0040775C"/>
    <w:rPr>
      <w:sz w:val="20"/>
      <w:szCs w:val="20"/>
    </w:rPr>
  </w:style>
  <w:style w:type="character" w:customStyle="1" w:styleId="TestocommentoCarattere">
    <w:name w:val="Testo commento Carattere"/>
    <w:basedOn w:val="Carpredefinitoparagrafo"/>
    <w:link w:val="Testocommento"/>
    <w:uiPriority w:val="99"/>
    <w:rsid w:val="0040775C"/>
    <w:rPr>
      <w:sz w:val="20"/>
      <w:szCs w:val="20"/>
    </w:rPr>
  </w:style>
  <w:style w:type="paragraph" w:styleId="Soggettocommento">
    <w:name w:val="annotation subject"/>
    <w:basedOn w:val="Testocommento"/>
    <w:next w:val="Testocommento"/>
    <w:link w:val="SoggettocommentoCarattere"/>
    <w:uiPriority w:val="99"/>
    <w:semiHidden/>
    <w:unhideWhenUsed/>
    <w:rsid w:val="0040775C"/>
    <w:rPr>
      <w:b/>
      <w:bCs/>
    </w:rPr>
  </w:style>
  <w:style w:type="character" w:customStyle="1" w:styleId="SoggettocommentoCarattere">
    <w:name w:val="Soggetto commento Carattere"/>
    <w:basedOn w:val="TestocommentoCarattere"/>
    <w:link w:val="Soggettocommento"/>
    <w:uiPriority w:val="99"/>
    <w:semiHidden/>
    <w:rsid w:val="0040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7429">
      <w:bodyDiv w:val="1"/>
      <w:marLeft w:val="0"/>
      <w:marRight w:val="0"/>
      <w:marTop w:val="0"/>
      <w:marBottom w:val="0"/>
      <w:divBdr>
        <w:top w:val="none" w:sz="0" w:space="0" w:color="auto"/>
        <w:left w:val="none" w:sz="0" w:space="0" w:color="auto"/>
        <w:bottom w:val="none" w:sz="0" w:space="0" w:color="auto"/>
        <w:right w:val="none" w:sz="0" w:space="0" w:color="auto"/>
      </w:divBdr>
      <w:divsChild>
        <w:div w:id="1192963390">
          <w:marLeft w:val="-120"/>
          <w:marRight w:val="-120"/>
          <w:marTop w:val="0"/>
          <w:marBottom w:val="0"/>
          <w:divBdr>
            <w:top w:val="none" w:sz="0" w:space="0" w:color="auto"/>
            <w:left w:val="none" w:sz="0" w:space="0" w:color="auto"/>
            <w:bottom w:val="none" w:sz="0" w:space="0" w:color="auto"/>
            <w:right w:val="none" w:sz="0" w:space="0" w:color="auto"/>
          </w:divBdr>
        </w:div>
        <w:div w:id="764964091">
          <w:marLeft w:val="0"/>
          <w:marRight w:val="0"/>
          <w:marTop w:val="0"/>
          <w:marBottom w:val="0"/>
          <w:divBdr>
            <w:top w:val="none" w:sz="0" w:space="0" w:color="auto"/>
            <w:left w:val="none" w:sz="0" w:space="0" w:color="auto"/>
            <w:bottom w:val="none" w:sz="0" w:space="0" w:color="auto"/>
            <w:right w:val="none" w:sz="0" w:space="0" w:color="auto"/>
          </w:divBdr>
        </w:div>
      </w:divsChild>
    </w:div>
    <w:div w:id="244153388">
      <w:bodyDiv w:val="1"/>
      <w:marLeft w:val="0"/>
      <w:marRight w:val="0"/>
      <w:marTop w:val="0"/>
      <w:marBottom w:val="0"/>
      <w:divBdr>
        <w:top w:val="none" w:sz="0" w:space="0" w:color="auto"/>
        <w:left w:val="none" w:sz="0" w:space="0" w:color="auto"/>
        <w:bottom w:val="none" w:sz="0" w:space="0" w:color="auto"/>
        <w:right w:val="none" w:sz="0" w:space="0" w:color="auto"/>
      </w:divBdr>
    </w:div>
    <w:div w:id="463698304">
      <w:bodyDiv w:val="1"/>
      <w:marLeft w:val="0"/>
      <w:marRight w:val="0"/>
      <w:marTop w:val="0"/>
      <w:marBottom w:val="0"/>
      <w:divBdr>
        <w:top w:val="none" w:sz="0" w:space="0" w:color="auto"/>
        <w:left w:val="none" w:sz="0" w:space="0" w:color="auto"/>
        <w:bottom w:val="none" w:sz="0" w:space="0" w:color="auto"/>
        <w:right w:val="none" w:sz="0" w:space="0" w:color="auto"/>
      </w:divBdr>
      <w:divsChild>
        <w:div w:id="1105928345">
          <w:marLeft w:val="0"/>
          <w:marRight w:val="0"/>
          <w:marTop w:val="0"/>
          <w:marBottom w:val="0"/>
          <w:divBdr>
            <w:top w:val="none" w:sz="0" w:space="0" w:color="auto"/>
            <w:left w:val="none" w:sz="0" w:space="0" w:color="auto"/>
            <w:bottom w:val="none" w:sz="0" w:space="0" w:color="auto"/>
            <w:right w:val="none" w:sz="0" w:space="0" w:color="auto"/>
          </w:divBdr>
          <w:divsChild>
            <w:div w:id="93596350">
              <w:marLeft w:val="-120"/>
              <w:marRight w:val="-120"/>
              <w:marTop w:val="0"/>
              <w:marBottom w:val="0"/>
              <w:divBdr>
                <w:top w:val="none" w:sz="0" w:space="0" w:color="auto"/>
                <w:left w:val="none" w:sz="0" w:space="0" w:color="auto"/>
                <w:bottom w:val="none" w:sz="0" w:space="0" w:color="auto"/>
                <w:right w:val="none" w:sz="0" w:space="0" w:color="auto"/>
              </w:divBdr>
              <w:divsChild>
                <w:div w:id="1324623271">
                  <w:marLeft w:val="0"/>
                  <w:marRight w:val="0"/>
                  <w:marTop w:val="0"/>
                  <w:marBottom w:val="0"/>
                  <w:divBdr>
                    <w:top w:val="none" w:sz="0" w:space="0" w:color="auto"/>
                    <w:left w:val="none" w:sz="0" w:space="0" w:color="auto"/>
                    <w:bottom w:val="none" w:sz="0" w:space="0" w:color="auto"/>
                    <w:right w:val="none" w:sz="0" w:space="0" w:color="auto"/>
                  </w:divBdr>
                  <w:divsChild>
                    <w:div w:id="14510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6108">
      <w:bodyDiv w:val="1"/>
      <w:marLeft w:val="0"/>
      <w:marRight w:val="0"/>
      <w:marTop w:val="0"/>
      <w:marBottom w:val="0"/>
      <w:divBdr>
        <w:top w:val="none" w:sz="0" w:space="0" w:color="auto"/>
        <w:left w:val="none" w:sz="0" w:space="0" w:color="auto"/>
        <w:bottom w:val="none" w:sz="0" w:space="0" w:color="auto"/>
        <w:right w:val="none" w:sz="0" w:space="0" w:color="auto"/>
      </w:divBdr>
      <w:divsChild>
        <w:div w:id="35274202">
          <w:marLeft w:val="0"/>
          <w:marRight w:val="0"/>
          <w:marTop w:val="0"/>
          <w:marBottom w:val="0"/>
          <w:divBdr>
            <w:top w:val="none" w:sz="0" w:space="0" w:color="auto"/>
            <w:left w:val="none" w:sz="0" w:space="0" w:color="auto"/>
            <w:bottom w:val="none" w:sz="0" w:space="0" w:color="auto"/>
            <w:right w:val="none" w:sz="0" w:space="0" w:color="auto"/>
          </w:divBdr>
          <w:divsChild>
            <w:div w:id="838815706">
              <w:marLeft w:val="-120"/>
              <w:marRight w:val="-120"/>
              <w:marTop w:val="0"/>
              <w:marBottom w:val="0"/>
              <w:divBdr>
                <w:top w:val="none" w:sz="0" w:space="0" w:color="auto"/>
                <w:left w:val="none" w:sz="0" w:space="0" w:color="auto"/>
                <w:bottom w:val="none" w:sz="0" w:space="0" w:color="auto"/>
                <w:right w:val="none" w:sz="0" w:space="0" w:color="auto"/>
              </w:divBdr>
              <w:divsChild>
                <w:div w:id="963079744">
                  <w:marLeft w:val="0"/>
                  <w:marRight w:val="0"/>
                  <w:marTop w:val="0"/>
                  <w:marBottom w:val="0"/>
                  <w:divBdr>
                    <w:top w:val="none" w:sz="0" w:space="0" w:color="auto"/>
                    <w:left w:val="none" w:sz="0" w:space="0" w:color="auto"/>
                    <w:bottom w:val="none" w:sz="0" w:space="0" w:color="auto"/>
                    <w:right w:val="none" w:sz="0" w:space="0" w:color="auto"/>
                  </w:divBdr>
                  <w:divsChild>
                    <w:div w:id="5679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8620">
      <w:bodyDiv w:val="1"/>
      <w:marLeft w:val="0"/>
      <w:marRight w:val="0"/>
      <w:marTop w:val="0"/>
      <w:marBottom w:val="0"/>
      <w:divBdr>
        <w:top w:val="none" w:sz="0" w:space="0" w:color="auto"/>
        <w:left w:val="none" w:sz="0" w:space="0" w:color="auto"/>
        <w:bottom w:val="none" w:sz="0" w:space="0" w:color="auto"/>
        <w:right w:val="none" w:sz="0" w:space="0" w:color="auto"/>
      </w:divBdr>
      <w:divsChild>
        <w:div w:id="1046373925">
          <w:marLeft w:val="-120"/>
          <w:marRight w:val="-120"/>
          <w:marTop w:val="0"/>
          <w:marBottom w:val="0"/>
          <w:divBdr>
            <w:top w:val="none" w:sz="0" w:space="0" w:color="auto"/>
            <w:left w:val="none" w:sz="0" w:space="0" w:color="auto"/>
            <w:bottom w:val="none" w:sz="0" w:space="0" w:color="auto"/>
            <w:right w:val="none" w:sz="0" w:space="0" w:color="auto"/>
          </w:divBdr>
        </w:div>
        <w:div w:id="98867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troweprice.com/financial-intermediary/it/en/search.html/bioKey/bineesha-wickremarach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856</Words>
  <Characters>4881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Diana Ferla</cp:lastModifiedBy>
  <cp:revision>19</cp:revision>
  <dcterms:created xsi:type="dcterms:W3CDTF">2023-05-08T11:19:00Z</dcterms:created>
  <dcterms:modified xsi:type="dcterms:W3CDTF">2023-05-11T07:08:00Z</dcterms:modified>
</cp:coreProperties>
</file>