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6C74" w14:textId="5D31F253" w:rsidR="003C74C8" w:rsidRDefault="003C74C8" w:rsidP="00CE6232">
      <w:pPr>
        <w:shd w:val="clear" w:color="auto" w:fill="FFFFFF"/>
        <w:spacing w:after="120" w:line="264" w:lineRule="auto"/>
        <w:rPr>
          <w:rFonts w:eastAsia="Times New Roman" w:cstheme="minorHAnsi"/>
          <w:kern w:val="0"/>
          <w:lang w:eastAsia="it-IT"/>
          <w14:ligatures w14:val="none"/>
        </w:rPr>
      </w:pPr>
      <w:r w:rsidRPr="003C74C8">
        <w:rPr>
          <w:rFonts w:eastAsia="Times New Roman" w:cstheme="minorHAnsi"/>
          <w:b/>
          <w:bCs/>
          <w:kern w:val="0"/>
          <w:lang w:eastAsia="it-IT"/>
          <w14:ligatures w14:val="none"/>
        </w:rPr>
        <w:t>Schroders</w:t>
      </w:r>
      <w:r>
        <w:rPr>
          <w:rFonts w:eastAsia="Times New Roman" w:cstheme="minorHAnsi"/>
          <w:b/>
          <w:bCs/>
          <w:kern w:val="0"/>
          <w:lang w:eastAsia="it-IT"/>
          <w14:ligatures w14:val="none"/>
        </w:rPr>
        <w:t xml:space="preserve"> -</w:t>
      </w:r>
      <w:r w:rsidRPr="003C74C8">
        <w:rPr>
          <w:rFonts w:eastAsia="Times New Roman" w:cstheme="minorHAnsi"/>
          <w:b/>
          <w:bCs/>
          <w:kern w:val="0"/>
          <w:lang w:eastAsia="it-IT"/>
          <w14:ligatures w14:val="none"/>
        </w:rPr>
        <w:t xml:space="preserve"> </w:t>
      </w:r>
      <w:r w:rsidR="00F967F1">
        <w:rPr>
          <w:rFonts w:eastAsia="Times New Roman" w:cstheme="minorHAnsi"/>
          <w:b/>
          <w:bCs/>
          <w:kern w:val="0"/>
          <w:lang w:eastAsia="it-IT"/>
          <w14:ligatures w14:val="none"/>
        </w:rPr>
        <w:t>T</w:t>
      </w:r>
      <w:r w:rsidRPr="003C74C8">
        <w:rPr>
          <w:rFonts w:eastAsia="Times New Roman" w:cstheme="minorHAnsi"/>
          <w:b/>
          <w:bCs/>
          <w:kern w:val="0"/>
          <w:lang w:eastAsia="it-IT"/>
          <w14:ligatures w14:val="none"/>
        </w:rPr>
        <w:t>etto del debito USA: come potrebbe impattare sui mercati del reddito fisso</w:t>
      </w:r>
      <w:r w:rsidR="00F967F1">
        <w:rPr>
          <w:rFonts w:eastAsia="Times New Roman" w:cstheme="minorHAnsi"/>
          <w:b/>
          <w:bCs/>
          <w:kern w:val="0"/>
          <w:lang w:eastAsia="it-IT"/>
          <w14:ligatures w14:val="none"/>
        </w:rPr>
        <w:t>?</w:t>
      </w:r>
    </w:p>
    <w:p w14:paraId="469FD3E5" w14:textId="7AFDBDD5" w:rsidR="003C74C8" w:rsidRPr="00F967F1" w:rsidRDefault="003C74C8" w:rsidP="00CE6232">
      <w:pPr>
        <w:shd w:val="clear" w:color="auto" w:fill="FFFFFF"/>
        <w:spacing w:after="120" w:line="264" w:lineRule="auto"/>
        <w:rPr>
          <w:rFonts w:eastAsia="Times New Roman" w:cstheme="minorHAnsi"/>
          <w:b/>
          <w:bCs/>
          <w:kern w:val="0"/>
          <w:lang w:val="en-US" w:eastAsia="it-IT"/>
          <w14:ligatures w14:val="none"/>
        </w:rPr>
      </w:pPr>
      <w:r w:rsidRPr="00F967F1">
        <w:rPr>
          <w:rFonts w:eastAsia="Times New Roman" w:cstheme="minorHAnsi"/>
          <w:kern w:val="0"/>
          <w:lang w:val="en-US" w:eastAsia="it-IT"/>
          <w14:ligatures w14:val="none"/>
        </w:rPr>
        <w:t xml:space="preserve">A </w:t>
      </w:r>
      <w:proofErr w:type="spellStart"/>
      <w:r w:rsidRPr="00F967F1">
        <w:rPr>
          <w:rFonts w:eastAsia="Times New Roman" w:cstheme="minorHAnsi"/>
          <w:kern w:val="0"/>
          <w:lang w:val="en-US" w:eastAsia="it-IT"/>
          <w14:ligatures w14:val="none"/>
        </w:rPr>
        <w:t>cura</w:t>
      </w:r>
      <w:proofErr w:type="spellEnd"/>
      <w:r w:rsidRPr="00F967F1">
        <w:rPr>
          <w:rFonts w:eastAsia="Times New Roman" w:cstheme="minorHAnsi"/>
          <w:kern w:val="0"/>
          <w:lang w:val="en-US" w:eastAsia="it-IT"/>
          <w14:ligatures w14:val="none"/>
        </w:rPr>
        <w:t xml:space="preserve"> di </w:t>
      </w:r>
      <w:r w:rsidRPr="00F967F1">
        <w:rPr>
          <w:rFonts w:eastAsia="Times New Roman" w:cstheme="minorHAnsi"/>
          <w:b/>
          <w:bCs/>
          <w:kern w:val="0"/>
          <w:lang w:val="en-US" w:eastAsia="it-IT"/>
          <w14:ligatures w14:val="none"/>
        </w:rPr>
        <w:t>Paul Grainger, Head of Global Fixed Income &amp; Currency, Schroders</w:t>
      </w:r>
    </w:p>
    <w:p w14:paraId="520BD404" w14:textId="77777777" w:rsidR="007F28EF" w:rsidRPr="007F28EF" w:rsidRDefault="007F28EF" w:rsidP="00CE6232">
      <w:pPr>
        <w:shd w:val="clear" w:color="auto" w:fill="FFFFFF"/>
        <w:spacing w:after="120" w:line="264" w:lineRule="auto"/>
        <w:rPr>
          <w:rFonts w:eastAsia="Times New Roman" w:cstheme="minorHAnsi"/>
          <w:kern w:val="0"/>
          <w:lang w:val="en-US" w:eastAsia="it-IT"/>
          <w14:ligatures w14:val="none"/>
        </w:rPr>
      </w:pPr>
    </w:p>
    <w:p w14:paraId="11E32F41" w14:textId="78DA6BBB" w:rsidR="003C74C8" w:rsidRPr="003C74C8" w:rsidRDefault="00F967F1" w:rsidP="00CE6232">
      <w:pPr>
        <w:shd w:val="clear" w:color="auto" w:fill="FFFFFF"/>
        <w:spacing w:after="120" w:line="264" w:lineRule="auto"/>
        <w:rPr>
          <w:rFonts w:eastAsia="Times New Roman" w:cstheme="minorHAnsi"/>
          <w:kern w:val="0"/>
          <w:lang w:eastAsia="it-IT"/>
          <w14:ligatures w14:val="none"/>
        </w:rPr>
      </w:pPr>
      <w:r>
        <w:rPr>
          <w:rFonts w:eastAsia="Times New Roman" w:cstheme="minorHAnsi"/>
          <w:kern w:val="0"/>
          <w:lang w:eastAsia="it-IT"/>
          <w14:ligatures w14:val="none"/>
        </w:rPr>
        <w:t>La questione del tetto del debito statunitense non è</w:t>
      </w:r>
      <w:r w:rsidR="00DE4714">
        <w:rPr>
          <w:rFonts w:eastAsia="Times New Roman" w:cstheme="minorHAnsi"/>
          <w:kern w:val="0"/>
          <w:lang w:eastAsia="it-IT"/>
          <w14:ligatures w14:val="none"/>
        </w:rPr>
        <w:t xml:space="preserve"> di certo</w:t>
      </w:r>
      <w:r>
        <w:rPr>
          <w:rFonts w:eastAsia="Times New Roman" w:cstheme="minorHAnsi"/>
          <w:kern w:val="0"/>
          <w:lang w:eastAsia="it-IT"/>
          <w14:ligatures w14:val="none"/>
        </w:rPr>
        <w:t xml:space="preserve"> nuova</w:t>
      </w:r>
      <w:r w:rsidR="00DE4714">
        <w:rPr>
          <w:rFonts w:eastAsia="Times New Roman" w:cstheme="minorHAnsi"/>
          <w:kern w:val="0"/>
          <w:lang w:eastAsia="it-IT"/>
          <w14:ligatures w14:val="none"/>
        </w:rPr>
        <w:t>, avendo</w:t>
      </w:r>
      <w:r w:rsidR="003C74C8" w:rsidRPr="003C74C8">
        <w:rPr>
          <w:rFonts w:eastAsia="Times New Roman" w:cstheme="minorHAnsi"/>
          <w:kern w:val="0"/>
          <w:lang w:eastAsia="it-IT"/>
          <w14:ligatures w14:val="none"/>
        </w:rPr>
        <w:t xml:space="preserve"> già assistito a quest</w:t>
      </w:r>
      <w:r w:rsidR="003C74C8">
        <w:rPr>
          <w:rFonts w:eastAsia="Times New Roman" w:cstheme="minorHAnsi"/>
          <w:kern w:val="0"/>
          <w:lang w:eastAsia="it-IT"/>
          <w14:ligatures w14:val="none"/>
        </w:rPr>
        <w:t xml:space="preserve">a situazione </w:t>
      </w:r>
      <w:r w:rsidR="003C74C8" w:rsidRPr="003C74C8">
        <w:rPr>
          <w:rFonts w:eastAsia="Times New Roman" w:cstheme="minorHAnsi"/>
          <w:kern w:val="0"/>
          <w:lang w:eastAsia="it-IT"/>
          <w14:ligatures w14:val="none"/>
        </w:rPr>
        <w:t>numerose volte in passato</w:t>
      </w:r>
      <w:r w:rsidR="00074254">
        <w:rPr>
          <w:rFonts w:eastAsia="Times New Roman" w:cstheme="minorHAnsi"/>
          <w:kern w:val="0"/>
          <w:lang w:eastAsia="it-IT"/>
          <w14:ligatures w14:val="none"/>
        </w:rPr>
        <w:t xml:space="preserve">: </w:t>
      </w:r>
      <w:r w:rsidR="003C74C8" w:rsidRPr="003C74C8">
        <w:rPr>
          <w:rFonts w:eastAsia="Times New Roman" w:cstheme="minorHAnsi"/>
          <w:kern w:val="0"/>
          <w:lang w:eastAsia="it-IT"/>
          <w14:ligatures w14:val="none"/>
        </w:rPr>
        <w:t>un</w:t>
      </w:r>
      <w:r w:rsidR="00074254">
        <w:rPr>
          <w:rFonts w:eastAsia="Times New Roman" w:cstheme="minorHAnsi"/>
          <w:kern w:val="0"/>
          <w:lang w:eastAsia="it-IT"/>
          <w14:ligatures w14:val="none"/>
        </w:rPr>
        <w:t xml:space="preserve"> atteggiamento politico </w:t>
      </w:r>
      <w:r w:rsidR="003C74C8" w:rsidRPr="003C74C8">
        <w:rPr>
          <w:rFonts w:eastAsia="Times New Roman" w:cstheme="minorHAnsi"/>
          <w:kern w:val="0"/>
          <w:lang w:eastAsia="it-IT"/>
          <w14:ligatures w14:val="none"/>
        </w:rPr>
        <w:t xml:space="preserve">che </w:t>
      </w:r>
      <w:r w:rsidR="00074254">
        <w:rPr>
          <w:rFonts w:eastAsia="Times New Roman" w:cstheme="minorHAnsi"/>
          <w:kern w:val="0"/>
          <w:lang w:eastAsia="it-IT"/>
          <w14:ligatures w14:val="none"/>
        </w:rPr>
        <w:t>tende</w:t>
      </w:r>
      <w:r w:rsidR="003C74C8" w:rsidRPr="003C74C8">
        <w:rPr>
          <w:rFonts w:eastAsia="Times New Roman" w:cstheme="minorHAnsi"/>
          <w:kern w:val="0"/>
          <w:lang w:eastAsia="it-IT"/>
          <w14:ligatures w14:val="none"/>
        </w:rPr>
        <w:t xml:space="preserve"> al punto di rottura prima che </w:t>
      </w:r>
      <w:r w:rsidR="00074254">
        <w:rPr>
          <w:rFonts w:eastAsia="Times New Roman" w:cstheme="minorHAnsi"/>
          <w:kern w:val="0"/>
          <w:lang w:eastAsia="it-IT"/>
          <w14:ligatures w14:val="none"/>
        </w:rPr>
        <w:t>venga</w:t>
      </w:r>
      <w:r w:rsidR="003C74C8" w:rsidRPr="003C74C8">
        <w:rPr>
          <w:rFonts w:eastAsia="Times New Roman" w:cstheme="minorHAnsi"/>
          <w:kern w:val="0"/>
          <w:lang w:eastAsia="it-IT"/>
          <w14:ligatures w14:val="none"/>
        </w:rPr>
        <w:t xml:space="preserve"> </w:t>
      </w:r>
      <w:r w:rsidR="00074254">
        <w:rPr>
          <w:rFonts w:eastAsia="Times New Roman" w:cstheme="minorHAnsi"/>
          <w:kern w:val="0"/>
          <w:lang w:eastAsia="it-IT"/>
          <w14:ligatures w14:val="none"/>
        </w:rPr>
        <w:t>trovato</w:t>
      </w:r>
      <w:r w:rsidR="003C74C8" w:rsidRPr="003C74C8">
        <w:rPr>
          <w:rFonts w:eastAsia="Times New Roman" w:cstheme="minorHAnsi"/>
          <w:kern w:val="0"/>
          <w:lang w:eastAsia="it-IT"/>
          <w14:ligatures w14:val="none"/>
        </w:rPr>
        <w:t xml:space="preserve"> un compromesso dell'ultimo minuto. </w:t>
      </w:r>
      <w:r w:rsidR="003C74C8" w:rsidRPr="00CE6232">
        <w:rPr>
          <w:rFonts w:eastAsia="Times New Roman" w:cstheme="minorHAnsi"/>
          <w:b/>
          <w:bCs/>
          <w:kern w:val="0"/>
          <w:lang w:eastAsia="it-IT"/>
          <w14:ligatures w14:val="none"/>
        </w:rPr>
        <w:t>Lo scenario politico dell'attuale negoziato sul tetto del debito è a dir poco traballante e un default accidentale rimane un rischio chiave</w:t>
      </w:r>
      <w:r w:rsidR="003C74C8" w:rsidRPr="003C74C8">
        <w:rPr>
          <w:rFonts w:eastAsia="Times New Roman" w:cstheme="minorHAnsi"/>
          <w:kern w:val="0"/>
          <w:lang w:eastAsia="it-IT"/>
          <w14:ligatures w14:val="none"/>
        </w:rPr>
        <w:t xml:space="preserve"> (anche se non è il nostro scenario di base) data l'incertezza sulla "data X", ovvero il giorno in cui il governo statunitense esaurirà la propria capacità di prestito.</w:t>
      </w:r>
    </w:p>
    <w:p w14:paraId="260887CD" w14:textId="0B6F397F"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CE6232">
        <w:rPr>
          <w:rFonts w:eastAsia="Times New Roman" w:cstheme="minorHAnsi"/>
          <w:b/>
          <w:bCs/>
          <w:kern w:val="0"/>
          <w:lang w:eastAsia="it-IT"/>
          <w14:ligatures w14:val="none"/>
        </w:rPr>
        <w:t xml:space="preserve">La storia può essere una guida utile e </w:t>
      </w:r>
      <w:r w:rsidR="00074254" w:rsidRPr="00CE6232">
        <w:rPr>
          <w:rFonts w:eastAsia="Times New Roman" w:cstheme="minorHAnsi"/>
          <w:b/>
          <w:bCs/>
          <w:kern w:val="0"/>
          <w:lang w:eastAsia="it-IT"/>
          <w14:ligatures w14:val="none"/>
        </w:rPr>
        <w:t xml:space="preserve">infatti </w:t>
      </w:r>
      <w:r w:rsidRPr="00CE6232">
        <w:rPr>
          <w:rFonts w:eastAsia="Times New Roman" w:cstheme="minorHAnsi"/>
          <w:b/>
          <w:bCs/>
          <w:kern w:val="0"/>
          <w:lang w:eastAsia="it-IT"/>
          <w14:ligatures w14:val="none"/>
        </w:rPr>
        <w:t xml:space="preserve">sono stati fatti paragoni con eventi simili </w:t>
      </w:r>
      <w:r w:rsidR="00074254" w:rsidRPr="00CE6232">
        <w:rPr>
          <w:rFonts w:eastAsia="Times New Roman" w:cstheme="minorHAnsi"/>
          <w:b/>
          <w:bCs/>
          <w:kern w:val="0"/>
          <w:lang w:eastAsia="it-IT"/>
          <w14:ligatures w14:val="none"/>
        </w:rPr>
        <w:t>risalenti al</w:t>
      </w:r>
      <w:r w:rsidRPr="00CE6232">
        <w:rPr>
          <w:rFonts w:eastAsia="Times New Roman" w:cstheme="minorHAnsi"/>
          <w:b/>
          <w:bCs/>
          <w:kern w:val="0"/>
          <w:lang w:eastAsia="it-IT"/>
          <w14:ligatures w14:val="none"/>
        </w:rPr>
        <w:t xml:space="preserve"> 2011</w:t>
      </w:r>
      <w:r w:rsidRPr="003C74C8">
        <w:rPr>
          <w:rFonts w:eastAsia="Times New Roman" w:cstheme="minorHAnsi"/>
          <w:kern w:val="0"/>
          <w:lang w:eastAsia="it-IT"/>
          <w14:ligatures w14:val="none"/>
        </w:rPr>
        <w:t xml:space="preserve">, quando il tetto del debito fu innalzato </w:t>
      </w:r>
      <w:r w:rsidR="00074254">
        <w:rPr>
          <w:rFonts w:eastAsia="Times New Roman" w:cstheme="minorHAnsi"/>
          <w:kern w:val="0"/>
          <w:lang w:eastAsia="it-IT"/>
          <w14:ligatures w14:val="none"/>
        </w:rPr>
        <w:t xml:space="preserve">con </w:t>
      </w:r>
      <w:r w:rsidRPr="003C74C8">
        <w:rPr>
          <w:rFonts w:eastAsia="Times New Roman" w:cstheme="minorHAnsi"/>
          <w:kern w:val="0"/>
          <w:lang w:eastAsia="it-IT"/>
          <w14:ligatures w14:val="none"/>
        </w:rPr>
        <w:t xml:space="preserve">soli due giorni di anticipo. La reazione del mercato è stata legata a una grave perdita di fiducia, con i Treasury statunitensi in rally nonostante la perdita dello status di AAA, le valute rifugio che hanno sovraperformato e gli spread </w:t>
      </w:r>
      <w:r w:rsidR="00F967F1">
        <w:rPr>
          <w:rFonts w:eastAsia="Times New Roman" w:cstheme="minorHAnsi"/>
          <w:kern w:val="0"/>
          <w:lang w:eastAsia="it-IT"/>
          <w14:ligatures w14:val="none"/>
        </w:rPr>
        <w:t>creditizi</w:t>
      </w:r>
      <w:r w:rsidRPr="003C74C8">
        <w:rPr>
          <w:rFonts w:eastAsia="Times New Roman" w:cstheme="minorHAnsi"/>
          <w:kern w:val="0"/>
          <w:lang w:eastAsia="it-IT"/>
          <w14:ligatures w14:val="none"/>
        </w:rPr>
        <w:t xml:space="preserve"> che si sono allargati.</w:t>
      </w:r>
    </w:p>
    <w:p w14:paraId="3D3FF0A8" w14:textId="26CBBF34"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3C74C8">
        <w:rPr>
          <w:rFonts w:eastAsia="Times New Roman" w:cstheme="minorHAnsi"/>
          <w:kern w:val="0"/>
          <w:lang w:eastAsia="it-IT"/>
          <w14:ligatures w14:val="none"/>
        </w:rPr>
        <w:t xml:space="preserve">Tuttavia, </w:t>
      </w:r>
      <w:r w:rsidRPr="00CE6232">
        <w:rPr>
          <w:rFonts w:eastAsia="Times New Roman" w:cstheme="minorHAnsi"/>
          <w:b/>
          <w:bCs/>
          <w:kern w:val="0"/>
          <w:lang w:eastAsia="it-IT"/>
          <w14:ligatures w14:val="none"/>
        </w:rPr>
        <w:t>dobbiamo fare attenzione a fare paragoni diretti con questo periodo</w:t>
      </w:r>
      <w:r w:rsidRPr="003C74C8">
        <w:rPr>
          <w:rFonts w:eastAsia="Times New Roman" w:cstheme="minorHAnsi"/>
          <w:kern w:val="0"/>
          <w:lang w:eastAsia="it-IT"/>
          <w14:ligatures w14:val="none"/>
        </w:rPr>
        <w:t>: il contesto di mercato era molto diverso all'epoca. L'</w:t>
      </w:r>
      <w:r w:rsidR="00074254">
        <w:rPr>
          <w:rFonts w:eastAsia="Times New Roman" w:cstheme="minorHAnsi"/>
          <w:kern w:val="0"/>
          <w:lang w:eastAsia="it-IT"/>
          <w14:ligatures w14:val="none"/>
        </w:rPr>
        <w:t>E</w:t>
      </w:r>
      <w:r w:rsidRPr="003C74C8">
        <w:rPr>
          <w:rFonts w:eastAsia="Times New Roman" w:cstheme="minorHAnsi"/>
          <w:kern w:val="0"/>
          <w:lang w:eastAsia="it-IT"/>
          <w14:ligatures w14:val="none"/>
        </w:rPr>
        <w:t xml:space="preserve">urozona stava </w:t>
      </w:r>
      <w:r w:rsidR="00F967F1">
        <w:rPr>
          <w:rFonts w:eastAsia="Times New Roman" w:cstheme="minorHAnsi"/>
          <w:kern w:val="0"/>
          <w:lang w:eastAsia="it-IT"/>
          <w14:ligatures w14:val="none"/>
        </w:rPr>
        <w:t xml:space="preserve">affrontando </w:t>
      </w:r>
      <w:r w:rsidR="00074254">
        <w:rPr>
          <w:rFonts w:eastAsia="Times New Roman" w:cstheme="minorHAnsi"/>
          <w:kern w:val="0"/>
          <w:lang w:eastAsia="it-IT"/>
          <w14:ligatures w14:val="none"/>
        </w:rPr>
        <w:t xml:space="preserve">sfide </w:t>
      </w:r>
      <w:r w:rsidR="00F967F1">
        <w:rPr>
          <w:rFonts w:eastAsia="Times New Roman" w:cstheme="minorHAnsi"/>
          <w:kern w:val="0"/>
          <w:lang w:eastAsia="it-IT"/>
          <w14:ligatures w14:val="none"/>
        </w:rPr>
        <w:t>complesse</w:t>
      </w:r>
      <w:r w:rsidRPr="003C74C8">
        <w:rPr>
          <w:rFonts w:eastAsia="Times New Roman" w:cstheme="minorHAnsi"/>
          <w:kern w:val="0"/>
          <w:lang w:eastAsia="it-IT"/>
          <w14:ligatures w14:val="none"/>
        </w:rPr>
        <w:t xml:space="preserve">, con un significativo allargamento degli spread </w:t>
      </w:r>
      <w:r w:rsidR="00F967F1">
        <w:rPr>
          <w:rFonts w:eastAsia="Times New Roman" w:cstheme="minorHAnsi"/>
          <w:kern w:val="0"/>
          <w:lang w:eastAsia="it-IT"/>
          <w14:ligatures w14:val="none"/>
        </w:rPr>
        <w:t>periferici</w:t>
      </w:r>
      <w:r w:rsidRPr="003C74C8">
        <w:rPr>
          <w:rFonts w:eastAsia="Times New Roman" w:cstheme="minorHAnsi"/>
          <w:kern w:val="0"/>
          <w:lang w:eastAsia="it-IT"/>
          <w14:ligatures w14:val="none"/>
        </w:rPr>
        <w:t xml:space="preserve"> che ha portato a</w:t>
      </w:r>
      <w:r w:rsidR="00F967F1">
        <w:rPr>
          <w:rFonts w:eastAsia="Times New Roman" w:cstheme="minorHAnsi"/>
          <w:kern w:val="0"/>
          <w:lang w:eastAsia="it-IT"/>
          <w14:ligatures w14:val="none"/>
        </w:rPr>
        <w:t xml:space="preserve"> un indebolimento di </w:t>
      </w:r>
      <w:r w:rsidRPr="003C74C8">
        <w:rPr>
          <w:rFonts w:eastAsia="Times New Roman" w:cstheme="minorHAnsi"/>
          <w:kern w:val="0"/>
          <w:lang w:eastAsia="it-IT"/>
          <w14:ligatures w14:val="none"/>
        </w:rPr>
        <w:t>altri asset ciclici.</w:t>
      </w:r>
    </w:p>
    <w:p w14:paraId="3FABC465" w14:textId="68B9533D"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CE6232">
        <w:rPr>
          <w:rFonts w:eastAsia="Times New Roman" w:cstheme="minorHAnsi"/>
          <w:b/>
          <w:bCs/>
          <w:kern w:val="0"/>
          <w:lang w:eastAsia="it-IT"/>
          <w14:ligatures w14:val="none"/>
        </w:rPr>
        <w:t xml:space="preserve">Questa volta, ci stiamo avvicinando alla fine del ciclo di rialzo più aggressivo degli ultimi 40 anni e i tassi di interesse sono già molto più alti. </w:t>
      </w:r>
      <w:r w:rsidRPr="003C74C8">
        <w:rPr>
          <w:rFonts w:eastAsia="Times New Roman" w:cstheme="minorHAnsi"/>
          <w:kern w:val="0"/>
          <w:lang w:eastAsia="it-IT"/>
          <w14:ligatures w14:val="none"/>
        </w:rPr>
        <w:t xml:space="preserve">Allo stesso modo, anche i dati sull'attività degli Stati Uniti si stavano deteriorando bruscamente, rendendo più difficile distinguere alcuni dei fattori di mercato in quel momento. </w:t>
      </w:r>
      <w:r w:rsidR="003B73A3">
        <w:rPr>
          <w:rFonts w:eastAsia="Times New Roman" w:cstheme="minorHAnsi"/>
          <w:kern w:val="0"/>
          <w:lang w:eastAsia="it-IT"/>
          <w14:ligatures w14:val="none"/>
        </w:rPr>
        <w:br/>
        <w:t xml:space="preserve">Inoltre, </w:t>
      </w:r>
      <w:r w:rsidR="00F967F1">
        <w:rPr>
          <w:rFonts w:eastAsia="Times New Roman" w:cstheme="minorHAnsi"/>
          <w:kern w:val="0"/>
          <w:lang w:eastAsia="it-IT"/>
          <w14:ligatures w14:val="none"/>
        </w:rPr>
        <w:t xml:space="preserve">in questa occasione, </w:t>
      </w:r>
      <w:r w:rsidR="003B73A3">
        <w:rPr>
          <w:rFonts w:eastAsia="Times New Roman" w:cstheme="minorHAnsi"/>
          <w:kern w:val="0"/>
          <w:lang w:eastAsia="it-IT"/>
          <w14:ligatures w14:val="none"/>
        </w:rPr>
        <w:t>esiste</w:t>
      </w:r>
      <w:r w:rsidRPr="003C74C8">
        <w:rPr>
          <w:rFonts w:eastAsia="Times New Roman" w:cstheme="minorHAnsi"/>
          <w:kern w:val="0"/>
          <w:lang w:eastAsia="it-IT"/>
          <w14:ligatures w14:val="none"/>
        </w:rPr>
        <w:t xml:space="preserve"> anche un ulteriore</w:t>
      </w:r>
      <w:r w:rsidR="00F967F1">
        <w:rPr>
          <w:rFonts w:eastAsia="Times New Roman" w:cstheme="minorHAnsi"/>
          <w:kern w:val="0"/>
          <w:lang w:eastAsia="it-IT"/>
          <w14:ligatures w14:val="none"/>
        </w:rPr>
        <w:t xml:space="preserve"> vento contrario</w:t>
      </w:r>
      <w:r w:rsidRPr="003C74C8">
        <w:rPr>
          <w:rFonts w:eastAsia="Times New Roman" w:cstheme="minorHAnsi"/>
          <w:kern w:val="0"/>
          <w:lang w:eastAsia="it-IT"/>
          <w14:ligatures w14:val="none"/>
        </w:rPr>
        <w:t xml:space="preserve"> </w:t>
      </w:r>
      <w:r w:rsidR="00F967F1">
        <w:rPr>
          <w:rFonts w:eastAsia="Times New Roman" w:cstheme="minorHAnsi"/>
          <w:kern w:val="0"/>
          <w:lang w:eastAsia="it-IT"/>
          <w14:ligatures w14:val="none"/>
        </w:rPr>
        <w:t xml:space="preserve">per </w:t>
      </w:r>
      <w:r w:rsidRPr="003C74C8">
        <w:rPr>
          <w:rFonts w:eastAsia="Times New Roman" w:cstheme="minorHAnsi"/>
          <w:kern w:val="0"/>
          <w:lang w:eastAsia="it-IT"/>
          <w14:ligatures w14:val="none"/>
        </w:rPr>
        <w:t xml:space="preserve">la crescita </w:t>
      </w:r>
      <w:r w:rsidR="003B73A3">
        <w:rPr>
          <w:rFonts w:eastAsia="Times New Roman" w:cstheme="minorHAnsi"/>
          <w:kern w:val="0"/>
          <w:lang w:eastAsia="it-IT"/>
          <w14:ligatures w14:val="none"/>
        </w:rPr>
        <w:t xml:space="preserve">che deriva </w:t>
      </w:r>
      <w:r w:rsidRPr="003C74C8">
        <w:rPr>
          <w:rFonts w:eastAsia="Times New Roman" w:cstheme="minorHAnsi"/>
          <w:kern w:val="0"/>
          <w:lang w:eastAsia="it-IT"/>
          <w14:ligatures w14:val="none"/>
        </w:rPr>
        <w:t>dall'inasprimento delle condizioni di credito, a seguito delle recenti turbolenze nel settore bancario regionale statunitense.</w:t>
      </w:r>
    </w:p>
    <w:p w14:paraId="2ED455CD" w14:textId="6E63DD31"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CE6232">
        <w:rPr>
          <w:rFonts w:eastAsia="Times New Roman" w:cstheme="minorHAnsi"/>
          <w:b/>
          <w:bCs/>
          <w:kern w:val="0"/>
          <w:lang w:eastAsia="it-IT"/>
          <w14:ligatures w14:val="none"/>
        </w:rPr>
        <w:t>Finora il mercato si è dimostrato piuttosto ottimista nei confronti dei rischi attuali</w:t>
      </w:r>
      <w:r w:rsidRPr="003C74C8">
        <w:rPr>
          <w:rFonts w:eastAsia="Times New Roman" w:cstheme="minorHAnsi"/>
          <w:kern w:val="0"/>
          <w:lang w:eastAsia="it-IT"/>
          <w14:ligatures w14:val="none"/>
        </w:rPr>
        <w:t xml:space="preserve">. I T-Bill con scadenza intorno alla data X prevista si sono notevolmente </w:t>
      </w:r>
      <w:r w:rsidR="00DE4714">
        <w:rPr>
          <w:rFonts w:eastAsia="Times New Roman" w:cstheme="minorHAnsi"/>
          <w:kern w:val="0"/>
          <w:lang w:eastAsia="it-IT"/>
          <w14:ligatures w14:val="none"/>
        </w:rPr>
        <w:t>svalutati</w:t>
      </w:r>
      <w:r w:rsidR="00DE4714" w:rsidRPr="003C74C8">
        <w:rPr>
          <w:rFonts w:eastAsia="Times New Roman" w:cstheme="minorHAnsi"/>
          <w:kern w:val="0"/>
          <w:lang w:eastAsia="it-IT"/>
          <w14:ligatures w14:val="none"/>
        </w:rPr>
        <w:t xml:space="preserve"> </w:t>
      </w:r>
      <w:r w:rsidRPr="003C74C8">
        <w:rPr>
          <w:rFonts w:eastAsia="Times New Roman" w:cstheme="minorHAnsi"/>
          <w:kern w:val="0"/>
          <w:lang w:eastAsia="it-IT"/>
          <w14:ligatures w14:val="none"/>
        </w:rPr>
        <w:t xml:space="preserve">e i </w:t>
      </w:r>
      <w:r w:rsidR="003B73A3">
        <w:rPr>
          <w:rFonts w:eastAsia="Times New Roman" w:cstheme="minorHAnsi"/>
          <w:kern w:val="0"/>
          <w:lang w:eastAsia="it-IT"/>
          <w14:ligatures w14:val="none"/>
        </w:rPr>
        <w:t>C</w:t>
      </w:r>
      <w:r w:rsidRPr="003C74C8">
        <w:rPr>
          <w:rFonts w:eastAsia="Times New Roman" w:cstheme="minorHAnsi"/>
          <w:kern w:val="0"/>
          <w:lang w:eastAsia="it-IT"/>
          <w14:ligatures w14:val="none"/>
        </w:rPr>
        <w:t xml:space="preserve">redit </w:t>
      </w:r>
      <w:r w:rsidR="003B73A3">
        <w:rPr>
          <w:rFonts w:eastAsia="Times New Roman" w:cstheme="minorHAnsi"/>
          <w:kern w:val="0"/>
          <w:lang w:eastAsia="it-IT"/>
          <w14:ligatures w14:val="none"/>
        </w:rPr>
        <w:t>D</w:t>
      </w:r>
      <w:r w:rsidRPr="003C74C8">
        <w:rPr>
          <w:rFonts w:eastAsia="Times New Roman" w:cstheme="minorHAnsi"/>
          <w:kern w:val="0"/>
          <w:lang w:eastAsia="it-IT"/>
          <w14:ligatures w14:val="none"/>
        </w:rPr>
        <w:t xml:space="preserve">efault </w:t>
      </w:r>
      <w:r w:rsidR="003B73A3">
        <w:rPr>
          <w:rFonts w:eastAsia="Times New Roman" w:cstheme="minorHAnsi"/>
          <w:kern w:val="0"/>
          <w:lang w:eastAsia="it-IT"/>
          <w14:ligatures w14:val="none"/>
        </w:rPr>
        <w:t>S</w:t>
      </w:r>
      <w:r w:rsidRPr="003C74C8">
        <w:rPr>
          <w:rFonts w:eastAsia="Times New Roman" w:cstheme="minorHAnsi"/>
          <w:kern w:val="0"/>
          <w:lang w:eastAsia="it-IT"/>
          <w14:ligatures w14:val="none"/>
        </w:rPr>
        <w:t>wap sovrani statunitensi sono scambiati con uno spread più ampio rispetto al 2011, anche se non si tratta di un confronto utile in termini di probabilità di default, dato il contesto molto diverso dei tassi di interesse. Tuttavia,</w:t>
      </w:r>
      <w:r w:rsidRPr="00CE6232">
        <w:rPr>
          <w:rFonts w:eastAsia="Times New Roman" w:cstheme="minorHAnsi"/>
          <w:b/>
          <w:bCs/>
          <w:kern w:val="0"/>
          <w:lang w:eastAsia="it-IT"/>
          <w14:ligatures w14:val="none"/>
        </w:rPr>
        <w:t xml:space="preserve"> la volatilità degli asset di rischio e delle valute rimane per ora contenuta, in linea con l'opinione che alcuni mercati stiano sottovalutando questi rischi.</w:t>
      </w:r>
    </w:p>
    <w:p w14:paraId="48B95E9C" w14:textId="0355DC8C" w:rsidR="003C74C8" w:rsidRPr="003B73A3" w:rsidRDefault="00F967F1" w:rsidP="00CE6232">
      <w:pPr>
        <w:shd w:val="clear" w:color="auto" w:fill="FFFFFF"/>
        <w:spacing w:after="120" w:line="264" w:lineRule="auto"/>
        <w:rPr>
          <w:rFonts w:eastAsia="Times New Roman" w:cstheme="minorHAnsi"/>
          <w:kern w:val="0"/>
          <w:u w:val="single"/>
          <w:lang w:eastAsia="it-IT"/>
          <w14:ligatures w14:val="none"/>
        </w:rPr>
      </w:pPr>
      <w:r>
        <w:rPr>
          <w:rFonts w:eastAsia="Times New Roman" w:cstheme="minorHAnsi"/>
          <w:kern w:val="0"/>
          <w:u w:val="single"/>
          <w:lang w:eastAsia="it-IT"/>
          <w14:ligatures w14:val="none"/>
        </w:rPr>
        <w:t>I</w:t>
      </w:r>
      <w:r w:rsidR="003C74C8" w:rsidRPr="003B73A3">
        <w:rPr>
          <w:rFonts w:eastAsia="Times New Roman" w:cstheme="minorHAnsi"/>
          <w:kern w:val="0"/>
          <w:u w:val="single"/>
          <w:lang w:eastAsia="it-IT"/>
          <w14:ligatures w14:val="none"/>
        </w:rPr>
        <w:t xml:space="preserve"> mercati tend</w:t>
      </w:r>
      <w:r>
        <w:rPr>
          <w:rFonts w:eastAsia="Times New Roman" w:cstheme="minorHAnsi"/>
          <w:kern w:val="0"/>
          <w:u w:val="single"/>
          <w:lang w:eastAsia="it-IT"/>
          <w14:ligatures w14:val="none"/>
        </w:rPr>
        <w:t xml:space="preserve">ono a reagire in modo più aggressivo </w:t>
      </w:r>
      <w:r w:rsidR="003C74C8" w:rsidRPr="003B73A3">
        <w:rPr>
          <w:rFonts w:eastAsia="Times New Roman" w:cstheme="minorHAnsi"/>
          <w:kern w:val="0"/>
          <w:u w:val="single"/>
          <w:lang w:eastAsia="it-IT"/>
          <w14:ligatures w14:val="none"/>
        </w:rPr>
        <w:t>in prossimità della data X</w:t>
      </w:r>
    </w:p>
    <w:p w14:paraId="02A4B66F" w14:textId="22177DEB"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CE6232">
        <w:rPr>
          <w:rFonts w:eastAsia="Times New Roman" w:cstheme="minorHAnsi"/>
          <w:b/>
          <w:bCs/>
          <w:kern w:val="0"/>
          <w:lang w:eastAsia="it-IT"/>
          <w14:ligatures w14:val="none"/>
        </w:rPr>
        <w:t xml:space="preserve">La storia mostra che la volatilità aumenta più </w:t>
      </w:r>
      <w:r w:rsidR="003B73A3" w:rsidRPr="00CE6232">
        <w:rPr>
          <w:rFonts w:eastAsia="Times New Roman" w:cstheme="minorHAnsi"/>
          <w:b/>
          <w:bCs/>
          <w:kern w:val="0"/>
          <w:lang w:eastAsia="it-IT"/>
          <w14:ligatures w14:val="none"/>
        </w:rPr>
        <w:t>ci si avvicina</w:t>
      </w:r>
      <w:r w:rsidRPr="00CE6232">
        <w:rPr>
          <w:rFonts w:eastAsia="Times New Roman" w:cstheme="minorHAnsi"/>
          <w:b/>
          <w:bCs/>
          <w:kern w:val="0"/>
          <w:lang w:eastAsia="it-IT"/>
          <w14:ligatures w14:val="none"/>
        </w:rPr>
        <w:t xml:space="preserve"> alla data X. </w:t>
      </w:r>
      <w:r w:rsidRPr="003C74C8">
        <w:rPr>
          <w:rFonts w:eastAsia="Times New Roman" w:cstheme="minorHAnsi"/>
          <w:kern w:val="0"/>
          <w:lang w:eastAsia="it-IT"/>
          <w14:ligatures w14:val="none"/>
        </w:rPr>
        <w:t>Sebbene il mercato sia consapevole d</w:t>
      </w:r>
      <w:r w:rsidR="00F967F1">
        <w:rPr>
          <w:rFonts w:eastAsia="Times New Roman" w:cstheme="minorHAnsi"/>
          <w:kern w:val="0"/>
          <w:lang w:eastAsia="it-IT"/>
          <w14:ligatures w14:val="none"/>
        </w:rPr>
        <w:t xml:space="preserve">ella </w:t>
      </w:r>
      <w:r w:rsidR="003B73A3">
        <w:rPr>
          <w:rFonts w:eastAsia="Times New Roman" w:cstheme="minorHAnsi"/>
          <w:kern w:val="0"/>
          <w:lang w:eastAsia="it-IT"/>
          <w14:ligatures w14:val="none"/>
        </w:rPr>
        <w:t>situazione</w:t>
      </w:r>
      <w:r w:rsidR="00F967F1">
        <w:rPr>
          <w:rFonts w:eastAsia="Times New Roman" w:cstheme="minorHAnsi"/>
          <w:kern w:val="0"/>
          <w:lang w:eastAsia="it-IT"/>
          <w14:ligatures w14:val="none"/>
        </w:rPr>
        <w:t xml:space="preserve"> in corso</w:t>
      </w:r>
      <w:r w:rsidRPr="003C74C8">
        <w:rPr>
          <w:rFonts w:eastAsia="Times New Roman" w:cstheme="minorHAnsi"/>
          <w:kern w:val="0"/>
          <w:lang w:eastAsia="it-IT"/>
          <w14:ligatures w14:val="none"/>
        </w:rPr>
        <w:t xml:space="preserve">, è possibile che questa volta la volatilità aumenti prima. In base alla nostra analisi, vedremmo i mercati prezzare un rallentamento ciclico più intenso, che porterebbe a un allargamento del credito. In altre parole, </w:t>
      </w:r>
      <w:r w:rsidRPr="00CE6232">
        <w:rPr>
          <w:rFonts w:eastAsia="Times New Roman" w:cstheme="minorHAnsi"/>
          <w:b/>
          <w:bCs/>
          <w:kern w:val="0"/>
          <w:lang w:eastAsia="it-IT"/>
          <w14:ligatures w14:val="none"/>
        </w:rPr>
        <w:t xml:space="preserve">l'high yield sottoperformerà l'investment grade, i titoli di Stato </w:t>
      </w:r>
      <w:r w:rsidR="009E3027" w:rsidRPr="00CE6232">
        <w:rPr>
          <w:rFonts w:eastAsia="Times New Roman" w:cstheme="minorHAnsi"/>
          <w:b/>
          <w:bCs/>
          <w:kern w:val="0"/>
          <w:lang w:eastAsia="it-IT"/>
          <w14:ligatures w14:val="none"/>
        </w:rPr>
        <w:t>entreranno</w:t>
      </w:r>
      <w:r w:rsidRPr="00CE6232">
        <w:rPr>
          <w:rFonts w:eastAsia="Times New Roman" w:cstheme="minorHAnsi"/>
          <w:b/>
          <w:bCs/>
          <w:kern w:val="0"/>
          <w:lang w:eastAsia="it-IT"/>
          <w14:ligatures w14:val="none"/>
        </w:rPr>
        <w:t xml:space="preserve"> </w:t>
      </w:r>
      <w:r w:rsidR="009E3027" w:rsidRPr="00CE6232">
        <w:rPr>
          <w:rFonts w:eastAsia="Times New Roman" w:cstheme="minorHAnsi"/>
          <w:b/>
          <w:bCs/>
          <w:kern w:val="0"/>
          <w:lang w:eastAsia="it-IT"/>
          <w14:ligatures w14:val="none"/>
        </w:rPr>
        <w:t>i</w:t>
      </w:r>
      <w:r w:rsidRPr="00CE6232">
        <w:rPr>
          <w:rFonts w:eastAsia="Times New Roman" w:cstheme="minorHAnsi"/>
          <w:b/>
          <w:bCs/>
          <w:kern w:val="0"/>
          <w:lang w:eastAsia="it-IT"/>
          <w14:ligatures w14:val="none"/>
        </w:rPr>
        <w:t>n rally e il dollaro USA si indebolirà, soprattutto nei confronti di valute difensive come lo yen giapponese.</w:t>
      </w:r>
    </w:p>
    <w:p w14:paraId="4B85B783" w14:textId="6034BCD9"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3C74C8">
        <w:rPr>
          <w:rFonts w:eastAsia="Times New Roman" w:cstheme="minorHAnsi"/>
          <w:kern w:val="0"/>
          <w:lang w:eastAsia="it-IT"/>
          <w14:ligatures w14:val="none"/>
        </w:rPr>
        <w:t>Vale la pena notare, tuttavia, che q</w:t>
      </w:r>
      <w:r w:rsidRPr="00CE6232">
        <w:rPr>
          <w:rFonts w:eastAsia="Times New Roman" w:cstheme="minorHAnsi"/>
          <w:b/>
          <w:bCs/>
          <w:kern w:val="0"/>
          <w:lang w:eastAsia="it-IT"/>
          <w14:ligatures w14:val="none"/>
        </w:rPr>
        <w:t>uesta volta la Federal Reserve</w:t>
      </w:r>
      <w:r w:rsidR="009E3027" w:rsidRPr="00CE6232">
        <w:rPr>
          <w:rFonts w:eastAsia="Times New Roman" w:cstheme="minorHAnsi"/>
          <w:b/>
          <w:bCs/>
          <w:kern w:val="0"/>
          <w:lang w:eastAsia="it-IT"/>
          <w14:ligatures w14:val="none"/>
        </w:rPr>
        <w:t xml:space="preserve"> </w:t>
      </w:r>
      <w:r w:rsidRPr="00CE6232">
        <w:rPr>
          <w:rFonts w:eastAsia="Times New Roman" w:cstheme="minorHAnsi"/>
          <w:b/>
          <w:bCs/>
          <w:kern w:val="0"/>
          <w:lang w:eastAsia="it-IT"/>
          <w14:ligatures w14:val="none"/>
        </w:rPr>
        <w:t>ha maggiori possibilità di tagliare i tassi di interesse</w:t>
      </w:r>
      <w:r w:rsidRPr="003C74C8">
        <w:rPr>
          <w:rFonts w:eastAsia="Times New Roman" w:cstheme="minorHAnsi"/>
          <w:kern w:val="0"/>
          <w:lang w:eastAsia="it-IT"/>
          <w14:ligatures w14:val="none"/>
        </w:rPr>
        <w:t>, il che potrebbe avere implicazioni diverse sulla forma della curva. Nel 2011, il rischio era quello di un appiattimento della curva.</w:t>
      </w:r>
    </w:p>
    <w:p w14:paraId="68F597C0" w14:textId="3354D266" w:rsidR="003C74C8" w:rsidRPr="003B73A3" w:rsidRDefault="003C74C8" w:rsidP="00CE6232">
      <w:pPr>
        <w:shd w:val="clear" w:color="auto" w:fill="FFFFFF"/>
        <w:spacing w:after="120" w:line="264" w:lineRule="auto"/>
        <w:rPr>
          <w:rFonts w:eastAsia="Times New Roman" w:cstheme="minorHAnsi"/>
          <w:kern w:val="0"/>
          <w:u w:val="single"/>
          <w:lang w:eastAsia="it-IT"/>
          <w14:ligatures w14:val="none"/>
        </w:rPr>
      </w:pPr>
      <w:r w:rsidRPr="003B73A3">
        <w:rPr>
          <w:rFonts w:eastAsia="Times New Roman" w:cstheme="minorHAnsi"/>
          <w:kern w:val="0"/>
          <w:u w:val="single"/>
          <w:lang w:eastAsia="it-IT"/>
          <w14:ligatures w14:val="none"/>
        </w:rPr>
        <w:t xml:space="preserve">La politica determinerà </w:t>
      </w:r>
      <w:r w:rsidR="009E3027">
        <w:rPr>
          <w:rFonts w:eastAsia="Times New Roman" w:cstheme="minorHAnsi"/>
          <w:kern w:val="0"/>
          <w:u w:val="single"/>
          <w:lang w:eastAsia="it-IT"/>
          <w14:ligatures w14:val="none"/>
        </w:rPr>
        <w:t>le mosse</w:t>
      </w:r>
      <w:r w:rsidR="003B73A3">
        <w:rPr>
          <w:rFonts w:eastAsia="Times New Roman" w:cstheme="minorHAnsi"/>
          <w:kern w:val="0"/>
          <w:u w:val="single"/>
          <w:lang w:eastAsia="it-IT"/>
          <w14:ligatures w14:val="none"/>
        </w:rPr>
        <w:t xml:space="preserve"> </w:t>
      </w:r>
      <w:r w:rsidRPr="003B73A3">
        <w:rPr>
          <w:rFonts w:eastAsia="Times New Roman" w:cstheme="minorHAnsi"/>
          <w:kern w:val="0"/>
          <w:u w:val="single"/>
          <w:lang w:eastAsia="it-IT"/>
          <w14:ligatures w14:val="none"/>
        </w:rPr>
        <w:t>del mercato</w:t>
      </w:r>
    </w:p>
    <w:p w14:paraId="166595CD" w14:textId="581860E7" w:rsidR="003C74C8" w:rsidRPr="003C74C8" w:rsidRDefault="003C74C8" w:rsidP="00CE6232">
      <w:pPr>
        <w:shd w:val="clear" w:color="auto" w:fill="FFFFFF"/>
        <w:spacing w:after="120" w:line="264" w:lineRule="auto"/>
        <w:rPr>
          <w:rFonts w:eastAsia="Times New Roman" w:cstheme="minorHAnsi"/>
          <w:kern w:val="0"/>
          <w:lang w:eastAsia="it-IT"/>
          <w14:ligatures w14:val="none"/>
        </w:rPr>
      </w:pPr>
      <w:r w:rsidRPr="00CE6232">
        <w:rPr>
          <w:rFonts w:eastAsia="Times New Roman" w:cstheme="minorHAnsi"/>
          <w:b/>
          <w:bCs/>
          <w:kern w:val="0"/>
          <w:lang w:eastAsia="it-IT"/>
          <w14:ligatures w14:val="none"/>
        </w:rPr>
        <w:t xml:space="preserve">È probabile che venga concesso un periodo di proroga per consentire una negoziazione più significativa. </w:t>
      </w:r>
      <w:r w:rsidRPr="003C74C8">
        <w:rPr>
          <w:rFonts w:eastAsia="Times New Roman" w:cstheme="minorHAnsi"/>
          <w:kern w:val="0"/>
          <w:lang w:eastAsia="it-IT"/>
          <w14:ligatures w14:val="none"/>
        </w:rPr>
        <w:t xml:space="preserve">Anche se questo potrebbe fornire un periodo di sollievo ai mercati, non </w:t>
      </w:r>
      <w:r w:rsidR="009E3027">
        <w:rPr>
          <w:rFonts w:eastAsia="Times New Roman" w:cstheme="minorHAnsi"/>
          <w:kern w:val="0"/>
          <w:lang w:eastAsia="it-IT"/>
          <w14:ligatures w14:val="none"/>
        </w:rPr>
        <w:t>segnerà la fine di questa situazione</w:t>
      </w:r>
      <w:r w:rsidRPr="003C74C8">
        <w:rPr>
          <w:rFonts w:eastAsia="Times New Roman" w:cstheme="minorHAnsi"/>
          <w:kern w:val="0"/>
          <w:lang w:eastAsia="it-IT"/>
          <w14:ligatures w14:val="none"/>
        </w:rPr>
        <w:t xml:space="preserve"> e l'incertezza è destinata a persistere.</w:t>
      </w:r>
      <w:r>
        <w:rPr>
          <w:rFonts w:eastAsia="Times New Roman" w:cstheme="minorHAnsi"/>
          <w:kern w:val="0"/>
          <w:lang w:eastAsia="it-IT"/>
          <w14:ligatures w14:val="none"/>
        </w:rPr>
        <w:br/>
      </w:r>
      <w:r w:rsidRPr="00CE6232">
        <w:rPr>
          <w:rFonts w:eastAsia="Times New Roman" w:cstheme="minorHAnsi"/>
          <w:b/>
          <w:bCs/>
          <w:kern w:val="0"/>
          <w:lang w:eastAsia="it-IT"/>
          <w14:ligatures w14:val="none"/>
        </w:rPr>
        <w:t xml:space="preserve">Un colpo alla fiducia </w:t>
      </w:r>
      <w:r w:rsidR="003B73A3" w:rsidRPr="00CE6232">
        <w:rPr>
          <w:rFonts w:eastAsia="Times New Roman" w:cstheme="minorHAnsi"/>
          <w:b/>
          <w:bCs/>
          <w:kern w:val="0"/>
          <w:lang w:eastAsia="it-IT"/>
          <w14:ligatures w14:val="none"/>
        </w:rPr>
        <w:t xml:space="preserve">che </w:t>
      </w:r>
      <w:r w:rsidRPr="00CE6232">
        <w:rPr>
          <w:rFonts w:eastAsia="Times New Roman" w:cstheme="minorHAnsi"/>
          <w:b/>
          <w:bCs/>
          <w:kern w:val="0"/>
          <w:lang w:eastAsia="it-IT"/>
          <w14:ligatures w14:val="none"/>
        </w:rPr>
        <w:t xml:space="preserve">contribuisce al rallentamento della crescita globale e a un periodo di </w:t>
      </w:r>
      <w:r w:rsidRPr="00CE6232">
        <w:rPr>
          <w:rFonts w:eastAsia="Times New Roman" w:cstheme="minorHAnsi"/>
          <w:b/>
          <w:bCs/>
          <w:kern w:val="0"/>
          <w:lang w:eastAsia="it-IT"/>
          <w14:ligatures w14:val="none"/>
        </w:rPr>
        <w:lastRenderedPageBreak/>
        <w:t xml:space="preserve">disinflazione, </w:t>
      </w:r>
      <w:r w:rsidRPr="003C74C8">
        <w:rPr>
          <w:rFonts w:eastAsia="Times New Roman" w:cstheme="minorHAnsi"/>
          <w:kern w:val="0"/>
          <w:lang w:eastAsia="it-IT"/>
          <w14:ligatures w14:val="none"/>
        </w:rPr>
        <w:t>che probabilmente eserciterà una pressione al ribasso sui rendimenti dei titoli di Stato. Tuttavia, uno scenario di mercato più volatile si presta a un posizionamento più agile e a un attento dimensionamento delle posizioni.</w:t>
      </w:r>
    </w:p>
    <w:p w14:paraId="45A786AC" w14:textId="77777777" w:rsidR="00E50AA2" w:rsidRPr="003C74C8" w:rsidRDefault="00E50AA2" w:rsidP="00CE6232">
      <w:pPr>
        <w:spacing w:after="120" w:line="264" w:lineRule="auto"/>
        <w:rPr>
          <w:rFonts w:cstheme="minorHAnsi"/>
        </w:rPr>
      </w:pPr>
    </w:p>
    <w:sectPr w:rsidR="00E50AA2" w:rsidRPr="003C74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4E78"/>
    <w:multiLevelType w:val="multilevel"/>
    <w:tmpl w:val="2E4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56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A2"/>
    <w:rsid w:val="00074254"/>
    <w:rsid w:val="00383C51"/>
    <w:rsid w:val="003B73A3"/>
    <w:rsid w:val="003C74C8"/>
    <w:rsid w:val="007F28EF"/>
    <w:rsid w:val="009A74D2"/>
    <w:rsid w:val="009E3027"/>
    <w:rsid w:val="00CE6232"/>
    <w:rsid w:val="00DE4714"/>
    <w:rsid w:val="00E50AA2"/>
    <w:rsid w:val="00EE4E0D"/>
    <w:rsid w:val="00F96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002"/>
  <w15:chartTrackingRefBased/>
  <w15:docId w15:val="{8EFD1854-3626-4D37-BECB-B38691CD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C7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3C74C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74C8"/>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3C74C8"/>
    <w:rPr>
      <w:rFonts w:ascii="Times New Roman" w:eastAsia="Times New Roman" w:hAnsi="Times New Roman" w:cs="Times New Roman"/>
      <w:b/>
      <w:bCs/>
      <w:kern w:val="0"/>
      <w:sz w:val="36"/>
      <w:szCs w:val="36"/>
      <w:lang w:eastAsia="it-IT"/>
      <w14:ligatures w14:val="none"/>
    </w:rPr>
  </w:style>
  <w:style w:type="paragraph" w:customStyle="1" w:styleId="hidden-xs">
    <w:name w:val="hidden-xs"/>
    <w:basedOn w:val="Normale"/>
    <w:rsid w:val="003C74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Data1">
    <w:name w:val="Data1"/>
    <w:basedOn w:val="Normale"/>
    <w:rsid w:val="003C74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name">
    <w:name w:val="name"/>
    <w:basedOn w:val="Normale"/>
    <w:rsid w:val="003C74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Titolo10">
    <w:name w:val="Titolo1"/>
    <w:basedOn w:val="Normale"/>
    <w:rsid w:val="003C74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3C74C8"/>
    <w:rPr>
      <w:color w:val="0000FF"/>
      <w:u w:val="single"/>
    </w:rPr>
  </w:style>
  <w:style w:type="paragraph" w:customStyle="1" w:styleId="topline">
    <w:name w:val="topline"/>
    <w:basedOn w:val="Normale"/>
    <w:rsid w:val="003C74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semiHidden/>
    <w:unhideWhenUsed/>
    <w:rsid w:val="003C74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3C74C8"/>
    <w:rPr>
      <w:b/>
      <w:bCs/>
    </w:rPr>
  </w:style>
  <w:style w:type="paragraph" w:styleId="Revisione">
    <w:name w:val="Revision"/>
    <w:hidden/>
    <w:uiPriority w:val="99"/>
    <w:semiHidden/>
    <w:rsid w:val="003C74C8"/>
    <w:pPr>
      <w:spacing w:after="0" w:line="240" w:lineRule="auto"/>
    </w:pPr>
  </w:style>
  <w:style w:type="character" w:styleId="Rimandocommento">
    <w:name w:val="annotation reference"/>
    <w:basedOn w:val="Carpredefinitoparagrafo"/>
    <w:uiPriority w:val="99"/>
    <w:semiHidden/>
    <w:unhideWhenUsed/>
    <w:rsid w:val="00074254"/>
    <w:rPr>
      <w:sz w:val="16"/>
      <w:szCs w:val="16"/>
    </w:rPr>
  </w:style>
  <w:style w:type="paragraph" w:styleId="Testocommento">
    <w:name w:val="annotation text"/>
    <w:basedOn w:val="Normale"/>
    <w:link w:val="TestocommentoCarattere"/>
    <w:uiPriority w:val="99"/>
    <w:unhideWhenUsed/>
    <w:rsid w:val="00074254"/>
    <w:pPr>
      <w:spacing w:line="240" w:lineRule="auto"/>
    </w:pPr>
    <w:rPr>
      <w:sz w:val="20"/>
      <w:szCs w:val="20"/>
    </w:rPr>
  </w:style>
  <w:style w:type="character" w:customStyle="1" w:styleId="TestocommentoCarattere">
    <w:name w:val="Testo commento Carattere"/>
    <w:basedOn w:val="Carpredefinitoparagrafo"/>
    <w:link w:val="Testocommento"/>
    <w:uiPriority w:val="99"/>
    <w:rsid w:val="00074254"/>
    <w:rPr>
      <w:sz w:val="20"/>
      <w:szCs w:val="20"/>
    </w:rPr>
  </w:style>
  <w:style w:type="paragraph" w:styleId="Soggettocommento">
    <w:name w:val="annotation subject"/>
    <w:basedOn w:val="Testocommento"/>
    <w:next w:val="Testocommento"/>
    <w:link w:val="SoggettocommentoCarattere"/>
    <w:uiPriority w:val="99"/>
    <w:semiHidden/>
    <w:unhideWhenUsed/>
    <w:rsid w:val="00074254"/>
    <w:rPr>
      <w:b/>
      <w:bCs/>
    </w:rPr>
  </w:style>
  <w:style w:type="character" w:customStyle="1" w:styleId="SoggettocommentoCarattere">
    <w:name w:val="Soggetto commento Carattere"/>
    <w:basedOn w:val="TestocommentoCarattere"/>
    <w:link w:val="Soggettocommento"/>
    <w:uiPriority w:val="99"/>
    <w:semiHidden/>
    <w:rsid w:val="00074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355">
      <w:bodyDiv w:val="1"/>
      <w:marLeft w:val="0"/>
      <w:marRight w:val="0"/>
      <w:marTop w:val="0"/>
      <w:marBottom w:val="0"/>
      <w:divBdr>
        <w:top w:val="none" w:sz="0" w:space="0" w:color="auto"/>
        <w:left w:val="none" w:sz="0" w:space="0" w:color="auto"/>
        <w:bottom w:val="none" w:sz="0" w:space="0" w:color="auto"/>
        <w:right w:val="none" w:sz="0" w:space="0" w:color="auto"/>
      </w:divBdr>
      <w:divsChild>
        <w:div w:id="1930432474">
          <w:marLeft w:val="-150"/>
          <w:marRight w:val="-150"/>
          <w:marTop w:val="300"/>
          <w:marBottom w:val="0"/>
          <w:divBdr>
            <w:top w:val="none" w:sz="0" w:space="0" w:color="auto"/>
            <w:left w:val="none" w:sz="0" w:space="0" w:color="auto"/>
            <w:bottom w:val="none" w:sz="0" w:space="0" w:color="auto"/>
            <w:right w:val="none" w:sz="0" w:space="0" w:color="auto"/>
          </w:divBdr>
          <w:divsChild>
            <w:div w:id="470904976">
              <w:marLeft w:val="0"/>
              <w:marRight w:val="0"/>
              <w:marTop w:val="0"/>
              <w:marBottom w:val="0"/>
              <w:divBdr>
                <w:top w:val="none" w:sz="0" w:space="0" w:color="auto"/>
                <w:left w:val="none" w:sz="0" w:space="0" w:color="auto"/>
                <w:bottom w:val="none" w:sz="0" w:space="0" w:color="auto"/>
                <w:right w:val="none" w:sz="0" w:space="0" w:color="auto"/>
              </w:divBdr>
            </w:div>
          </w:divsChild>
        </w:div>
        <w:div w:id="1398434965">
          <w:marLeft w:val="-150"/>
          <w:marRight w:val="-150"/>
          <w:marTop w:val="0"/>
          <w:marBottom w:val="0"/>
          <w:divBdr>
            <w:top w:val="none" w:sz="0" w:space="0" w:color="auto"/>
            <w:left w:val="none" w:sz="0" w:space="0" w:color="auto"/>
            <w:bottom w:val="none" w:sz="0" w:space="0" w:color="auto"/>
            <w:right w:val="none" w:sz="0" w:space="0" w:color="auto"/>
          </w:divBdr>
          <w:divsChild>
            <w:div w:id="1909414450">
              <w:marLeft w:val="0"/>
              <w:marRight w:val="0"/>
              <w:marTop w:val="0"/>
              <w:marBottom w:val="0"/>
              <w:divBdr>
                <w:top w:val="none" w:sz="0" w:space="0" w:color="auto"/>
                <w:left w:val="none" w:sz="0" w:space="0" w:color="auto"/>
                <w:bottom w:val="none" w:sz="0" w:space="0" w:color="auto"/>
                <w:right w:val="none" w:sz="0" w:space="0" w:color="auto"/>
              </w:divBdr>
              <w:divsChild>
                <w:div w:id="413432657">
                  <w:marLeft w:val="-150"/>
                  <w:marRight w:val="-150"/>
                  <w:marTop w:val="0"/>
                  <w:marBottom w:val="0"/>
                  <w:divBdr>
                    <w:top w:val="none" w:sz="0" w:space="0" w:color="auto"/>
                    <w:left w:val="none" w:sz="0" w:space="0" w:color="auto"/>
                    <w:bottom w:val="none" w:sz="0" w:space="0" w:color="auto"/>
                    <w:right w:val="none" w:sz="0" w:space="0" w:color="auto"/>
                  </w:divBdr>
                  <w:divsChild>
                    <w:div w:id="2045707782">
                      <w:marLeft w:val="0"/>
                      <w:marRight w:val="0"/>
                      <w:marTop w:val="0"/>
                      <w:marBottom w:val="0"/>
                      <w:divBdr>
                        <w:top w:val="none" w:sz="0" w:space="0" w:color="auto"/>
                        <w:left w:val="none" w:sz="0" w:space="0" w:color="auto"/>
                        <w:bottom w:val="none" w:sz="0" w:space="0" w:color="auto"/>
                        <w:right w:val="none" w:sz="0" w:space="0" w:color="auto"/>
                      </w:divBdr>
                      <w:divsChild>
                        <w:div w:id="2006325680">
                          <w:marLeft w:val="0"/>
                          <w:marRight w:val="0"/>
                          <w:marTop w:val="0"/>
                          <w:marBottom w:val="0"/>
                          <w:divBdr>
                            <w:top w:val="none" w:sz="0" w:space="0" w:color="auto"/>
                            <w:left w:val="none" w:sz="0" w:space="0" w:color="auto"/>
                            <w:bottom w:val="none" w:sz="0" w:space="0" w:color="auto"/>
                            <w:right w:val="none" w:sz="0" w:space="0" w:color="auto"/>
                          </w:divBdr>
                          <w:divsChild>
                            <w:div w:id="1377779322">
                              <w:marLeft w:val="0"/>
                              <w:marRight w:val="0"/>
                              <w:marTop w:val="150"/>
                              <w:marBottom w:val="150"/>
                              <w:divBdr>
                                <w:top w:val="none" w:sz="0" w:space="0" w:color="auto"/>
                                <w:left w:val="none" w:sz="0" w:space="0" w:color="auto"/>
                                <w:bottom w:val="none" w:sz="0" w:space="0" w:color="auto"/>
                                <w:right w:val="none" w:sz="0" w:space="0" w:color="auto"/>
                              </w:divBdr>
                              <w:divsChild>
                                <w:div w:id="754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25026">
          <w:marLeft w:val="0"/>
          <w:marRight w:val="0"/>
          <w:marTop w:val="0"/>
          <w:marBottom w:val="0"/>
          <w:divBdr>
            <w:top w:val="none" w:sz="0" w:space="0" w:color="auto"/>
            <w:left w:val="none" w:sz="0" w:space="0" w:color="auto"/>
            <w:bottom w:val="none" w:sz="0" w:space="0" w:color="auto"/>
            <w:right w:val="none" w:sz="0" w:space="0" w:color="auto"/>
          </w:divBdr>
          <w:divsChild>
            <w:div w:id="1922714023">
              <w:marLeft w:val="-150"/>
              <w:marRight w:val="-150"/>
              <w:marTop w:val="0"/>
              <w:marBottom w:val="0"/>
              <w:divBdr>
                <w:top w:val="none" w:sz="0" w:space="0" w:color="auto"/>
                <w:left w:val="none" w:sz="0" w:space="0" w:color="auto"/>
                <w:bottom w:val="none" w:sz="0" w:space="0" w:color="auto"/>
                <w:right w:val="none" w:sz="0" w:space="0" w:color="auto"/>
              </w:divBdr>
              <w:divsChild>
                <w:div w:id="360085328">
                  <w:marLeft w:val="0"/>
                  <w:marRight w:val="0"/>
                  <w:marTop w:val="0"/>
                  <w:marBottom w:val="300"/>
                  <w:divBdr>
                    <w:top w:val="none" w:sz="0" w:space="0" w:color="auto"/>
                    <w:left w:val="none" w:sz="0" w:space="0" w:color="auto"/>
                    <w:bottom w:val="none" w:sz="0" w:space="0" w:color="auto"/>
                    <w:right w:val="none" w:sz="0" w:space="0" w:color="auto"/>
                  </w:divBdr>
                </w:div>
                <w:div w:id="1858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Bogo</dc:creator>
  <cp:keywords/>
  <dc:description/>
  <cp:lastModifiedBy>Diana Ferla</cp:lastModifiedBy>
  <cp:revision>4</cp:revision>
  <dcterms:created xsi:type="dcterms:W3CDTF">2023-05-12T07:00:00Z</dcterms:created>
  <dcterms:modified xsi:type="dcterms:W3CDTF">2023-05-12T07:34:00Z</dcterms:modified>
</cp:coreProperties>
</file>