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8901" w14:textId="4087C9DE" w:rsidR="00BE40A1" w:rsidRPr="007A1F88" w:rsidRDefault="004C2C7B" w:rsidP="00BE40A1">
      <w:pPr>
        <w:pStyle w:val="Agenda1"/>
        <w:tabs>
          <w:tab w:val="clear" w:pos="360"/>
          <w:tab w:val="clear" w:pos="720"/>
          <w:tab w:val="clear" w:pos="1080"/>
          <w:tab w:val="clear" w:pos="1440"/>
        </w:tabs>
        <w:spacing w:line="240" w:lineRule="auto"/>
        <w:rPr>
          <w:sz w:val="32"/>
          <w:szCs w:val="32"/>
          <w:lang w:val="it-IT"/>
        </w:rPr>
      </w:pPr>
      <w:r w:rsidRPr="007A1F88">
        <w:rPr>
          <w:sz w:val="32"/>
          <w:szCs w:val="32"/>
          <w:lang w:val="it-IT"/>
        </w:rPr>
        <w:t>COMUNICATO STAMPA</w:t>
      </w:r>
    </w:p>
    <w:p w14:paraId="752477B5" w14:textId="77777777" w:rsidR="00773F9B" w:rsidRPr="007A1F88" w:rsidRDefault="00773F9B" w:rsidP="00773F9B">
      <w:pPr>
        <w:rPr>
          <w:lang w:val="it-IT"/>
        </w:rPr>
      </w:pPr>
    </w:p>
    <w:p w14:paraId="259E7A2A" w14:textId="77777777" w:rsidR="00526F76" w:rsidRPr="007A1F88" w:rsidRDefault="00526F76" w:rsidP="00392D65">
      <w:pPr>
        <w:spacing w:after="0"/>
        <w:contextualSpacing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A1C564F" w14:textId="4AB55951" w:rsidR="00ED18C1" w:rsidRPr="007A1F88" w:rsidRDefault="00D51CA5" w:rsidP="00D51CA5">
      <w:pPr>
        <w:spacing w:after="0"/>
        <w:contextualSpacing/>
        <w:jc w:val="center"/>
        <w:rPr>
          <w:rFonts w:ascii="Arial" w:hAnsi="Arial" w:cs="Arial"/>
          <w:i/>
          <w:iCs/>
          <w:sz w:val="24"/>
          <w:szCs w:val="24"/>
          <w:lang w:val="it-IT"/>
        </w:rPr>
      </w:pPr>
      <w:r w:rsidRPr="007A1F88">
        <w:rPr>
          <w:rFonts w:ascii="Arial" w:hAnsi="Arial" w:cs="Arial"/>
          <w:b/>
          <w:bCs/>
          <w:sz w:val="28"/>
          <w:szCs w:val="28"/>
          <w:lang w:val="it-IT"/>
        </w:rPr>
        <w:t xml:space="preserve">Per </w:t>
      </w:r>
      <w:r w:rsidR="004864D2">
        <w:rPr>
          <w:rFonts w:ascii="Arial" w:hAnsi="Arial" w:cs="Arial"/>
          <w:b/>
          <w:bCs/>
          <w:sz w:val="28"/>
          <w:szCs w:val="28"/>
          <w:lang w:val="it-IT"/>
        </w:rPr>
        <w:t>8</w:t>
      </w:r>
      <w:r w:rsidRPr="007A1F88">
        <w:rPr>
          <w:rFonts w:ascii="Arial" w:hAnsi="Arial" w:cs="Arial"/>
          <w:b/>
          <w:bCs/>
          <w:sz w:val="28"/>
          <w:szCs w:val="28"/>
          <w:lang w:val="it-IT"/>
        </w:rPr>
        <w:t xml:space="preserve"> italiani </w:t>
      </w:r>
      <w:r w:rsidR="004864D2">
        <w:rPr>
          <w:rFonts w:ascii="Arial" w:hAnsi="Arial" w:cs="Arial"/>
          <w:b/>
          <w:bCs/>
          <w:sz w:val="28"/>
          <w:szCs w:val="28"/>
          <w:lang w:val="it-IT"/>
        </w:rPr>
        <w:t xml:space="preserve">su 10 </w:t>
      </w:r>
      <w:r w:rsidRPr="007A1F88">
        <w:rPr>
          <w:rFonts w:ascii="Arial" w:hAnsi="Arial" w:cs="Arial"/>
          <w:b/>
          <w:bCs/>
          <w:sz w:val="28"/>
          <w:szCs w:val="28"/>
          <w:lang w:val="it-IT"/>
        </w:rPr>
        <w:t>il mattone</w:t>
      </w:r>
      <w:r w:rsidR="00715139" w:rsidRPr="007A1F8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F86D11" w:rsidRPr="007A1F88">
        <w:rPr>
          <w:rFonts w:ascii="Arial" w:hAnsi="Arial" w:cs="Arial"/>
          <w:b/>
          <w:bCs/>
          <w:sz w:val="28"/>
          <w:szCs w:val="28"/>
          <w:lang w:val="it-IT"/>
        </w:rPr>
        <w:t>resta</w:t>
      </w:r>
      <w:r w:rsidR="009657AE" w:rsidRPr="007A1F88">
        <w:rPr>
          <w:rFonts w:ascii="Arial" w:hAnsi="Arial" w:cs="Arial"/>
          <w:b/>
          <w:bCs/>
          <w:sz w:val="28"/>
          <w:szCs w:val="28"/>
          <w:lang w:val="it-IT"/>
        </w:rPr>
        <w:t xml:space="preserve"> il porto sicuro</w:t>
      </w:r>
      <w:r w:rsidR="004864D2">
        <w:rPr>
          <w:rFonts w:ascii="Arial" w:hAnsi="Arial" w:cs="Arial"/>
          <w:b/>
          <w:bCs/>
          <w:sz w:val="28"/>
          <w:szCs w:val="28"/>
          <w:lang w:val="it-IT"/>
        </w:rPr>
        <w:t>,</w:t>
      </w:r>
      <w:r w:rsidR="007A1F8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5B21A1" w:rsidRPr="007A1F88">
        <w:rPr>
          <w:rFonts w:ascii="Arial" w:hAnsi="Arial" w:cs="Arial"/>
          <w:b/>
          <w:bCs/>
          <w:sz w:val="28"/>
          <w:szCs w:val="28"/>
          <w:lang w:val="it-IT"/>
        </w:rPr>
        <w:t xml:space="preserve">ma </w:t>
      </w:r>
      <w:r w:rsidR="009657AE" w:rsidRPr="007A1F88">
        <w:rPr>
          <w:rFonts w:ascii="Arial" w:hAnsi="Arial" w:cs="Arial"/>
          <w:b/>
          <w:bCs/>
          <w:sz w:val="28"/>
          <w:szCs w:val="28"/>
          <w:lang w:val="it-IT"/>
        </w:rPr>
        <w:t>rischi e costi</w:t>
      </w:r>
      <w:r w:rsidR="005B21A1" w:rsidRPr="007A1F88">
        <w:rPr>
          <w:rFonts w:ascii="Arial" w:hAnsi="Arial" w:cs="Arial"/>
          <w:b/>
          <w:bCs/>
          <w:sz w:val="28"/>
          <w:szCs w:val="28"/>
          <w:lang w:val="it-IT"/>
        </w:rPr>
        <w:t xml:space="preserve"> non mancano</w:t>
      </w:r>
      <w:r w:rsidR="007A1F88">
        <w:rPr>
          <w:rFonts w:ascii="Arial" w:hAnsi="Arial" w:cs="Arial"/>
          <w:b/>
          <w:bCs/>
          <w:sz w:val="28"/>
          <w:szCs w:val="28"/>
          <w:lang w:val="it-IT"/>
        </w:rPr>
        <w:t xml:space="preserve">. </w:t>
      </w:r>
      <w:r w:rsidR="00F22B24">
        <w:rPr>
          <w:rFonts w:ascii="Arial" w:hAnsi="Arial" w:cs="Arial"/>
          <w:b/>
          <w:bCs/>
          <w:sz w:val="28"/>
          <w:szCs w:val="28"/>
          <w:lang w:val="it-IT"/>
        </w:rPr>
        <w:t xml:space="preserve">Da qui l’importanza di diversificare asset patrimoniali con asset finanziari. </w:t>
      </w:r>
    </w:p>
    <w:p w14:paraId="669CC0B2" w14:textId="77777777" w:rsidR="007A1F88" w:rsidRDefault="007A1F88" w:rsidP="00392D65">
      <w:pPr>
        <w:spacing w:after="0"/>
        <w:contextualSpacing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60E5D1F9" w14:textId="77777777" w:rsidR="007A1F88" w:rsidRPr="00472800" w:rsidRDefault="00ED18C1" w:rsidP="007A1F88">
      <w:pPr>
        <w:spacing w:after="0"/>
        <w:contextualSpacing/>
        <w:jc w:val="center"/>
        <w:rPr>
          <w:rFonts w:ascii="Arial" w:hAnsi="Arial" w:cs="Arial"/>
          <w:i/>
          <w:iCs/>
          <w:sz w:val="28"/>
          <w:szCs w:val="28"/>
          <w:lang w:val="it-IT"/>
        </w:rPr>
      </w:pPr>
      <w:r w:rsidRPr="00472800">
        <w:rPr>
          <w:rFonts w:ascii="Arial" w:hAnsi="Arial" w:cs="Arial"/>
          <w:i/>
          <w:iCs/>
          <w:sz w:val="28"/>
          <w:szCs w:val="28"/>
          <w:lang w:val="it-IT"/>
        </w:rPr>
        <w:t>È quanto emerge dalla ricerca T. Rowe Price</w:t>
      </w:r>
      <w:r w:rsidR="007A1F88" w:rsidRPr="00472800">
        <w:rPr>
          <w:rFonts w:ascii="Arial" w:hAnsi="Arial" w:cs="Arial"/>
          <w:i/>
          <w:iCs/>
          <w:sz w:val="28"/>
          <w:szCs w:val="28"/>
          <w:lang w:val="it-IT"/>
        </w:rPr>
        <w:t xml:space="preserve"> e Nomisma:</w:t>
      </w:r>
    </w:p>
    <w:p w14:paraId="0C661657" w14:textId="764F6215" w:rsidR="00392D65" w:rsidRPr="00472800" w:rsidRDefault="00ED18C1" w:rsidP="007A1F88">
      <w:pPr>
        <w:spacing w:after="0"/>
        <w:contextualSpacing/>
        <w:jc w:val="center"/>
        <w:rPr>
          <w:rFonts w:ascii="Arial" w:hAnsi="Arial" w:cs="Arial"/>
          <w:b/>
          <w:bCs/>
          <w:lang w:val="it-IT"/>
        </w:rPr>
      </w:pPr>
      <w:r w:rsidRPr="00472800">
        <w:rPr>
          <w:rFonts w:ascii="Arial" w:hAnsi="Arial" w:cs="Arial"/>
          <w:i/>
          <w:iCs/>
          <w:sz w:val="28"/>
          <w:szCs w:val="28"/>
          <w:lang w:val="it-IT"/>
        </w:rPr>
        <w:t>“</w:t>
      </w:r>
      <w:r w:rsidR="0042593A" w:rsidRPr="00472800">
        <w:rPr>
          <w:rFonts w:ascii="Arial" w:hAnsi="Arial" w:cs="Arial"/>
          <w:i/>
          <w:iCs/>
          <w:sz w:val="28"/>
          <w:szCs w:val="28"/>
          <w:lang w:val="it-IT"/>
        </w:rPr>
        <w:t>Cedola vs mattone: dove va la vera redditività</w:t>
      </w:r>
      <w:r w:rsidRPr="00472800">
        <w:rPr>
          <w:rFonts w:ascii="Arial" w:hAnsi="Arial" w:cs="Arial"/>
          <w:i/>
          <w:iCs/>
          <w:sz w:val="28"/>
          <w:szCs w:val="28"/>
          <w:lang w:val="it-IT"/>
        </w:rPr>
        <w:t>”</w:t>
      </w:r>
    </w:p>
    <w:p w14:paraId="66309BCF" w14:textId="77777777" w:rsidR="00773F9B" w:rsidRPr="007A1F88" w:rsidRDefault="00773F9B" w:rsidP="00BE40A1">
      <w:pPr>
        <w:pStyle w:val="AgendaBody"/>
        <w:tabs>
          <w:tab w:val="clear" w:pos="2700"/>
          <w:tab w:val="clear" w:pos="3060"/>
          <w:tab w:val="clear" w:pos="3420"/>
        </w:tabs>
        <w:spacing w:line="240" w:lineRule="auto"/>
        <w:ind w:left="0" w:firstLine="0"/>
        <w:rPr>
          <w:rFonts w:cs="Arial"/>
          <w:b/>
          <w:color w:val="auto"/>
          <w:sz w:val="22"/>
          <w:szCs w:val="22"/>
          <w:lang w:val="it-IT"/>
        </w:rPr>
      </w:pPr>
    </w:p>
    <w:p w14:paraId="1D27DDBF" w14:textId="0B802C96" w:rsidR="00BE40A1" w:rsidRPr="007A1F88" w:rsidRDefault="005C23B3" w:rsidP="00BE40A1">
      <w:pPr>
        <w:pStyle w:val="AgendaBody"/>
        <w:tabs>
          <w:tab w:val="clear" w:pos="2700"/>
          <w:tab w:val="clear" w:pos="3060"/>
          <w:tab w:val="clear" w:pos="3420"/>
        </w:tabs>
        <w:spacing w:line="240" w:lineRule="auto"/>
        <w:ind w:left="0" w:firstLine="0"/>
        <w:rPr>
          <w:rFonts w:cs="Arial"/>
          <w:b/>
          <w:color w:val="auto"/>
          <w:sz w:val="22"/>
          <w:szCs w:val="22"/>
          <w:lang w:val="it-IT"/>
        </w:rPr>
      </w:pPr>
      <w:r w:rsidRPr="007A1F88">
        <w:rPr>
          <w:rFonts w:cs="Arial"/>
          <w:b/>
          <w:color w:val="auto"/>
          <w:sz w:val="22"/>
          <w:szCs w:val="22"/>
          <w:lang w:val="it-IT"/>
        </w:rPr>
        <w:t>Milano</w:t>
      </w:r>
      <w:r w:rsidR="00BE40A1" w:rsidRPr="007A1F88">
        <w:rPr>
          <w:rFonts w:cs="Arial"/>
          <w:b/>
          <w:color w:val="auto"/>
          <w:sz w:val="22"/>
          <w:szCs w:val="22"/>
          <w:lang w:val="it-IT"/>
        </w:rPr>
        <w:t xml:space="preserve">: </w:t>
      </w:r>
      <w:r w:rsidR="00334FC6">
        <w:rPr>
          <w:rFonts w:cs="Arial"/>
          <w:b/>
          <w:color w:val="auto"/>
          <w:sz w:val="22"/>
          <w:szCs w:val="22"/>
          <w:lang w:val="it-IT"/>
        </w:rPr>
        <w:t>1</w:t>
      </w:r>
      <w:r w:rsidR="002337B6">
        <w:rPr>
          <w:rFonts w:cs="Arial"/>
          <w:b/>
          <w:color w:val="auto"/>
          <w:sz w:val="22"/>
          <w:szCs w:val="22"/>
          <w:lang w:val="it-IT"/>
        </w:rPr>
        <w:t>8</w:t>
      </w:r>
      <w:r w:rsidR="0038724F" w:rsidRPr="007A1F88">
        <w:rPr>
          <w:rFonts w:cs="Arial"/>
          <w:b/>
          <w:color w:val="auto"/>
          <w:sz w:val="22"/>
          <w:szCs w:val="22"/>
          <w:lang w:val="it-IT"/>
        </w:rPr>
        <w:t xml:space="preserve"> </w:t>
      </w:r>
      <w:r w:rsidR="00535D56" w:rsidRPr="007A1F88">
        <w:rPr>
          <w:rFonts w:cs="Arial"/>
          <w:b/>
          <w:color w:val="auto"/>
          <w:sz w:val="22"/>
          <w:szCs w:val="22"/>
          <w:lang w:val="it-IT"/>
        </w:rPr>
        <w:t>ma</w:t>
      </w:r>
      <w:r w:rsidR="001653DE" w:rsidRPr="007A1F88">
        <w:rPr>
          <w:rFonts w:cs="Arial"/>
          <w:b/>
          <w:color w:val="auto"/>
          <w:sz w:val="22"/>
          <w:szCs w:val="22"/>
          <w:lang w:val="it-IT"/>
        </w:rPr>
        <w:t>ggio</w:t>
      </w:r>
      <w:r w:rsidR="00535D56" w:rsidRPr="007A1F88">
        <w:rPr>
          <w:rFonts w:cs="Arial"/>
          <w:b/>
          <w:color w:val="auto"/>
          <w:sz w:val="22"/>
          <w:szCs w:val="22"/>
          <w:lang w:val="it-IT"/>
        </w:rPr>
        <w:t xml:space="preserve"> 2023</w:t>
      </w:r>
    </w:p>
    <w:p w14:paraId="4A700E99" w14:textId="77777777" w:rsidR="00773F9B" w:rsidRPr="007A1F88" w:rsidRDefault="00773F9B" w:rsidP="00BE40A1">
      <w:pPr>
        <w:pStyle w:val="AgendaBody"/>
        <w:tabs>
          <w:tab w:val="clear" w:pos="2700"/>
          <w:tab w:val="clear" w:pos="3060"/>
          <w:tab w:val="clear" w:pos="3420"/>
        </w:tabs>
        <w:spacing w:line="240" w:lineRule="auto"/>
        <w:ind w:left="0" w:firstLine="0"/>
        <w:rPr>
          <w:rFonts w:cs="Arial"/>
          <w:b/>
          <w:color w:val="auto"/>
          <w:sz w:val="22"/>
          <w:szCs w:val="22"/>
          <w:lang w:val="it-IT"/>
        </w:rPr>
      </w:pPr>
    </w:p>
    <w:p w14:paraId="0A0C60E9" w14:textId="25DB1904" w:rsidR="00F86D11" w:rsidRPr="007A1F88" w:rsidRDefault="009657AE" w:rsidP="000C2215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7A1F88">
        <w:rPr>
          <w:rFonts w:ascii="Arial" w:hAnsi="Arial" w:cs="Arial"/>
          <w:b/>
          <w:bCs/>
          <w:iCs/>
          <w:lang w:val="it-IT"/>
        </w:rPr>
        <w:t xml:space="preserve">Il mattone continua ad essere percepito dagli italiani come </w:t>
      </w:r>
      <w:r w:rsidR="007A1F88">
        <w:rPr>
          <w:rFonts w:ascii="Arial" w:hAnsi="Arial" w:cs="Arial"/>
          <w:b/>
          <w:bCs/>
          <w:iCs/>
          <w:lang w:val="it-IT"/>
        </w:rPr>
        <w:t xml:space="preserve">un </w:t>
      </w:r>
      <w:r w:rsidRPr="007A1F88">
        <w:rPr>
          <w:rFonts w:ascii="Arial" w:hAnsi="Arial" w:cs="Arial"/>
          <w:b/>
          <w:bCs/>
          <w:iCs/>
          <w:lang w:val="it-IT"/>
        </w:rPr>
        <w:t>porto sicuro</w:t>
      </w:r>
      <w:r w:rsidR="000C2215" w:rsidRPr="007A1F88">
        <w:rPr>
          <w:rFonts w:ascii="Arial" w:hAnsi="Arial" w:cs="Arial"/>
          <w:b/>
          <w:bCs/>
          <w:iCs/>
          <w:lang w:val="it-IT"/>
        </w:rPr>
        <w:t>: 8 italiani su 10</w:t>
      </w:r>
      <w:r w:rsidR="005B21A1" w:rsidRPr="007A1F88">
        <w:rPr>
          <w:rFonts w:ascii="Arial" w:hAnsi="Arial" w:cs="Arial"/>
          <w:b/>
          <w:bCs/>
          <w:iCs/>
          <w:lang w:val="it-IT"/>
        </w:rPr>
        <w:t xml:space="preserve"> lo considerano un investimento </w:t>
      </w:r>
      <w:r w:rsidR="008C34D8" w:rsidRPr="007A1F88">
        <w:rPr>
          <w:rFonts w:ascii="Arial" w:hAnsi="Arial" w:cs="Arial"/>
          <w:b/>
          <w:bCs/>
          <w:iCs/>
          <w:lang w:val="it-IT"/>
        </w:rPr>
        <w:t>affidabile</w:t>
      </w:r>
      <w:r w:rsidR="00386724" w:rsidRPr="007A1F88">
        <w:rPr>
          <w:rFonts w:ascii="Arial" w:hAnsi="Arial" w:cs="Arial"/>
          <w:iCs/>
          <w:lang w:val="it-IT"/>
        </w:rPr>
        <w:t xml:space="preserve">. È </w:t>
      </w:r>
      <w:r w:rsidR="00F86D11" w:rsidRPr="007A1F88">
        <w:rPr>
          <w:rFonts w:ascii="Arial" w:hAnsi="Arial" w:cs="Arial"/>
          <w:iCs/>
          <w:lang w:val="it-IT"/>
        </w:rPr>
        <w:t xml:space="preserve">quanto emerge </w:t>
      </w:r>
      <w:r w:rsidR="0042593A" w:rsidRPr="007A1F88">
        <w:rPr>
          <w:rFonts w:ascii="Arial" w:hAnsi="Arial" w:cs="Arial"/>
          <w:iCs/>
          <w:lang w:val="it-IT"/>
        </w:rPr>
        <w:t>dalla</w:t>
      </w:r>
      <w:r w:rsidR="00F86D11" w:rsidRPr="007A1F88">
        <w:rPr>
          <w:rFonts w:ascii="Arial" w:hAnsi="Arial" w:cs="Arial"/>
          <w:iCs/>
          <w:lang w:val="it-IT"/>
        </w:rPr>
        <w:t xml:space="preserve"> </w:t>
      </w:r>
      <w:r w:rsidR="00715139" w:rsidRPr="007A1F88">
        <w:rPr>
          <w:rFonts w:ascii="Arial" w:hAnsi="Arial" w:cs="Arial"/>
          <w:b/>
          <w:bCs/>
          <w:iCs/>
          <w:lang w:val="it-IT"/>
        </w:rPr>
        <w:t xml:space="preserve">ricerca </w:t>
      </w:r>
      <w:r w:rsidR="00334FC6" w:rsidRPr="007A1F88">
        <w:rPr>
          <w:rFonts w:ascii="Arial" w:hAnsi="Arial" w:cs="Arial"/>
          <w:b/>
          <w:bCs/>
          <w:iCs/>
          <w:lang w:val="it-IT"/>
        </w:rPr>
        <w:t xml:space="preserve">condotta da Nomisma </w:t>
      </w:r>
      <w:r w:rsidR="00334FC6">
        <w:rPr>
          <w:rFonts w:ascii="Arial" w:hAnsi="Arial" w:cs="Arial"/>
          <w:b/>
          <w:bCs/>
          <w:iCs/>
          <w:lang w:val="it-IT"/>
        </w:rPr>
        <w:t>per conto di</w:t>
      </w:r>
      <w:r w:rsidR="00386724" w:rsidRPr="007A1F88">
        <w:rPr>
          <w:rFonts w:ascii="Arial" w:hAnsi="Arial" w:cs="Arial"/>
          <w:b/>
          <w:bCs/>
          <w:iCs/>
          <w:lang w:val="it-IT"/>
        </w:rPr>
        <w:t xml:space="preserve"> T. Rowe Price</w:t>
      </w:r>
      <w:r w:rsidR="00386724" w:rsidRPr="007A1F88">
        <w:rPr>
          <w:rFonts w:ascii="Arial" w:hAnsi="Arial" w:cs="Arial"/>
          <w:iCs/>
          <w:lang w:val="it-IT"/>
        </w:rPr>
        <w:t xml:space="preserve">, su un campione rappresentativo di </w:t>
      </w:r>
      <w:r w:rsidR="00334FC6">
        <w:rPr>
          <w:rFonts w:ascii="Arial" w:hAnsi="Arial" w:cs="Arial"/>
          <w:iCs/>
          <w:lang w:val="it-IT"/>
        </w:rPr>
        <w:t>famiglie residenti</w:t>
      </w:r>
      <w:r w:rsidR="00EA7C35" w:rsidRPr="007A1F88">
        <w:rPr>
          <w:rFonts w:ascii="Arial" w:hAnsi="Arial" w:cs="Arial"/>
          <w:iCs/>
          <w:lang w:val="it-IT"/>
        </w:rPr>
        <w:t xml:space="preserve"> fra Milano, Roma, Napoli e altre province d’Italia</w:t>
      </w:r>
      <w:r w:rsidR="00386724" w:rsidRPr="007A1F88">
        <w:rPr>
          <w:rStyle w:val="Rimandonotaapidipagina"/>
          <w:rFonts w:ascii="Arial" w:hAnsi="Arial" w:cs="Arial"/>
          <w:iCs/>
          <w:lang w:val="it-IT"/>
        </w:rPr>
        <w:footnoteReference w:id="2"/>
      </w:r>
      <w:r w:rsidR="0042593A" w:rsidRPr="007A1F88">
        <w:rPr>
          <w:rFonts w:ascii="Arial" w:hAnsi="Arial" w:cs="Arial"/>
          <w:iCs/>
          <w:lang w:val="it-IT"/>
        </w:rPr>
        <w:t xml:space="preserve">, che </w:t>
      </w:r>
      <w:r w:rsidR="00334FC6">
        <w:rPr>
          <w:rFonts w:ascii="Arial" w:hAnsi="Arial" w:cs="Arial"/>
          <w:iCs/>
          <w:lang w:val="it-IT"/>
        </w:rPr>
        <w:t>è stata</w:t>
      </w:r>
      <w:r w:rsidR="0042593A" w:rsidRPr="007A1F88">
        <w:rPr>
          <w:rFonts w:ascii="Arial" w:hAnsi="Arial" w:cs="Arial"/>
          <w:iCs/>
          <w:lang w:val="it-IT"/>
        </w:rPr>
        <w:t xml:space="preserve"> presentata</w:t>
      </w:r>
      <w:r w:rsidR="00334FC6">
        <w:rPr>
          <w:rFonts w:ascii="Arial" w:hAnsi="Arial" w:cs="Arial"/>
          <w:iCs/>
          <w:lang w:val="it-IT"/>
        </w:rPr>
        <w:t xml:space="preserve"> </w:t>
      </w:r>
      <w:r w:rsidR="00681F14">
        <w:rPr>
          <w:rFonts w:ascii="Arial" w:hAnsi="Arial" w:cs="Arial"/>
          <w:iCs/>
          <w:lang w:val="it-IT"/>
        </w:rPr>
        <w:t>a</w:t>
      </w:r>
      <w:r w:rsidR="0042593A" w:rsidRPr="007A1F88">
        <w:rPr>
          <w:rFonts w:ascii="Arial" w:hAnsi="Arial" w:cs="Arial"/>
          <w:iCs/>
          <w:lang w:val="it-IT"/>
        </w:rPr>
        <w:t>lla conferenza: “</w:t>
      </w:r>
      <w:r w:rsidR="0042593A" w:rsidRPr="007A1F88">
        <w:rPr>
          <w:rFonts w:ascii="Arial" w:hAnsi="Arial" w:cs="Arial"/>
          <w:i/>
          <w:lang w:val="it-IT"/>
        </w:rPr>
        <w:t>Cedola vs mattone: dove va la vera redditività</w:t>
      </w:r>
      <w:r w:rsidR="0042593A" w:rsidRPr="007A1F88">
        <w:rPr>
          <w:rFonts w:ascii="Arial" w:hAnsi="Arial" w:cs="Arial"/>
          <w:iCs/>
          <w:lang w:val="it-IT"/>
        </w:rPr>
        <w:t xml:space="preserve">”, </w:t>
      </w:r>
      <w:r w:rsidR="007A1F88">
        <w:rPr>
          <w:rFonts w:ascii="Arial" w:hAnsi="Arial" w:cs="Arial"/>
          <w:iCs/>
          <w:lang w:val="it-IT"/>
        </w:rPr>
        <w:t>in occasione della tredicesima edizione del</w:t>
      </w:r>
      <w:r w:rsidR="0042593A" w:rsidRPr="007A1F88">
        <w:rPr>
          <w:rFonts w:ascii="Arial" w:hAnsi="Arial" w:cs="Arial"/>
          <w:iCs/>
          <w:lang w:val="it-IT"/>
        </w:rPr>
        <w:t xml:space="preserve"> Salone del Risparmio</w:t>
      </w:r>
      <w:r w:rsidR="008C34D8" w:rsidRPr="007A1F88">
        <w:rPr>
          <w:rFonts w:ascii="Arial" w:hAnsi="Arial" w:cs="Arial"/>
          <w:iCs/>
          <w:lang w:val="it-IT"/>
        </w:rPr>
        <w:t>.</w:t>
      </w:r>
    </w:p>
    <w:p w14:paraId="321EABCF" w14:textId="77777777" w:rsidR="00F86D11" w:rsidRPr="007A1F88" w:rsidRDefault="00F86D11" w:rsidP="000C2215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</w:p>
    <w:p w14:paraId="3522B447" w14:textId="6E52B851" w:rsidR="0080607D" w:rsidRPr="007A1F88" w:rsidRDefault="00F86D11" w:rsidP="000C2215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7A1F88">
        <w:rPr>
          <w:rFonts w:ascii="Arial" w:hAnsi="Arial" w:cs="Arial"/>
          <w:iCs/>
          <w:lang w:val="it-IT"/>
        </w:rPr>
        <w:t xml:space="preserve">In particolare, </w:t>
      </w:r>
      <w:r w:rsidRPr="007A1F88">
        <w:rPr>
          <w:rFonts w:ascii="Arial" w:hAnsi="Arial" w:cs="Arial"/>
          <w:b/>
          <w:bCs/>
          <w:iCs/>
          <w:lang w:val="it-IT"/>
        </w:rPr>
        <w:t>per il 48% degli intervistati l</w:t>
      </w:r>
      <w:r w:rsidR="00536FF0" w:rsidRPr="007A1F88">
        <w:rPr>
          <w:rFonts w:ascii="Arial" w:hAnsi="Arial" w:cs="Arial"/>
          <w:b/>
          <w:bCs/>
          <w:iCs/>
          <w:lang w:val="it-IT"/>
        </w:rPr>
        <w:t>’acquisto di una casa è sempre un investimento conveniente</w:t>
      </w:r>
      <w:r w:rsidR="00536FF0" w:rsidRPr="007A1F88">
        <w:rPr>
          <w:rFonts w:ascii="Arial" w:hAnsi="Arial" w:cs="Arial"/>
          <w:iCs/>
          <w:lang w:val="it-IT"/>
        </w:rPr>
        <w:t xml:space="preserve"> da fare</w:t>
      </w:r>
      <w:r w:rsidR="0080607D" w:rsidRPr="007A1F88">
        <w:rPr>
          <w:rFonts w:ascii="Arial" w:hAnsi="Arial" w:cs="Arial"/>
          <w:iCs/>
          <w:lang w:val="it-IT"/>
        </w:rPr>
        <w:t>,</w:t>
      </w:r>
      <w:r w:rsidR="00536FF0" w:rsidRPr="007A1F88">
        <w:rPr>
          <w:rFonts w:ascii="Arial" w:hAnsi="Arial" w:cs="Arial"/>
          <w:iCs/>
          <w:lang w:val="it-IT"/>
        </w:rPr>
        <w:t xml:space="preserve"> </w:t>
      </w:r>
      <w:r w:rsidRPr="007A1F88">
        <w:rPr>
          <w:rFonts w:ascii="Arial" w:hAnsi="Arial" w:cs="Arial"/>
          <w:iCs/>
          <w:lang w:val="it-IT"/>
        </w:rPr>
        <w:t xml:space="preserve">mentre </w:t>
      </w:r>
      <w:r w:rsidRPr="007A1F88">
        <w:rPr>
          <w:rFonts w:ascii="Arial" w:hAnsi="Arial" w:cs="Arial"/>
          <w:b/>
          <w:bCs/>
          <w:iCs/>
          <w:lang w:val="it-IT"/>
        </w:rPr>
        <w:t xml:space="preserve">il 36% è convinto che sia </w:t>
      </w:r>
      <w:r w:rsidR="00334FC6">
        <w:rPr>
          <w:rFonts w:ascii="Arial" w:hAnsi="Arial" w:cs="Arial"/>
          <w:b/>
          <w:bCs/>
          <w:iCs/>
          <w:lang w:val="it-IT"/>
        </w:rPr>
        <w:t xml:space="preserve">meglio </w:t>
      </w:r>
      <w:r w:rsidRPr="007A1F88">
        <w:rPr>
          <w:rFonts w:ascii="Arial" w:hAnsi="Arial" w:cs="Arial"/>
          <w:b/>
          <w:bCs/>
          <w:iCs/>
          <w:lang w:val="it-IT"/>
        </w:rPr>
        <w:t xml:space="preserve">l’acquisto di un immobile da destinare all’affitto </w:t>
      </w:r>
      <w:r w:rsidR="0080607D" w:rsidRPr="007A1F88">
        <w:rPr>
          <w:rFonts w:ascii="Arial" w:hAnsi="Arial" w:cs="Arial"/>
          <w:iCs/>
          <w:lang w:val="it-IT"/>
        </w:rPr>
        <w:t xml:space="preserve">e </w:t>
      </w:r>
      <w:r w:rsidRPr="007A1F88">
        <w:rPr>
          <w:rFonts w:ascii="Arial" w:hAnsi="Arial" w:cs="Arial"/>
          <w:b/>
          <w:bCs/>
          <w:iCs/>
          <w:lang w:val="it-IT"/>
        </w:rPr>
        <w:t>il 39% che le rendite da immobili garantiscano sempre un ritorno economico sicuro</w:t>
      </w:r>
      <w:r w:rsidR="0080607D" w:rsidRPr="007A1F88">
        <w:rPr>
          <w:rFonts w:ascii="Arial" w:hAnsi="Arial" w:cs="Arial"/>
          <w:b/>
          <w:bCs/>
          <w:iCs/>
          <w:lang w:val="it-IT"/>
        </w:rPr>
        <w:t>.</w:t>
      </w:r>
      <w:r w:rsidR="00EA3AC8" w:rsidRPr="007A1F88">
        <w:rPr>
          <w:rFonts w:ascii="Arial" w:hAnsi="Arial" w:cs="Arial"/>
          <w:b/>
          <w:bCs/>
          <w:iCs/>
          <w:lang w:val="it-IT"/>
        </w:rPr>
        <w:t xml:space="preserve"> </w:t>
      </w:r>
      <w:r w:rsidR="00EA3AC8" w:rsidRPr="007A1F88">
        <w:rPr>
          <w:rFonts w:ascii="Arial" w:hAnsi="Arial" w:cs="Arial"/>
          <w:iCs/>
          <w:lang w:val="it-IT"/>
        </w:rPr>
        <w:t xml:space="preserve">Fra gli italiani che possiedono case date in affitto, il 38% si dichiara soddisfatto della rendita </w:t>
      </w:r>
      <w:r w:rsidR="00334FC6">
        <w:rPr>
          <w:rFonts w:ascii="Arial" w:hAnsi="Arial" w:cs="Arial"/>
          <w:iCs/>
          <w:lang w:val="it-IT"/>
        </w:rPr>
        <w:t>percepita</w:t>
      </w:r>
      <w:r w:rsidR="00EA3AC8" w:rsidRPr="007A1F88">
        <w:rPr>
          <w:rFonts w:ascii="Arial" w:hAnsi="Arial" w:cs="Arial"/>
          <w:iCs/>
          <w:lang w:val="it-IT"/>
        </w:rPr>
        <w:t xml:space="preserve"> e il 31% </w:t>
      </w:r>
      <w:r w:rsidR="00334FC6">
        <w:rPr>
          <w:rFonts w:ascii="Arial" w:hAnsi="Arial" w:cs="Arial"/>
          <w:iCs/>
          <w:lang w:val="it-IT"/>
        </w:rPr>
        <w:t xml:space="preserve">è </w:t>
      </w:r>
      <w:r w:rsidR="00EA3AC8" w:rsidRPr="007A1F88">
        <w:rPr>
          <w:rFonts w:ascii="Arial" w:hAnsi="Arial" w:cs="Arial"/>
          <w:iCs/>
          <w:lang w:val="it-IT"/>
        </w:rPr>
        <w:t>molto soddisfatto.</w:t>
      </w:r>
    </w:p>
    <w:p w14:paraId="0404721B" w14:textId="77777777" w:rsidR="0080607D" w:rsidRPr="007A1F88" w:rsidRDefault="0080607D" w:rsidP="0080607D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</w:p>
    <w:p w14:paraId="46AE7A26" w14:textId="13CD85E0" w:rsidR="0080607D" w:rsidRPr="007A1F88" w:rsidRDefault="0080607D" w:rsidP="0080607D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7A1F88">
        <w:rPr>
          <w:rFonts w:ascii="Arial" w:hAnsi="Arial" w:cs="Arial"/>
          <w:iCs/>
          <w:lang w:val="it-IT"/>
        </w:rPr>
        <w:t xml:space="preserve">D’altra parte, </w:t>
      </w:r>
      <w:r w:rsidRPr="007A1F88">
        <w:rPr>
          <w:rFonts w:ascii="Arial" w:hAnsi="Arial" w:cs="Arial"/>
          <w:b/>
          <w:bCs/>
          <w:iCs/>
          <w:lang w:val="it-IT"/>
        </w:rPr>
        <w:t xml:space="preserve">secondo </w:t>
      </w:r>
      <w:r w:rsidR="008402CC" w:rsidRPr="007A1F88">
        <w:rPr>
          <w:rFonts w:ascii="Arial" w:hAnsi="Arial" w:cs="Arial"/>
          <w:b/>
          <w:bCs/>
          <w:iCs/>
          <w:lang w:val="it-IT"/>
        </w:rPr>
        <w:t xml:space="preserve">una </w:t>
      </w:r>
      <w:r w:rsidRPr="007A1F88">
        <w:rPr>
          <w:rFonts w:ascii="Arial" w:hAnsi="Arial" w:cs="Arial"/>
          <w:b/>
          <w:bCs/>
          <w:iCs/>
          <w:lang w:val="it-IT"/>
        </w:rPr>
        <w:t>fotografia di Banca d’Italia, il 53% della ricchezza netta di una famiglia media italiana è immobiliare abitativa</w:t>
      </w:r>
      <w:r w:rsidR="00510153" w:rsidRPr="007A1F88">
        <w:rPr>
          <w:rFonts w:ascii="Arial" w:hAnsi="Arial" w:cs="Arial"/>
          <w:iCs/>
          <w:lang w:val="it-IT"/>
        </w:rPr>
        <w:t xml:space="preserve">: </w:t>
      </w:r>
      <w:r w:rsidRPr="007A1F88">
        <w:rPr>
          <w:rFonts w:ascii="Arial" w:hAnsi="Arial" w:cs="Arial"/>
          <w:iCs/>
          <w:lang w:val="it-IT"/>
        </w:rPr>
        <w:t xml:space="preserve">il 70,5% degli italiani possiede la prima casa e il 13,5% </w:t>
      </w:r>
      <w:r w:rsidR="00510153" w:rsidRPr="007A1F88">
        <w:rPr>
          <w:rFonts w:ascii="Arial" w:hAnsi="Arial" w:cs="Arial"/>
          <w:iCs/>
          <w:lang w:val="it-IT"/>
        </w:rPr>
        <w:t xml:space="preserve">ne </w:t>
      </w:r>
      <w:r w:rsidRPr="007A1F88">
        <w:rPr>
          <w:rFonts w:ascii="Arial" w:hAnsi="Arial" w:cs="Arial"/>
          <w:iCs/>
          <w:lang w:val="it-IT"/>
        </w:rPr>
        <w:t xml:space="preserve">possiede almeno una seconda. </w:t>
      </w:r>
    </w:p>
    <w:p w14:paraId="1B4881FF" w14:textId="77777777" w:rsidR="00EA5076" w:rsidRPr="007A1F88" w:rsidRDefault="00EA5076" w:rsidP="0080607D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</w:p>
    <w:p w14:paraId="0F668CAA" w14:textId="6A14D583" w:rsidR="00694097" w:rsidRPr="007A1F88" w:rsidRDefault="00694097" w:rsidP="00694097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7A1F88">
        <w:rPr>
          <w:rFonts w:ascii="Arial" w:hAnsi="Arial" w:cs="Arial"/>
          <w:i/>
          <w:lang w:val="it-IT"/>
        </w:rPr>
        <w:t xml:space="preserve">“La casa molte volte è considerata come un salvagente </w:t>
      </w:r>
      <w:r w:rsidR="00334FC6">
        <w:rPr>
          <w:rFonts w:ascii="Arial" w:hAnsi="Arial" w:cs="Arial"/>
          <w:i/>
          <w:lang w:val="it-IT"/>
        </w:rPr>
        <w:t>in</w:t>
      </w:r>
      <w:r w:rsidRPr="007A1F88">
        <w:rPr>
          <w:rFonts w:ascii="Arial" w:hAnsi="Arial" w:cs="Arial"/>
          <w:i/>
          <w:lang w:val="it-IT"/>
        </w:rPr>
        <w:t xml:space="preserve"> caso </w:t>
      </w:r>
      <w:r w:rsidR="00334FC6">
        <w:rPr>
          <w:rFonts w:ascii="Arial" w:hAnsi="Arial" w:cs="Arial"/>
          <w:i/>
          <w:lang w:val="it-IT"/>
        </w:rPr>
        <w:t>di difficolt</w:t>
      </w:r>
      <w:r w:rsidR="00F22B24">
        <w:rPr>
          <w:rFonts w:ascii="Arial" w:hAnsi="Arial" w:cs="Arial"/>
          <w:i/>
          <w:lang w:val="it-IT"/>
        </w:rPr>
        <w:t xml:space="preserve">à, </w:t>
      </w:r>
      <w:r w:rsidRPr="007A1F88">
        <w:rPr>
          <w:rFonts w:ascii="Arial" w:hAnsi="Arial" w:cs="Arial"/>
          <w:i/>
          <w:lang w:val="it-IT"/>
        </w:rPr>
        <w:t>quind</w:t>
      </w:r>
      <w:r w:rsidR="00334FC6">
        <w:rPr>
          <w:rFonts w:ascii="Arial" w:hAnsi="Arial" w:cs="Arial"/>
          <w:i/>
          <w:lang w:val="it-IT"/>
        </w:rPr>
        <w:t>i</w:t>
      </w:r>
      <w:r w:rsidRPr="007A1F88">
        <w:rPr>
          <w:rFonts w:ascii="Arial" w:hAnsi="Arial" w:cs="Arial"/>
          <w:i/>
          <w:lang w:val="it-IT"/>
        </w:rPr>
        <w:t xml:space="preserve"> dovrebbe essere considerata un asset patrimoniale, non soltanto il luogo in cui si vive” – </w:t>
      </w:r>
      <w:r w:rsidRPr="007A1F88">
        <w:rPr>
          <w:rFonts w:ascii="Arial" w:hAnsi="Arial" w:cs="Arial"/>
          <w:iCs/>
          <w:lang w:val="it-IT"/>
        </w:rPr>
        <w:t>sottolinea</w:t>
      </w:r>
      <w:r w:rsidRPr="007A1F88">
        <w:rPr>
          <w:rFonts w:ascii="Arial" w:hAnsi="Arial" w:cs="Arial"/>
          <w:b/>
          <w:bCs/>
          <w:iCs/>
          <w:lang w:val="it-IT"/>
        </w:rPr>
        <w:t xml:space="preserve"> </w:t>
      </w:r>
      <w:r w:rsidR="00334FC6" w:rsidRPr="007A1F88">
        <w:rPr>
          <w:rFonts w:ascii="Arial" w:hAnsi="Arial" w:cs="Arial"/>
          <w:b/>
          <w:bCs/>
          <w:iCs/>
          <w:lang w:val="it-IT"/>
        </w:rPr>
        <w:t>Donato Savatteri, Head of Southern Europe di T. Rowe Price</w:t>
      </w:r>
      <w:r w:rsidR="00334FC6" w:rsidRPr="007A1F88">
        <w:rPr>
          <w:rFonts w:ascii="Arial" w:hAnsi="Arial" w:cs="Arial"/>
          <w:iCs/>
          <w:lang w:val="it-IT"/>
        </w:rPr>
        <w:t>.</w:t>
      </w:r>
    </w:p>
    <w:p w14:paraId="7496F1BE" w14:textId="77777777" w:rsidR="00694097" w:rsidRPr="007A1F88" w:rsidRDefault="00694097" w:rsidP="0080607D">
      <w:pPr>
        <w:spacing w:after="0" w:line="240" w:lineRule="auto"/>
        <w:jc w:val="both"/>
        <w:rPr>
          <w:rFonts w:ascii="Arial" w:hAnsi="Arial" w:cs="Arial"/>
          <w:b/>
          <w:bCs/>
          <w:iCs/>
          <w:lang w:val="it-IT"/>
        </w:rPr>
      </w:pPr>
    </w:p>
    <w:p w14:paraId="7A8DD597" w14:textId="7B889233" w:rsidR="0080607D" w:rsidRPr="007A1F88" w:rsidRDefault="0080607D" w:rsidP="0080607D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7A1F88">
        <w:rPr>
          <w:rFonts w:ascii="Arial" w:hAnsi="Arial" w:cs="Arial"/>
          <w:b/>
          <w:bCs/>
          <w:iCs/>
          <w:lang w:val="it-IT"/>
        </w:rPr>
        <w:t xml:space="preserve">La casa, che sia la propria abitazione o </w:t>
      </w:r>
      <w:r w:rsidR="005B21A1" w:rsidRPr="007A1F88">
        <w:rPr>
          <w:rFonts w:ascii="Arial" w:hAnsi="Arial" w:cs="Arial"/>
          <w:b/>
          <w:bCs/>
          <w:iCs/>
          <w:lang w:val="it-IT"/>
        </w:rPr>
        <w:t xml:space="preserve">che </w:t>
      </w:r>
      <w:r w:rsidR="00AA6265" w:rsidRPr="007A1F88">
        <w:rPr>
          <w:rFonts w:ascii="Arial" w:hAnsi="Arial" w:cs="Arial"/>
          <w:b/>
          <w:bCs/>
          <w:iCs/>
          <w:lang w:val="it-IT"/>
        </w:rPr>
        <w:t xml:space="preserve">venga </w:t>
      </w:r>
      <w:r w:rsidRPr="007A1F88">
        <w:rPr>
          <w:rFonts w:ascii="Arial" w:hAnsi="Arial" w:cs="Arial"/>
          <w:b/>
          <w:bCs/>
          <w:iCs/>
          <w:lang w:val="it-IT"/>
        </w:rPr>
        <w:t xml:space="preserve">messa a reddito, </w:t>
      </w:r>
      <w:r w:rsidR="00F22B24" w:rsidRPr="007A1F88">
        <w:rPr>
          <w:rFonts w:ascii="Arial" w:hAnsi="Arial" w:cs="Arial"/>
          <w:iCs/>
          <w:lang w:val="it-IT"/>
        </w:rPr>
        <w:t xml:space="preserve">non </w:t>
      </w:r>
      <w:r w:rsidRPr="007A1F88">
        <w:rPr>
          <w:rFonts w:ascii="Arial" w:hAnsi="Arial" w:cs="Arial"/>
          <w:b/>
          <w:bCs/>
          <w:iCs/>
          <w:lang w:val="it-IT"/>
        </w:rPr>
        <w:t>va infatti pensata</w:t>
      </w:r>
      <w:r w:rsidRPr="007A1F88">
        <w:rPr>
          <w:rFonts w:ascii="Arial" w:hAnsi="Arial" w:cs="Arial"/>
          <w:iCs/>
          <w:lang w:val="it-IT"/>
        </w:rPr>
        <w:t xml:space="preserve"> come </w:t>
      </w:r>
      <w:r w:rsidR="00FA6695" w:rsidRPr="007A1F88">
        <w:rPr>
          <w:rFonts w:ascii="Arial" w:hAnsi="Arial" w:cs="Arial"/>
          <w:iCs/>
          <w:lang w:val="it-IT"/>
        </w:rPr>
        <w:t>un bene a sé stante</w:t>
      </w:r>
      <w:r w:rsidR="00510153" w:rsidRPr="007A1F88">
        <w:rPr>
          <w:rFonts w:ascii="Arial" w:hAnsi="Arial" w:cs="Arial"/>
          <w:iCs/>
          <w:lang w:val="it-IT"/>
        </w:rPr>
        <w:t>,</w:t>
      </w:r>
      <w:r w:rsidR="00FA6695" w:rsidRPr="007A1F88">
        <w:rPr>
          <w:rFonts w:ascii="Arial" w:hAnsi="Arial" w:cs="Arial"/>
          <w:iCs/>
          <w:lang w:val="it-IT"/>
        </w:rPr>
        <w:t xml:space="preserve"> </w:t>
      </w:r>
      <w:r w:rsidRPr="007A1F88">
        <w:rPr>
          <w:rFonts w:ascii="Arial" w:hAnsi="Arial" w:cs="Arial"/>
          <w:iCs/>
          <w:lang w:val="it-IT"/>
        </w:rPr>
        <w:t xml:space="preserve">ma </w:t>
      </w:r>
      <w:r w:rsidR="00FA6695" w:rsidRPr="007A1F88">
        <w:rPr>
          <w:rFonts w:ascii="Arial" w:hAnsi="Arial" w:cs="Arial"/>
          <w:b/>
          <w:bCs/>
          <w:iCs/>
          <w:lang w:val="it-IT"/>
        </w:rPr>
        <w:t>come parte di un patrimonio finanziario</w:t>
      </w:r>
      <w:r w:rsidRPr="007A1F88">
        <w:rPr>
          <w:rFonts w:ascii="Arial" w:hAnsi="Arial" w:cs="Arial"/>
          <w:iCs/>
          <w:lang w:val="it-IT"/>
        </w:rPr>
        <w:t>.</w:t>
      </w:r>
      <w:r w:rsidR="00FA6695" w:rsidRPr="007A1F88">
        <w:rPr>
          <w:rFonts w:ascii="Arial" w:hAnsi="Arial" w:cs="Arial"/>
          <w:iCs/>
          <w:lang w:val="it-IT"/>
        </w:rPr>
        <w:t xml:space="preserve"> </w:t>
      </w:r>
      <w:r w:rsidR="00694097" w:rsidRPr="007A1F88">
        <w:rPr>
          <w:rFonts w:ascii="Arial" w:hAnsi="Arial" w:cs="Arial"/>
          <w:iCs/>
          <w:lang w:val="it-IT"/>
        </w:rPr>
        <w:t>Questo discorso vale anche per la prima casa, dato che</w:t>
      </w:r>
      <w:r w:rsidR="00FA6695" w:rsidRPr="007A1F88">
        <w:rPr>
          <w:rFonts w:ascii="Arial" w:hAnsi="Arial" w:cs="Arial"/>
          <w:iCs/>
          <w:lang w:val="it-IT"/>
        </w:rPr>
        <w:t xml:space="preserve"> </w:t>
      </w:r>
      <w:r w:rsidR="00694097" w:rsidRPr="007A1F88">
        <w:rPr>
          <w:rFonts w:ascii="Arial" w:hAnsi="Arial" w:cs="Arial"/>
          <w:iCs/>
          <w:lang w:val="it-IT"/>
        </w:rPr>
        <w:t xml:space="preserve">il suo acquisto ha implicato </w:t>
      </w:r>
      <w:r w:rsidRPr="007A1F88">
        <w:rPr>
          <w:rFonts w:ascii="Arial" w:hAnsi="Arial" w:cs="Arial"/>
          <w:iCs/>
          <w:lang w:val="it-IT"/>
        </w:rPr>
        <w:t>un</w:t>
      </w:r>
      <w:r w:rsidR="00FA6695" w:rsidRPr="007A1F88">
        <w:rPr>
          <w:rFonts w:ascii="Arial" w:hAnsi="Arial" w:cs="Arial"/>
          <w:iCs/>
          <w:lang w:val="it-IT"/>
        </w:rPr>
        <w:t xml:space="preserve"> trasferimento ed una immobilizzazione di denaro</w:t>
      </w:r>
      <w:r w:rsidR="008C15E7" w:rsidRPr="007A1F88">
        <w:rPr>
          <w:rFonts w:ascii="Arial" w:hAnsi="Arial" w:cs="Arial"/>
          <w:iCs/>
          <w:lang w:val="it-IT"/>
        </w:rPr>
        <w:t xml:space="preserve">, quindi implicitamente una scelta di investimento di lungo periodo. </w:t>
      </w:r>
    </w:p>
    <w:p w14:paraId="4717837C" w14:textId="77777777" w:rsidR="00FA1490" w:rsidRPr="007A1F88" w:rsidRDefault="00FA1490" w:rsidP="0080607D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</w:p>
    <w:p w14:paraId="232FDDFD" w14:textId="77777777" w:rsidR="00952994" w:rsidRDefault="00AA6265" w:rsidP="006C03F8">
      <w:pPr>
        <w:spacing w:after="0" w:line="240" w:lineRule="auto"/>
        <w:jc w:val="both"/>
        <w:rPr>
          <w:rFonts w:ascii="Arial" w:hAnsi="Arial" w:cs="Arial"/>
          <w:b/>
          <w:bCs/>
          <w:iCs/>
          <w:lang w:val="it-IT"/>
        </w:rPr>
      </w:pPr>
      <w:r w:rsidRPr="007A1F88">
        <w:rPr>
          <w:rFonts w:ascii="Arial" w:hAnsi="Arial" w:cs="Arial"/>
          <w:iCs/>
          <w:lang w:val="it-IT"/>
        </w:rPr>
        <w:t>Da</w:t>
      </w:r>
      <w:r w:rsidR="008402CC" w:rsidRPr="007A1F88">
        <w:rPr>
          <w:rFonts w:ascii="Arial" w:hAnsi="Arial" w:cs="Arial"/>
          <w:iCs/>
          <w:lang w:val="it-IT"/>
        </w:rPr>
        <w:t>lla ricerca</w:t>
      </w:r>
      <w:r w:rsidR="00694097" w:rsidRPr="007A1F88">
        <w:rPr>
          <w:rFonts w:ascii="Arial" w:hAnsi="Arial" w:cs="Arial"/>
          <w:iCs/>
          <w:lang w:val="it-IT"/>
        </w:rPr>
        <w:t xml:space="preserve"> </w:t>
      </w:r>
      <w:r w:rsidR="008402CC" w:rsidRPr="007A1F88">
        <w:rPr>
          <w:rFonts w:ascii="Arial" w:hAnsi="Arial" w:cs="Arial"/>
          <w:iCs/>
          <w:lang w:val="it-IT"/>
        </w:rPr>
        <w:t>emerge che</w:t>
      </w:r>
      <w:r w:rsidR="005C6F93" w:rsidRPr="007A1F88">
        <w:rPr>
          <w:rFonts w:ascii="Arial" w:hAnsi="Arial" w:cs="Arial"/>
          <w:iCs/>
          <w:lang w:val="it-IT"/>
        </w:rPr>
        <w:t xml:space="preserve"> il 56% di chi acquista un immobile intende utilizzarlo come prima casa. Ma </w:t>
      </w:r>
      <w:r w:rsidR="008402CC" w:rsidRPr="007A1F88">
        <w:rPr>
          <w:rFonts w:ascii="Arial" w:hAnsi="Arial" w:cs="Arial"/>
          <w:b/>
          <w:bCs/>
          <w:iCs/>
          <w:lang w:val="it-IT"/>
        </w:rPr>
        <w:t xml:space="preserve">chi ha intenzione di acquistare una casa per </w:t>
      </w:r>
      <w:r w:rsidR="00C30EED" w:rsidRPr="007A1F88">
        <w:rPr>
          <w:rFonts w:ascii="Arial" w:hAnsi="Arial" w:cs="Arial"/>
          <w:b/>
          <w:bCs/>
          <w:iCs/>
          <w:lang w:val="it-IT"/>
        </w:rPr>
        <w:t>investimento, da</w:t>
      </w:r>
      <w:r w:rsidR="008402CC" w:rsidRPr="007A1F88">
        <w:rPr>
          <w:rFonts w:ascii="Arial" w:hAnsi="Arial" w:cs="Arial"/>
          <w:b/>
          <w:bCs/>
          <w:iCs/>
          <w:lang w:val="it-IT"/>
        </w:rPr>
        <w:t xml:space="preserve"> affittare a terzi</w:t>
      </w:r>
      <w:r w:rsidR="00EA5076" w:rsidRPr="007A1F88">
        <w:rPr>
          <w:rFonts w:ascii="Arial" w:hAnsi="Arial" w:cs="Arial"/>
          <w:b/>
          <w:bCs/>
          <w:iCs/>
          <w:lang w:val="it-IT"/>
        </w:rPr>
        <w:t>,</w:t>
      </w:r>
      <w:r w:rsidR="008402CC" w:rsidRPr="007A1F88">
        <w:rPr>
          <w:rFonts w:ascii="Arial" w:hAnsi="Arial" w:cs="Arial"/>
          <w:b/>
          <w:bCs/>
          <w:iCs/>
          <w:lang w:val="it-IT"/>
        </w:rPr>
        <w:t xml:space="preserve"> </w:t>
      </w:r>
      <w:r w:rsidRPr="007A1F88">
        <w:rPr>
          <w:rFonts w:ascii="Arial" w:hAnsi="Arial" w:cs="Arial"/>
          <w:b/>
          <w:bCs/>
          <w:iCs/>
          <w:lang w:val="it-IT"/>
        </w:rPr>
        <w:t>lo fa soprattutto per</w:t>
      </w:r>
      <w:r w:rsidR="008402CC" w:rsidRPr="007A1F88">
        <w:rPr>
          <w:rFonts w:ascii="Arial" w:hAnsi="Arial" w:cs="Arial"/>
          <w:b/>
          <w:bCs/>
          <w:iCs/>
          <w:lang w:val="it-IT"/>
        </w:rPr>
        <w:t xml:space="preserve"> percepire un reddito aggiuntivo</w:t>
      </w:r>
      <w:r w:rsidR="008402CC" w:rsidRPr="007A1F88">
        <w:rPr>
          <w:rFonts w:ascii="Arial" w:hAnsi="Arial" w:cs="Arial"/>
          <w:iCs/>
          <w:lang w:val="it-IT"/>
        </w:rPr>
        <w:t>, ovvero un</w:t>
      </w:r>
      <w:r w:rsidR="00694097" w:rsidRPr="007A1F88">
        <w:rPr>
          <w:rFonts w:ascii="Arial" w:hAnsi="Arial" w:cs="Arial"/>
          <w:iCs/>
          <w:lang w:val="it-IT"/>
        </w:rPr>
        <w:t>’</w:t>
      </w:r>
      <w:r w:rsidR="008402CC" w:rsidRPr="007A1F88">
        <w:rPr>
          <w:rFonts w:ascii="Arial" w:hAnsi="Arial" w:cs="Arial"/>
          <w:iCs/>
          <w:lang w:val="it-IT"/>
        </w:rPr>
        <w:t xml:space="preserve">entrata </w:t>
      </w:r>
      <w:r w:rsidR="00C30EED" w:rsidRPr="007A1F88">
        <w:rPr>
          <w:rFonts w:ascii="Arial" w:hAnsi="Arial" w:cs="Arial"/>
          <w:iCs/>
          <w:lang w:val="it-IT"/>
        </w:rPr>
        <w:t>economica</w:t>
      </w:r>
      <w:r w:rsidR="008402CC" w:rsidRPr="007A1F88">
        <w:rPr>
          <w:rFonts w:ascii="Arial" w:hAnsi="Arial" w:cs="Arial"/>
          <w:iCs/>
          <w:lang w:val="it-IT"/>
        </w:rPr>
        <w:t xml:space="preserve"> sicura ogni mese. </w:t>
      </w:r>
      <w:r w:rsidR="008402CC" w:rsidRPr="007A1F88">
        <w:rPr>
          <w:rFonts w:ascii="Arial" w:hAnsi="Arial" w:cs="Arial"/>
          <w:b/>
          <w:bCs/>
          <w:iCs/>
          <w:lang w:val="it-IT"/>
        </w:rPr>
        <w:t xml:space="preserve">Più di </w:t>
      </w:r>
      <w:r w:rsidR="00694097" w:rsidRPr="007A1F88">
        <w:rPr>
          <w:rFonts w:ascii="Arial" w:hAnsi="Arial" w:cs="Arial"/>
          <w:b/>
          <w:bCs/>
          <w:iCs/>
          <w:lang w:val="it-IT"/>
        </w:rPr>
        <w:t>sei</w:t>
      </w:r>
      <w:r w:rsidR="008402CC" w:rsidRPr="007A1F88">
        <w:rPr>
          <w:rFonts w:ascii="Arial" w:hAnsi="Arial" w:cs="Arial"/>
          <w:b/>
          <w:bCs/>
          <w:iCs/>
          <w:lang w:val="it-IT"/>
        </w:rPr>
        <w:t xml:space="preserve"> italiani su dieci </w:t>
      </w:r>
      <w:r w:rsidR="005C6F93" w:rsidRPr="007A1F88">
        <w:rPr>
          <w:rFonts w:ascii="Arial" w:hAnsi="Arial" w:cs="Arial"/>
          <w:b/>
          <w:bCs/>
          <w:iCs/>
          <w:lang w:val="it-IT"/>
        </w:rPr>
        <w:t xml:space="preserve">che hanno intenzione di acquistare un immobile per investimento </w:t>
      </w:r>
      <w:r w:rsidR="008402CC" w:rsidRPr="007A1F88">
        <w:rPr>
          <w:rFonts w:ascii="Arial" w:hAnsi="Arial" w:cs="Arial"/>
          <w:b/>
          <w:bCs/>
          <w:iCs/>
          <w:lang w:val="it-IT"/>
        </w:rPr>
        <w:t>sono inoltre fiduciosi di riuscire a recuperare il capitale iniziale investito</w:t>
      </w:r>
      <w:r w:rsidR="005C6F93" w:rsidRPr="007A1F88">
        <w:rPr>
          <w:rFonts w:ascii="Arial" w:hAnsi="Arial" w:cs="Arial"/>
          <w:b/>
          <w:bCs/>
          <w:iCs/>
          <w:lang w:val="it-IT"/>
        </w:rPr>
        <w:t>.</w:t>
      </w:r>
      <w:r w:rsidR="00952994">
        <w:rPr>
          <w:rFonts w:ascii="Arial" w:hAnsi="Arial" w:cs="Arial"/>
          <w:b/>
          <w:bCs/>
          <w:iCs/>
          <w:lang w:val="it-IT"/>
        </w:rPr>
        <w:t xml:space="preserve"> </w:t>
      </w:r>
    </w:p>
    <w:p w14:paraId="5C952DCA" w14:textId="0AAB7E24" w:rsidR="00FA1490" w:rsidRPr="007A1F88" w:rsidRDefault="008402CC" w:rsidP="00D11660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7A1F88">
        <w:rPr>
          <w:rFonts w:ascii="Arial" w:hAnsi="Arial" w:cs="Arial"/>
          <w:iCs/>
          <w:lang w:val="it-IT"/>
        </w:rPr>
        <w:lastRenderedPageBreak/>
        <w:t xml:space="preserve">Ma è sempre così? </w:t>
      </w:r>
      <w:r w:rsidR="005B21A1" w:rsidRPr="007A1F88">
        <w:rPr>
          <w:rFonts w:ascii="Arial" w:hAnsi="Arial" w:cs="Arial"/>
          <w:iCs/>
          <w:lang w:val="it-IT"/>
        </w:rPr>
        <w:t xml:space="preserve">Un immobile, che sia prima o seconda casa, è esposto a </w:t>
      </w:r>
      <w:r w:rsidR="00FA1490" w:rsidRPr="007A1F88">
        <w:rPr>
          <w:rFonts w:ascii="Arial" w:hAnsi="Arial" w:cs="Arial"/>
          <w:b/>
          <w:bCs/>
          <w:iCs/>
          <w:lang w:val="it-IT"/>
        </w:rPr>
        <w:t xml:space="preserve">rischi e </w:t>
      </w:r>
      <w:r w:rsidR="005B21A1" w:rsidRPr="007A1F88">
        <w:rPr>
          <w:rFonts w:ascii="Arial" w:hAnsi="Arial" w:cs="Arial"/>
          <w:b/>
          <w:bCs/>
          <w:iCs/>
          <w:lang w:val="it-IT"/>
        </w:rPr>
        <w:t>a</w:t>
      </w:r>
      <w:r w:rsidR="00FA1490" w:rsidRPr="007A1F88">
        <w:rPr>
          <w:rFonts w:ascii="Arial" w:hAnsi="Arial" w:cs="Arial"/>
          <w:b/>
          <w:bCs/>
          <w:iCs/>
          <w:lang w:val="it-IT"/>
        </w:rPr>
        <w:t xml:space="preserve"> </w:t>
      </w:r>
      <w:r w:rsidR="00FA6695" w:rsidRPr="007A1F88">
        <w:rPr>
          <w:rFonts w:ascii="Arial" w:hAnsi="Arial" w:cs="Arial"/>
          <w:b/>
          <w:bCs/>
          <w:iCs/>
          <w:lang w:val="it-IT"/>
        </w:rPr>
        <w:t xml:space="preserve">costi </w:t>
      </w:r>
      <w:r w:rsidR="00FA1490" w:rsidRPr="007A1F88">
        <w:rPr>
          <w:rFonts w:ascii="Arial" w:hAnsi="Arial" w:cs="Arial"/>
          <w:b/>
          <w:bCs/>
          <w:iCs/>
          <w:lang w:val="it-IT"/>
        </w:rPr>
        <w:t>da non sottovalutare</w:t>
      </w:r>
      <w:r w:rsidR="00AA6265" w:rsidRPr="007A1F88">
        <w:rPr>
          <w:rFonts w:ascii="Arial" w:hAnsi="Arial" w:cs="Arial"/>
          <w:b/>
          <w:bCs/>
          <w:iCs/>
          <w:lang w:val="it-IT"/>
        </w:rPr>
        <w:t>:</w:t>
      </w:r>
      <w:r w:rsidR="00AA6265" w:rsidRPr="007A1F88">
        <w:rPr>
          <w:rFonts w:ascii="Arial" w:hAnsi="Arial" w:cs="Arial"/>
          <w:iCs/>
          <w:lang w:val="it-IT"/>
        </w:rPr>
        <w:t xml:space="preserve"> </w:t>
      </w:r>
      <w:r w:rsidR="005B21A1" w:rsidRPr="007A1F88">
        <w:rPr>
          <w:rFonts w:ascii="Arial" w:hAnsi="Arial" w:cs="Arial"/>
          <w:iCs/>
          <w:lang w:val="it-IT"/>
        </w:rPr>
        <w:t xml:space="preserve">l’introduzione di </w:t>
      </w:r>
      <w:r w:rsidR="00FA1490" w:rsidRPr="007A1F88">
        <w:rPr>
          <w:rFonts w:ascii="Arial" w:hAnsi="Arial" w:cs="Arial"/>
          <w:b/>
          <w:bCs/>
          <w:iCs/>
          <w:lang w:val="it-IT"/>
        </w:rPr>
        <w:t>nuove leggi e regolamenti</w:t>
      </w:r>
      <w:r w:rsidR="00FA1490" w:rsidRPr="007A1F88">
        <w:rPr>
          <w:rFonts w:ascii="Arial" w:hAnsi="Arial" w:cs="Arial"/>
          <w:iCs/>
          <w:lang w:val="it-IT"/>
        </w:rPr>
        <w:t xml:space="preserve"> come avvenuto</w:t>
      </w:r>
      <w:r w:rsidR="00AA6265" w:rsidRPr="007A1F88">
        <w:rPr>
          <w:rFonts w:ascii="Arial" w:hAnsi="Arial" w:cs="Arial"/>
          <w:iCs/>
          <w:lang w:val="it-IT"/>
        </w:rPr>
        <w:t>,</w:t>
      </w:r>
      <w:r w:rsidR="00FA1490" w:rsidRPr="007A1F88">
        <w:rPr>
          <w:rFonts w:ascii="Arial" w:hAnsi="Arial" w:cs="Arial"/>
          <w:iCs/>
          <w:lang w:val="it-IT"/>
        </w:rPr>
        <w:t xml:space="preserve"> per esempio</w:t>
      </w:r>
      <w:r w:rsidR="00AA6265" w:rsidRPr="007A1F88">
        <w:rPr>
          <w:rFonts w:ascii="Arial" w:hAnsi="Arial" w:cs="Arial"/>
          <w:iCs/>
          <w:lang w:val="it-IT"/>
        </w:rPr>
        <w:t>,</w:t>
      </w:r>
      <w:r w:rsidR="00FA1490" w:rsidRPr="007A1F88">
        <w:rPr>
          <w:rFonts w:ascii="Arial" w:hAnsi="Arial" w:cs="Arial"/>
          <w:iCs/>
          <w:lang w:val="it-IT"/>
        </w:rPr>
        <w:t xml:space="preserve"> con le norme contro lo spopolamento dei centri storici </w:t>
      </w:r>
      <w:r w:rsidR="00773F9B" w:rsidRPr="007A1F88">
        <w:rPr>
          <w:rFonts w:ascii="Arial" w:hAnsi="Arial" w:cs="Arial"/>
          <w:iCs/>
          <w:lang w:val="it-IT"/>
        </w:rPr>
        <w:t xml:space="preserve">a Parigi </w:t>
      </w:r>
      <w:r w:rsidR="00FA1490" w:rsidRPr="007A1F88">
        <w:rPr>
          <w:rFonts w:ascii="Arial" w:hAnsi="Arial" w:cs="Arial"/>
          <w:iCs/>
          <w:lang w:val="it-IT"/>
        </w:rPr>
        <w:t xml:space="preserve">per scoraggiare gli affitti brevi. Da non trascurare, inoltre, il rischio che venga reintrodotta la </w:t>
      </w:r>
      <w:r w:rsidR="00FA1490" w:rsidRPr="007A1F88">
        <w:rPr>
          <w:rFonts w:ascii="Arial" w:hAnsi="Arial" w:cs="Arial"/>
          <w:b/>
          <w:bCs/>
          <w:iCs/>
          <w:lang w:val="it-IT"/>
        </w:rPr>
        <w:t>tassa di successione</w:t>
      </w:r>
      <w:r w:rsidR="00FA1490" w:rsidRPr="007A1F88">
        <w:rPr>
          <w:rFonts w:ascii="Arial" w:hAnsi="Arial" w:cs="Arial"/>
          <w:iCs/>
          <w:lang w:val="it-IT"/>
        </w:rPr>
        <w:t xml:space="preserve"> anche in Italia, come </w:t>
      </w:r>
      <w:r w:rsidR="005B21A1" w:rsidRPr="007A1F88">
        <w:rPr>
          <w:rFonts w:ascii="Arial" w:hAnsi="Arial" w:cs="Arial"/>
          <w:iCs/>
          <w:lang w:val="it-IT"/>
        </w:rPr>
        <w:t xml:space="preserve">attualmente </w:t>
      </w:r>
      <w:r w:rsidR="00FA1490" w:rsidRPr="007A1F88">
        <w:rPr>
          <w:rFonts w:ascii="Arial" w:hAnsi="Arial" w:cs="Arial"/>
          <w:iCs/>
          <w:lang w:val="it-IT"/>
        </w:rPr>
        <w:t xml:space="preserve">in vigore </w:t>
      </w:r>
      <w:r w:rsidR="005B21A1" w:rsidRPr="007A1F88">
        <w:rPr>
          <w:rFonts w:ascii="Arial" w:hAnsi="Arial" w:cs="Arial"/>
          <w:iCs/>
          <w:lang w:val="it-IT"/>
        </w:rPr>
        <w:t>in altri</w:t>
      </w:r>
      <w:r w:rsidR="00FA1490" w:rsidRPr="007A1F88">
        <w:rPr>
          <w:rFonts w:ascii="Arial" w:hAnsi="Arial" w:cs="Arial"/>
          <w:iCs/>
          <w:lang w:val="it-IT"/>
        </w:rPr>
        <w:t xml:space="preserve"> paesi europei. L’immobiliare resta, infine, un investimento </w:t>
      </w:r>
      <w:r w:rsidR="00FA1490" w:rsidRPr="007A1F88">
        <w:rPr>
          <w:rFonts w:ascii="Arial" w:hAnsi="Arial" w:cs="Arial"/>
          <w:b/>
          <w:bCs/>
          <w:iCs/>
          <w:lang w:val="it-IT"/>
        </w:rPr>
        <w:t>non immediatamente liquidabile</w:t>
      </w:r>
      <w:r w:rsidR="00302FD3" w:rsidRPr="007A1F88">
        <w:rPr>
          <w:rFonts w:ascii="Arial" w:hAnsi="Arial" w:cs="Arial"/>
          <w:iCs/>
          <w:lang w:val="it-IT"/>
        </w:rPr>
        <w:t xml:space="preserve"> </w:t>
      </w:r>
      <w:r w:rsidR="00D32A07" w:rsidRPr="007A1F88">
        <w:rPr>
          <w:rFonts w:ascii="Arial" w:hAnsi="Arial" w:cs="Arial"/>
          <w:iCs/>
          <w:lang w:val="it-IT"/>
        </w:rPr>
        <w:t xml:space="preserve">– per il 41% del campione ci vogliono </w:t>
      </w:r>
      <w:r w:rsidR="00E43B80" w:rsidRPr="007A1F88">
        <w:rPr>
          <w:rFonts w:ascii="Arial" w:hAnsi="Arial" w:cs="Arial"/>
          <w:iCs/>
          <w:lang w:val="it-IT"/>
        </w:rPr>
        <w:t>più di</w:t>
      </w:r>
      <w:r w:rsidR="00D32A07" w:rsidRPr="007A1F88">
        <w:rPr>
          <w:rFonts w:ascii="Arial" w:hAnsi="Arial" w:cs="Arial"/>
          <w:iCs/>
          <w:lang w:val="it-IT"/>
        </w:rPr>
        <w:t xml:space="preserve"> 6 mesi per vendere </w:t>
      </w:r>
      <w:r w:rsidR="007A1F88" w:rsidRPr="007A1F88">
        <w:rPr>
          <w:rFonts w:ascii="Arial" w:hAnsi="Arial" w:cs="Arial"/>
          <w:iCs/>
          <w:lang w:val="it-IT"/>
        </w:rPr>
        <w:t>–</w:t>
      </w:r>
      <w:r w:rsidR="00E43B80" w:rsidRPr="007A1F88">
        <w:rPr>
          <w:rFonts w:ascii="Arial" w:hAnsi="Arial" w:cs="Arial"/>
          <w:iCs/>
          <w:lang w:val="it-IT"/>
        </w:rPr>
        <w:t xml:space="preserve"> oltre</w:t>
      </w:r>
      <w:r w:rsidR="00D32A07" w:rsidRPr="007A1F88">
        <w:rPr>
          <w:rFonts w:ascii="Arial" w:hAnsi="Arial" w:cs="Arial"/>
          <w:iCs/>
          <w:lang w:val="it-IT"/>
        </w:rPr>
        <w:t xml:space="preserve"> ad essere </w:t>
      </w:r>
      <w:r w:rsidR="00302FD3" w:rsidRPr="007A1F88">
        <w:rPr>
          <w:rFonts w:ascii="Arial" w:hAnsi="Arial" w:cs="Arial"/>
          <w:iCs/>
          <w:lang w:val="it-IT"/>
        </w:rPr>
        <w:t xml:space="preserve">esposto al </w:t>
      </w:r>
      <w:r w:rsidR="00302FD3" w:rsidRPr="007A1F88">
        <w:rPr>
          <w:rFonts w:ascii="Arial" w:hAnsi="Arial" w:cs="Arial"/>
          <w:b/>
          <w:bCs/>
          <w:iCs/>
          <w:lang w:val="it-IT"/>
        </w:rPr>
        <w:t xml:space="preserve">rischio </w:t>
      </w:r>
      <w:r w:rsidR="00AA6265" w:rsidRPr="007A1F88">
        <w:rPr>
          <w:rFonts w:ascii="Arial" w:hAnsi="Arial" w:cs="Arial"/>
          <w:b/>
          <w:bCs/>
          <w:iCs/>
          <w:lang w:val="it-IT"/>
        </w:rPr>
        <w:t xml:space="preserve">dei </w:t>
      </w:r>
      <w:r w:rsidR="00302FD3" w:rsidRPr="007A1F88">
        <w:rPr>
          <w:rFonts w:ascii="Arial" w:hAnsi="Arial" w:cs="Arial"/>
          <w:b/>
          <w:bCs/>
          <w:iCs/>
          <w:lang w:val="it-IT"/>
        </w:rPr>
        <w:t>tassi di interesse</w:t>
      </w:r>
      <w:r w:rsidR="00302FD3" w:rsidRPr="007A1F88">
        <w:rPr>
          <w:rFonts w:ascii="Arial" w:hAnsi="Arial" w:cs="Arial"/>
          <w:iCs/>
          <w:lang w:val="it-IT"/>
        </w:rPr>
        <w:t xml:space="preserve"> se </w:t>
      </w:r>
      <w:r w:rsidR="00F22B24">
        <w:rPr>
          <w:rFonts w:ascii="Arial" w:hAnsi="Arial" w:cs="Arial"/>
          <w:iCs/>
          <w:lang w:val="it-IT"/>
        </w:rPr>
        <w:t xml:space="preserve">l’acquisto è effettuato grazie a </w:t>
      </w:r>
      <w:r w:rsidR="00302FD3" w:rsidRPr="007A1F88">
        <w:rPr>
          <w:rFonts w:ascii="Arial" w:hAnsi="Arial" w:cs="Arial"/>
          <w:iCs/>
          <w:lang w:val="it-IT"/>
        </w:rPr>
        <w:t>un mutuo.</w:t>
      </w:r>
    </w:p>
    <w:p w14:paraId="32A21892" w14:textId="77777777" w:rsidR="00D80AE4" w:rsidRPr="007A1F88" w:rsidRDefault="00D80AE4" w:rsidP="00D11660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</w:p>
    <w:p w14:paraId="756A0078" w14:textId="0F4AA707" w:rsidR="00D80AE4" w:rsidRPr="007A1F88" w:rsidRDefault="00D80AE4" w:rsidP="00D11660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7A1F88">
        <w:rPr>
          <w:rFonts w:ascii="Arial" w:hAnsi="Arial" w:cs="Arial"/>
          <w:iCs/>
          <w:lang w:val="it-IT"/>
        </w:rPr>
        <w:t xml:space="preserve">Per un immobile di proprietà oltre ai tempi di liquidazione c’è il </w:t>
      </w:r>
      <w:r w:rsidRPr="007A1F88">
        <w:rPr>
          <w:rFonts w:ascii="Arial" w:hAnsi="Arial" w:cs="Arial"/>
          <w:b/>
          <w:bCs/>
          <w:iCs/>
          <w:lang w:val="it-IT"/>
        </w:rPr>
        <w:t>problema della valutazione, che avviene solo al momento della compravendita</w:t>
      </w:r>
      <w:r w:rsidRPr="007A1F88">
        <w:rPr>
          <w:rFonts w:ascii="Arial" w:hAnsi="Arial" w:cs="Arial"/>
          <w:iCs/>
          <w:lang w:val="it-IT"/>
        </w:rPr>
        <w:t xml:space="preserve">, e una serie di </w:t>
      </w:r>
      <w:r w:rsidRPr="007A1F88">
        <w:rPr>
          <w:rFonts w:ascii="Arial" w:hAnsi="Arial" w:cs="Arial"/>
          <w:b/>
          <w:bCs/>
          <w:iCs/>
          <w:lang w:val="it-IT"/>
        </w:rPr>
        <w:t>costi in acquisto</w:t>
      </w:r>
      <w:r w:rsidRPr="007A1F88">
        <w:rPr>
          <w:rFonts w:ascii="Arial" w:hAnsi="Arial" w:cs="Arial"/>
          <w:iCs/>
          <w:lang w:val="it-IT"/>
        </w:rPr>
        <w:t xml:space="preserve"> che vanno dalla tassazione (IMU seconda casa) all’imposta di registro</w:t>
      </w:r>
      <w:r w:rsidR="00D51728">
        <w:rPr>
          <w:rFonts w:ascii="Arial" w:hAnsi="Arial" w:cs="Arial"/>
          <w:iCs/>
          <w:lang w:val="it-IT"/>
        </w:rPr>
        <w:t>,</w:t>
      </w:r>
      <w:r w:rsidRPr="007A1F88">
        <w:rPr>
          <w:rFonts w:ascii="Arial" w:hAnsi="Arial" w:cs="Arial"/>
          <w:iCs/>
          <w:lang w:val="it-IT"/>
        </w:rPr>
        <w:t xml:space="preserve"> </w:t>
      </w:r>
      <w:r w:rsidR="00EA5076" w:rsidRPr="007A1F88">
        <w:rPr>
          <w:rFonts w:ascii="Arial" w:hAnsi="Arial" w:cs="Arial"/>
          <w:iCs/>
          <w:lang w:val="it-IT"/>
        </w:rPr>
        <w:t xml:space="preserve">fino </w:t>
      </w:r>
      <w:r w:rsidRPr="007A1F88">
        <w:rPr>
          <w:rFonts w:ascii="Arial" w:hAnsi="Arial" w:cs="Arial"/>
          <w:iCs/>
          <w:lang w:val="it-IT"/>
        </w:rPr>
        <w:t>ai costi di intermediazione e notarili.</w:t>
      </w:r>
      <w:r w:rsidR="00EA5076" w:rsidRPr="007A1F88">
        <w:rPr>
          <w:rFonts w:ascii="Arial" w:hAnsi="Arial" w:cs="Arial"/>
          <w:iCs/>
          <w:lang w:val="it-IT"/>
        </w:rPr>
        <w:t xml:space="preserve"> </w:t>
      </w:r>
      <w:r w:rsidRPr="007A1F88">
        <w:rPr>
          <w:rFonts w:ascii="Arial" w:hAnsi="Arial" w:cs="Arial"/>
          <w:iCs/>
          <w:lang w:val="it-IT"/>
        </w:rPr>
        <w:t xml:space="preserve">Sulla locazione gravano, oltre ai </w:t>
      </w:r>
      <w:r w:rsidRPr="007A1F88">
        <w:rPr>
          <w:rFonts w:ascii="Arial" w:hAnsi="Arial" w:cs="Arial"/>
          <w:b/>
          <w:bCs/>
          <w:iCs/>
          <w:lang w:val="it-IT"/>
        </w:rPr>
        <w:t xml:space="preserve">costi di intermediazione, </w:t>
      </w:r>
      <w:r w:rsidR="00EA5076" w:rsidRPr="007A1F88">
        <w:rPr>
          <w:rFonts w:ascii="Arial" w:hAnsi="Arial" w:cs="Arial"/>
          <w:b/>
          <w:bCs/>
          <w:iCs/>
          <w:lang w:val="it-IT"/>
        </w:rPr>
        <w:t>i rischi legati al</w:t>
      </w:r>
      <w:r w:rsidRPr="007A1F88">
        <w:rPr>
          <w:rFonts w:ascii="Arial" w:hAnsi="Arial" w:cs="Arial"/>
          <w:b/>
          <w:bCs/>
          <w:iCs/>
          <w:lang w:val="it-IT"/>
        </w:rPr>
        <w:t>l’elevata morosità</w:t>
      </w:r>
      <w:r w:rsidRPr="007A1F88">
        <w:rPr>
          <w:rFonts w:ascii="Arial" w:hAnsi="Arial" w:cs="Arial"/>
          <w:iCs/>
          <w:lang w:val="it-IT"/>
        </w:rPr>
        <w:t xml:space="preserve"> (ogni anno il 50% delle locazioni non viene onorato con regolarità) e </w:t>
      </w:r>
      <w:r w:rsidR="00EA5076" w:rsidRPr="007A1F88">
        <w:rPr>
          <w:rFonts w:ascii="Arial" w:hAnsi="Arial" w:cs="Arial"/>
          <w:b/>
          <w:bCs/>
          <w:iCs/>
          <w:lang w:val="it-IT"/>
        </w:rPr>
        <w:t>al</w:t>
      </w:r>
      <w:r w:rsidRPr="007A1F88">
        <w:rPr>
          <w:rFonts w:ascii="Arial" w:hAnsi="Arial" w:cs="Arial"/>
          <w:b/>
          <w:bCs/>
          <w:iCs/>
          <w:lang w:val="it-IT"/>
        </w:rPr>
        <w:t>l’i</w:t>
      </w:r>
      <w:r w:rsidR="00EA5076" w:rsidRPr="007A1F88">
        <w:rPr>
          <w:rFonts w:ascii="Arial" w:hAnsi="Arial" w:cs="Arial"/>
          <w:b/>
          <w:bCs/>
          <w:iCs/>
          <w:lang w:val="it-IT"/>
        </w:rPr>
        <w:t xml:space="preserve">mpossibilità </w:t>
      </w:r>
      <w:r w:rsidRPr="007A1F88">
        <w:rPr>
          <w:rFonts w:ascii="Arial" w:hAnsi="Arial" w:cs="Arial"/>
          <w:b/>
          <w:bCs/>
          <w:iCs/>
          <w:lang w:val="it-IT"/>
        </w:rPr>
        <w:t>di prevedere le spese straordinarie</w:t>
      </w:r>
      <w:r w:rsidRPr="007A1F88">
        <w:rPr>
          <w:rFonts w:ascii="Arial" w:hAnsi="Arial" w:cs="Arial"/>
          <w:iCs/>
          <w:lang w:val="it-IT"/>
        </w:rPr>
        <w:t>.</w:t>
      </w:r>
    </w:p>
    <w:p w14:paraId="3F05983D" w14:textId="77777777" w:rsidR="00FA6695" w:rsidRPr="007A1F88" w:rsidRDefault="00FA6695" w:rsidP="00D11660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</w:p>
    <w:p w14:paraId="4760B5FE" w14:textId="4010B3C9" w:rsidR="0080607D" w:rsidRPr="007A1F88" w:rsidRDefault="0080607D" w:rsidP="00D11660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A1F88">
        <w:rPr>
          <w:rFonts w:ascii="Arial" w:hAnsi="Arial" w:cs="Arial"/>
          <w:iCs/>
          <w:lang w:val="it-IT"/>
        </w:rPr>
        <w:t>Sulla tenuta del mercato immobiliare nel lungo periodo incidono</w:t>
      </w:r>
      <w:r w:rsidR="00FA1490" w:rsidRPr="007A1F88">
        <w:rPr>
          <w:rFonts w:ascii="Arial" w:hAnsi="Arial" w:cs="Arial"/>
          <w:iCs/>
          <w:lang w:val="it-IT"/>
        </w:rPr>
        <w:t>, infine,</w:t>
      </w:r>
      <w:r w:rsidRPr="007A1F88">
        <w:rPr>
          <w:rFonts w:ascii="Arial" w:hAnsi="Arial" w:cs="Arial"/>
          <w:iCs/>
          <w:lang w:val="it-IT"/>
        </w:rPr>
        <w:t xml:space="preserve"> anche </w:t>
      </w:r>
      <w:r w:rsidRPr="007A1F88">
        <w:rPr>
          <w:rFonts w:ascii="Arial" w:hAnsi="Arial" w:cs="Arial"/>
          <w:b/>
          <w:bCs/>
          <w:iCs/>
          <w:lang w:val="it-IT"/>
        </w:rPr>
        <w:t>fattori demografici</w:t>
      </w:r>
      <w:r w:rsidRPr="007A1F88">
        <w:rPr>
          <w:rFonts w:ascii="Arial" w:hAnsi="Arial" w:cs="Arial"/>
          <w:iCs/>
          <w:lang w:val="it-IT"/>
        </w:rPr>
        <w:t xml:space="preserve"> con r</w:t>
      </w:r>
      <w:r w:rsidR="009567C1" w:rsidRPr="007A1F88">
        <w:rPr>
          <w:rFonts w:ascii="Arial" w:hAnsi="Arial" w:cs="Arial"/>
          <w:iCs/>
          <w:lang w:val="it-IT"/>
        </w:rPr>
        <w:t xml:space="preserve">ischi di uno squilibrio fra offerta e domanda derivanti </w:t>
      </w:r>
      <w:r w:rsidRPr="007A1F88">
        <w:rPr>
          <w:rFonts w:ascii="Arial" w:hAnsi="Arial" w:cs="Arial"/>
          <w:iCs/>
          <w:lang w:val="it-IT"/>
        </w:rPr>
        <w:t xml:space="preserve">dalla </w:t>
      </w:r>
      <w:r w:rsidR="009567C1" w:rsidRPr="007A1F88">
        <w:rPr>
          <w:rFonts w:ascii="Arial" w:hAnsi="Arial" w:cs="Arial"/>
          <w:iCs/>
          <w:lang w:val="it-IT"/>
        </w:rPr>
        <w:t>crescita</w:t>
      </w:r>
      <w:r w:rsidRPr="007A1F88">
        <w:rPr>
          <w:rFonts w:ascii="Arial" w:hAnsi="Arial" w:cs="Arial"/>
          <w:iCs/>
          <w:lang w:val="it-IT"/>
        </w:rPr>
        <w:t xml:space="preserve"> negativa</w:t>
      </w:r>
      <w:r w:rsidR="009567C1" w:rsidRPr="007A1F88">
        <w:rPr>
          <w:rFonts w:ascii="Arial" w:hAnsi="Arial" w:cs="Arial"/>
          <w:iCs/>
          <w:lang w:val="it-IT"/>
        </w:rPr>
        <w:t xml:space="preserve"> della popolazione italiana</w:t>
      </w:r>
      <w:r w:rsidR="00F0791C" w:rsidRPr="007A1F88">
        <w:rPr>
          <w:rFonts w:ascii="Arial" w:hAnsi="Arial" w:cs="Arial"/>
          <w:iCs/>
          <w:lang w:val="it-IT"/>
        </w:rPr>
        <w:t xml:space="preserve">. </w:t>
      </w:r>
      <w:r w:rsidR="00F0791C" w:rsidRPr="007A1F88">
        <w:rPr>
          <w:rFonts w:ascii="Arial" w:hAnsi="Arial" w:cs="Arial"/>
          <w:lang w:val="it-IT"/>
        </w:rPr>
        <w:t>Istat stima un tasso di decrescita medio della popolazione italiana del 2,5%</w:t>
      </w:r>
      <w:r w:rsidR="00C9178D" w:rsidRPr="007A1F88">
        <w:rPr>
          <w:rFonts w:ascii="Arial" w:hAnsi="Arial" w:cs="Arial"/>
          <w:lang w:val="it-IT"/>
        </w:rPr>
        <w:t xml:space="preserve"> al 2030</w:t>
      </w:r>
      <w:r w:rsidR="00F0791C" w:rsidRPr="007A1F88">
        <w:rPr>
          <w:rFonts w:ascii="Arial" w:hAnsi="Arial" w:cs="Arial"/>
          <w:lang w:val="it-IT"/>
        </w:rPr>
        <w:t xml:space="preserve">, </w:t>
      </w:r>
      <w:r w:rsidR="00C9178D" w:rsidRPr="007A1F88">
        <w:rPr>
          <w:rFonts w:ascii="Arial" w:hAnsi="Arial" w:cs="Arial"/>
          <w:lang w:val="it-IT"/>
        </w:rPr>
        <w:t xml:space="preserve">visto peggiorare </w:t>
      </w:r>
      <w:r w:rsidR="00F0791C" w:rsidRPr="007A1F88">
        <w:rPr>
          <w:rFonts w:ascii="Arial" w:hAnsi="Arial" w:cs="Arial"/>
          <w:lang w:val="it-IT"/>
        </w:rPr>
        <w:t xml:space="preserve">al 3,3% al 2050. </w:t>
      </w:r>
    </w:p>
    <w:p w14:paraId="015A6264" w14:textId="77777777" w:rsidR="002E7E36" w:rsidRPr="007A1F88" w:rsidRDefault="002E7E36" w:rsidP="00D11660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16A730DF" w14:textId="0FC710CD" w:rsidR="002E7E36" w:rsidRPr="007A1F88" w:rsidRDefault="002E7E36" w:rsidP="002E7E36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7A1F88">
        <w:rPr>
          <w:rFonts w:ascii="Arial" w:hAnsi="Arial" w:cs="Arial"/>
          <w:iCs/>
          <w:lang w:val="it-IT"/>
        </w:rPr>
        <w:t>Lo studio</w:t>
      </w:r>
      <w:r w:rsidR="00694097" w:rsidRPr="007A1F88">
        <w:rPr>
          <w:rFonts w:ascii="Arial" w:hAnsi="Arial" w:cs="Arial"/>
          <w:iCs/>
          <w:lang w:val="it-IT"/>
        </w:rPr>
        <w:t xml:space="preserve"> </w:t>
      </w:r>
      <w:r w:rsidR="00D51728">
        <w:rPr>
          <w:rFonts w:ascii="Arial" w:hAnsi="Arial" w:cs="Arial"/>
          <w:iCs/>
          <w:lang w:val="it-IT"/>
        </w:rPr>
        <w:t>condott</w:t>
      </w:r>
      <w:r w:rsidR="00F22B24">
        <w:rPr>
          <w:rFonts w:ascii="Arial" w:hAnsi="Arial" w:cs="Arial"/>
          <w:iCs/>
          <w:lang w:val="it-IT"/>
        </w:rPr>
        <w:t>o</w:t>
      </w:r>
      <w:r w:rsidR="00D51728">
        <w:rPr>
          <w:rFonts w:ascii="Arial" w:hAnsi="Arial" w:cs="Arial"/>
          <w:iCs/>
          <w:lang w:val="it-IT"/>
        </w:rPr>
        <w:t xml:space="preserve"> da</w:t>
      </w:r>
      <w:r w:rsidRPr="007A1F88">
        <w:rPr>
          <w:rFonts w:ascii="Arial" w:hAnsi="Arial" w:cs="Arial"/>
          <w:iCs/>
          <w:lang w:val="it-IT"/>
        </w:rPr>
        <w:t xml:space="preserve"> T. Rowe Price e Nomisma</w:t>
      </w:r>
      <w:r w:rsidR="00694097" w:rsidRPr="007A1F88">
        <w:rPr>
          <w:rFonts w:ascii="Arial" w:hAnsi="Arial" w:cs="Arial"/>
          <w:iCs/>
          <w:lang w:val="it-IT"/>
        </w:rPr>
        <w:t xml:space="preserve"> </w:t>
      </w:r>
      <w:r w:rsidRPr="007A1F88">
        <w:rPr>
          <w:rFonts w:ascii="Arial" w:hAnsi="Arial" w:cs="Arial"/>
          <w:iCs/>
          <w:lang w:val="it-IT"/>
        </w:rPr>
        <w:t>evidenzia</w:t>
      </w:r>
      <w:r w:rsidR="00694097" w:rsidRPr="007A1F88">
        <w:rPr>
          <w:rFonts w:ascii="Arial" w:hAnsi="Arial" w:cs="Arial"/>
          <w:iCs/>
          <w:lang w:val="it-IT"/>
        </w:rPr>
        <w:t xml:space="preserve"> inoltre</w:t>
      </w:r>
      <w:r w:rsidRPr="007A1F88">
        <w:rPr>
          <w:rFonts w:ascii="Arial" w:hAnsi="Arial" w:cs="Arial"/>
          <w:iCs/>
          <w:lang w:val="it-IT"/>
        </w:rPr>
        <w:t xml:space="preserve"> che,</w:t>
      </w:r>
      <w:r w:rsidRPr="007A1F88">
        <w:rPr>
          <w:rFonts w:ascii="Arial" w:hAnsi="Arial" w:cs="Arial"/>
          <w:b/>
          <w:bCs/>
          <w:iCs/>
          <w:lang w:val="it-IT"/>
        </w:rPr>
        <w:t xml:space="preserve"> negli ultimi dieci anni, solo la piazza di Milano ha visto l’immobiliare </w:t>
      </w:r>
      <w:r w:rsidR="00F22B24">
        <w:rPr>
          <w:rFonts w:ascii="Arial" w:hAnsi="Arial" w:cs="Arial"/>
          <w:b/>
          <w:bCs/>
          <w:iCs/>
          <w:lang w:val="it-IT"/>
        </w:rPr>
        <w:t>in forte crescita</w:t>
      </w:r>
      <w:r w:rsidRPr="007A1F88">
        <w:rPr>
          <w:rFonts w:ascii="Arial" w:hAnsi="Arial" w:cs="Arial"/>
          <w:b/>
          <w:bCs/>
          <w:iCs/>
          <w:lang w:val="it-IT"/>
        </w:rPr>
        <w:t xml:space="preserve">. </w:t>
      </w:r>
      <w:r w:rsidRPr="007A1F88">
        <w:rPr>
          <w:rFonts w:ascii="Arial" w:hAnsi="Arial" w:cs="Arial"/>
          <w:iCs/>
          <w:lang w:val="it-IT"/>
        </w:rPr>
        <w:t>Lo stesso non si può dire di altre città come Roma e Napoli che, pur in recupero, restano lontani dalle quotazioni del 2012.</w:t>
      </w:r>
    </w:p>
    <w:p w14:paraId="270A87F8" w14:textId="77777777" w:rsidR="002E7E36" w:rsidRPr="007A1F88" w:rsidRDefault="002E7E36" w:rsidP="002E7E36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</w:p>
    <w:p w14:paraId="5A0F0E55" w14:textId="77777777" w:rsidR="002E7E36" w:rsidRPr="007A1F88" w:rsidRDefault="002E7E36" w:rsidP="002E7E36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7A1F88">
        <w:rPr>
          <w:rFonts w:ascii="Arial" w:hAnsi="Arial" w:cs="Arial"/>
          <w:i/>
          <w:lang w:val="it-IT"/>
        </w:rPr>
        <w:t xml:space="preserve">“Per investire con soddisfazione nell’immobiliare occorre acquistare nei grandi centri economici che crescono o nelle città d’arte perché tutto il resto è esposto a rischi, non ultimo quello demografico che è una considerazione che chi compra oggi non tiene in conto” - </w:t>
      </w:r>
      <w:r w:rsidRPr="007A1F88">
        <w:rPr>
          <w:rFonts w:ascii="Arial" w:hAnsi="Arial" w:cs="Arial"/>
          <w:iCs/>
          <w:lang w:val="it-IT"/>
        </w:rPr>
        <w:t>ha commentato</w:t>
      </w:r>
      <w:r w:rsidRPr="007A1F88">
        <w:rPr>
          <w:rFonts w:ascii="Arial" w:hAnsi="Arial" w:cs="Arial"/>
          <w:b/>
          <w:bCs/>
          <w:iCs/>
          <w:lang w:val="it-IT"/>
        </w:rPr>
        <w:t xml:space="preserve"> Luca Dondi, CEO di Nomisma</w:t>
      </w:r>
      <w:r w:rsidRPr="007A1F88">
        <w:rPr>
          <w:rFonts w:ascii="Arial" w:hAnsi="Arial" w:cs="Arial"/>
          <w:iCs/>
          <w:lang w:val="it-IT"/>
        </w:rPr>
        <w:t>.</w:t>
      </w:r>
      <w:r w:rsidRPr="007A1F88">
        <w:rPr>
          <w:rFonts w:ascii="Arial" w:hAnsi="Arial" w:cs="Arial"/>
          <w:b/>
          <w:bCs/>
          <w:iCs/>
          <w:lang w:val="it-IT"/>
        </w:rPr>
        <w:t xml:space="preserve"> </w:t>
      </w:r>
      <w:r w:rsidRPr="007A1F88">
        <w:rPr>
          <w:rFonts w:ascii="Arial" w:hAnsi="Arial" w:cs="Arial"/>
          <w:i/>
          <w:lang w:val="it-IT"/>
        </w:rPr>
        <w:t xml:space="preserve">“Occorre comprare in aree dove l’immobile è un bene scarso”. </w:t>
      </w:r>
    </w:p>
    <w:p w14:paraId="0EA5B989" w14:textId="77777777" w:rsidR="002E7E36" w:rsidRPr="007A1F88" w:rsidRDefault="002E7E36" w:rsidP="002E7E36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</w:p>
    <w:p w14:paraId="06CB6A68" w14:textId="62DC5067" w:rsidR="002E7E36" w:rsidRPr="007A1F88" w:rsidRDefault="002E7E36" w:rsidP="002E7E36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7A1F88">
        <w:rPr>
          <w:rFonts w:ascii="Arial" w:hAnsi="Arial" w:cs="Arial"/>
          <w:i/>
          <w:lang w:val="it-IT"/>
        </w:rPr>
        <w:t xml:space="preserve">“Milano è una città che cresce 4-5 volte quanto cresce l’Italia e che attira investimenti esteri, tenendo alte le quotazioni. </w:t>
      </w:r>
      <w:r w:rsidR="00D51728">
        <w:rPr>
          <w:rFonts w:ascii="Arial" w:hAnsi="Arial" w:cs="Arial"/>
          <w:i/>
          <w:lang w:val="it-IT"/>
        </w:rPr>
        <w:t>La città meneghina</w:t>
      </w:r>
      <w:r w:rsidRPr="007A1F88">
        <w:rPr>
          <w:rFonts w:ascii="Arial" w:hAnsi="Arial" w:cs="Arial"/>
          <w:i/>
          <w:lang w:val="it-IT"/>
        </w:rPr>
        <w:t xml:space="preserve"> segue le logiche di altre città europee ed internazionali. Le tendenze di altre città primarie come Roma e Napoli sono invece più simili a quelle di città secondarie come Livorno</w:t>
      </w:r>
      <w:r w:rsidR="00F22B24">
        <w:rPr>
          <w:rFonts w:ascii="Arial" w:hAnsi="Arial" w:cs="Arial"/>
          <w:i/>
          <w:lang w:val="it-IT"/>
        </w:rPr>
        <w:t>,</w:t>
      </w:r>
      <w:r w:rsidRPr="007A1F88">
        <w:rPr>
          <w:rFonts w:ascii="Arial" w:hAnsi="Arial" w:cs="Arial"/>
          <w:i/>
          <w:lang w:val="it-IT"/>
        </w:rPr>
        <w:t xml:space="preserve"> Taranto e Novara, ovviamente con prezzi diversi” –</w:t>
      </w:r>
      <w:r w:rsidRPr="007A1F88">
        <w:rPr>
          <w:rFonts w:ascii="Arial" w:hAnsi="Arial" w:cs="Arial"/>
          <w:iCs/>
          <w:lang w:val="it-IT"/>
        </w:rPr>
        <w:t xml:space="preserve"> ha aggiunto</w:t>
      </w:r>
      <w:r w:rsidR="00EE4890">
        <w:rPr>
          <w:rFonts w:ascii="Arial" w:hAnsi="Arial" w:cs="Arial"/>
          <w:iCs/>
          <w:lang w:val="it-IT"/>
        </w:rPr>
        <w:t xml:space="preserve"> </w:t>
      </w:r>
      <w:r w:rsidR="00EE4890" w:rsidRPr="00EE4890">
        <w:rPr>
          <w:rFonts w:ascii="Arial" w:hAnsi="Arial" w:cs="Arial"/>
          <w:b/>
          <w:bCs/>
          <w:iCs/>
          <w:lang w:val="it-IT"/>
        </w:rPr>
        <w:t>Dondi</w:t>
      </w:r>
      <w:r w:rsidRPr="007A1F88">
        <w:rPr>
          <w:rFonts w:ascii="Arial" w:hAnsi="Arial" w:cs="Arial"/>
          <w:i/>
          <w:lang w:val="it-IT"/>
        </w:rPr>
        <w:t>.</w:t>
      </w:r>
    </w:p>
    <w:p w14:paraId="25BC58E7" w14:textId="77777777" w:rsidR="002E7E36" w:rsidRPr="007A1F88" w:rsidRDefault="002E7E36" w:rsidP="00D11660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26691562" w14:textId="68FABAF2" w:rsidR="00EA7C35" w:rsidRPr="007A1F88" w:rsidRDefault="00F22B24" w:rsidP="00F22B2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>
        <w:rPr>
          <w:rFonts w:ascii="Arial" w:hAnsi="Arial" w:cs="Arial"/>
          <w:i/>
          <w:lang w:val="it-IT"/>
        </w:rPr>
        <w:t xml:space="preserve">“Il grande interesse per il mercato immobiliare non è una sorpresa – continua </w:t>
      </w:r>
      <w:r w:rsidRPr="007A1F88">
        <w:rPr>
          <w:rFonts w:ascii="Arial" w:hAnsi="Arial" w:cs="Arial"/>
          <w:iCs/>
          <w:lang w:val="it-IT"/>
        </w:rPr>
        <w:t xml:space="preserve"> </w:t>
      </w:r>
      <w:r w:rsidRPr="007A1F88">
        <w:rPr>
          <w:rFonts w:ascii="Arial" w:hAnsi="Arial" w:cs="Arial"/>
          <w:b/>
          <w:bCs/>
          <w:iCs/>
          <w:lang w:val="it-IT"/>
        </w:rPr>
        <w:t>Savatteri</w:t>
      </w:r>
      <w:r>
        <w:rPr>
          <w:rFonts w:ascii="Arial" w:hAnsi="Arial" w:cs="Arial"/>
          <w:b/>
          <w:bCs/>
          <w:iCs/>
          <w:lang w:val="it-IT"/>
        </w:rPr>
        <w:t>.</w:t>
      </w:r>
      <w:r w:rsidRPr="007A1F88">
        <w:rPr>
          <w:rFonts w:ascii="Arial" w:eastAsia="Times New Roman" w:hAnsi="Arial" w:cs="Arial"/>
          <w:lang w:val="it-IT" w:eastAsia="it-IT"/>
        </w:rPr>
        <w:t xml:space="preserve"> </w:t>
      </w:r>
      <w:r>
        <w:rPr>
          <w:rFonts w:ascii="Arial" w:eastAsia="Times New Roman" w:hAnsi="Arial" w:cs="Arial"/>
          <w:lang w:val="it-IT" w:eastAsia="it-IT"/>
        </w:rPr>
        <w:t>T</w:t>
      </w:r>
      <w:r>
        <w:rPr>
          <w:rFonts w:ascii="Arial" w:hAnsi="Arial" w:cs="Arial"/>
          <w:i/>
          <w:lang w:val="it-IT"/>
        </w:rPr>
        <w:t>uttavia andrebbe considerato all’interno di un portafoglio diversificato assieme ad altri strumenti del</w:t>
      </w:r>
      <w:r w:rsidRPr="007A1F88">
        <w:rPr>
          <w:rFonts w:ascii="Arial" w:hAnsi="Arial" w:cs="Arial"/>
          <w:i/>
          <w:lang w:val="it-IT"/>
        </w:rPr>
        <w:t xml:space="preserve"> mercato</w:t>
      </w:r>
      <w:r>
        <w:rPr>
          <w:rFonts w:ascii="Arial" w:hAnsi="Arial" w:cs="Arial"/>
          <w:i/>
          <w:lang w:val="it-IT"/>
        </w:rPr>
        <w:t xml:space="preserve"> </w:t>
      </w:r>
      <w:r w:rsidRPr="007A1F88">
        <w:rPr>
          <w:rFonts w:ascii="Arial" w:hAnsi="Arial" w:cs="Arial"/>
          <w:i/>
          <w:lang w:val="it-IT"/>
        </w:rPr>
        <w:t>mobiliare”</w:t>
      </w:r>
      <w:r>
        <w:rPr>
          <w:rFonts w:ascii="Arial" w:hAnsi="Arial" w:cs="Arial"/>
          <w:iCs/>
          <w:lang w:val="it-IT"/>
        </w:rPr>
        <w:t xml:space="preserve">. </w:t>
      </w:r>
      <w:r w:rsidR="00AA6265" w:rsidRPr="007A1F88">
        <w:rPr>
          <w:rFonts w:ascii="Arial" w:eastAsia="Times New Roman" w:hAnsi="Arial" w:cs="Arial"/>
          <w:lang w:val="it-IT" w:eastAsia="it-IT"/>
        </w:rPr>
        <w:t xml:space="preserve">In questo contesto, l’investimento nei fondi obbligazionari a cedola </w:t>
      </w:r>
      <w:r w:rsidR="00453B2E" w:rsidRPr="007A1F88">
        <w:rPr>
          <w:rFonts w:ascii="Arial" w:eastAsia="Times New Roman" w:hAnsi="Arial" w:cs="Arial"/>
          <w:lang w:val="it-IT" w:eastAsia="it-IT"/>
        </w:rPr>
        <w:t xml:space="preserve">può </w:t>
      </w:r>
      <w:r w:rsidR="00AA6265" w:rsidRPr="007A1F88">
        <w:rPr>
          <w:rFonts w:ascii="Arial" w:eastAsia="Times New Roman" w:hAnsi="Arial" w:cs="Arial"/>
          <w:lang w:val="it-IT" w:eastAsia="it-IT"/>
        </w:rPr>
        <w:t xml:space="preserve">risultare </w:t>
      </w:r>
      <w:r w:rsidR="00453B2E" w:rsidRPr="007A1F88">
        <w:rPr>
          <w:rFonts w:ascii="Arial" w:eastAsia="Times New Roman" w:hAnsi="Arial" w:cs="Arial"/>
          <w:b/>
          <w:bCs/>
          <w:lang w:val="it-IT" w:eastAsia="it-IT"/>
        </w:rPr>
        <w:t>sinergico a quello immobiliare</w:t>
      </w:r>
      <w:r w:rsidR="00AA6265" w:rsidRPr="007A1F88">
        <w:rPr>
          <w:rFonts w:ascii="Arial" w:eastAsia="Times New Roman" w:hAnsi="Arial" w:cs="Arial"/>
          <w:b/>
          <w:bCs/>
          <w:lang w:val="it-IT" w:eastAsia="it-IT"/>
        </w:rPr>
        <w:t xml:space="preserve">, rivelandosi particolarmente adatto proprio ad un </w:t>
      </w:r>
      <w:r w:rsidR="00453B2E" w:rsidRPr="007A1F88">
        <w:rPr>
          <w:rFonts w:ascii="Arial" w:eastAsia="Times New Roman" w:hAnsi="Arial" w:cs="Arial"/>
          <w:b/>
          <w:bCs/>
          <w:lang w:val="it-IT" w:eastAsia="it-IT"/>
        </w:rPr>
        <w:t>portafoglio sbilanciato sul mattone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, </w:t>
      </w:r>
      <w:r w:rsidR="00453B2E" w:rsidRPr="007A1F88">
        <w:rPr>
          <w:rFonts w:ascii="Arial" w:eastAsia="Times New Roman" w:hAnsi="Arial" w:cs="Arial"/>
          <w:lang w:val="it-IT" w:eastAsia="it-IT"/>
        </w:rPr>
        <w:t xml:space="preserve">come </w:t>
      </w:r>
      <w:r w:rsidR="00EA7C35" w:rsidRPr="007A1F88">
        <w:rPr>
          <w:rFonts w:ascii="Arial" w:eastAsia="Times New Roman" w:hAnsi="Arial" w:cs="Arial"/>
          <w:lang w:val="it-IT" w:eastAsia="it-IT"/>
        </w:rPr>
        <w:t xml:space="preserve">quello fotografato dallo studio, dove gli immobili pesano mediamente per il </w:t>
      </w:r>
      <w:r w:rsidR="005B21A1" w:rsidRPr="007A1F88">
        <w:rPr>
          <w:rFonts w:ascii="Arial" w:eastAsia="Times New Roman" w:hAnsi="Arial" w:cs="Arial"/>
          <w:lang w:val="it-IT" w:eastAsia="it-IT"/>
        </w:rPr>
        <w:t xml:space="preserve">55% </w:t>
      </w:r>
      <w:r w:rsidR="00EA7C35" w:rsidRPr="007A1F88">
        <w:rPr>
          <w:rFonts w:ascii="Arial" w:eastAsia="Times New Roman" w:hAnsi="Arial" w:cs="Arial"/>
          <w:lang w:val="it-IT" w:eastAsia="it-IT"/>
        </w:rPr>
        <w:t>del patrimonio</w:t>
      </w:r>
      <w:r>
        <w:rPr>
          <w:rFonts w:ascii="Arial" w:eastAsia="Times New Roman" w:hAnsi="Arial" w:cs="Arial"/>
          <w:lang w:val="it-IT" w:eastAsia="it-IT"/>
        </w:rPr>
        <w:t>”.</w:t>
      </w:r>
    </w:p>
    <w:p w14:paraId="14B34A16" w14:textId="77777777" w:rsidR="002D3895" w:rsidRPr="007A1F88" w:rsidRDefault="002D3895" w:rsidP="005B21A1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</w:p>
    <w:p w14:paraId="5A417607" w14:textId="499F8ECA" w:rsidR="00453B2E" w:rsidRPr="00334FC6" w:rsidRDefault="00453B2E" w:rsidP="00752B32">
      <w:pPr>
        <w:jc w:val="both"/>
        <w:rPr>
          <w:rFonts w:ascii="Arial" w:eastAsia="Times New Roman" w:hAnsi="Arial" w:cs="Arial"/>
          <w:lang w:val="it-IT" w:eastAsia="it-IT"/>
        </w:rPr>
      </w:pPr>
      <w:r w:rsidRPr="007A1F88">
        <w:rPr>
          <w:rFonts w:ascii="Arial" w:eastAsia="Times New Roman" w:hAnsi="Arial" w:cs="Arial"/>
          <w:lang w:val="it-IT" w:eastAsia="it-IT"/>
        </w:rPr>
        <w:t>“</w:t>
      </w:r>
      <w:r w:rsidR="00334FC6">
        <w:rPr>
          <w:rFonts w:ascii="Arial" w:eastAsia="Times New Roman" w:hAnsi="Arial" w:cs="Arial"/>
          <w:lang w:val="it-IT" w:eastAsia="it-IT"/>
        </w:rPr>
        <w:t xml:space="preserve">Sempre in ottica di diversificazione e di efficientamento del proprio portafoglio, l’investimento in un fondo permette una più facile “manutenzione” e una maggiore flessibilità, in quanto il fondo è sempre immediatamente liquidabile” </w:t>
      </w:r>
      <w:r w:rsidR="00A962B8" w:rsidRPr="007A1F88">
        <w:rPr>
          <w:rFonts w:ascii="Arial" w:eastAsia="Times New Roman" w:hAnsi="Arial" w:cs="Arial"/>
          <w:i/>
          <w:iCs/>
          <w:lang w:val="it-IT" w:eastAsia="it-IT"/>
        </w:rPr>
        <w:t xml:space="preserve">- </w:t>
      </w:r>
      <w:r w:rsidR="002E7E36" w:rsidRPr="007A1F88">
        <w:rPr>
          <w:rFonts w:ascii="Arial" w:eastAsia="Times New Roman" w:hAnsi="Arial" w:cs="Arial"/>
          <w:lang w:val="it-IT" w:eastAsia="it-IT"/>
        </w:rPr>
        <w:t>conclude</w:t>
      </w:r>
      <w:r w:rsidRPr="007A1F88">
        <w:rPr>
          <w:rFonts w:ascii="Arial" w:eastAsia="Times New Roman" w:hAnsi="Arial" w:cs="Arial"/>
          <w:lang w:val="it-IT" w:eastAsia="it-IT"/>
        </w:rPr>
        <w:t xml:space="preserve"> </w:t>
      </w:r>
      <w:r w:rsidR="00A962B8" w:rsidRPr="007A1F88">
        <w:rPr>
          <w:rFonts w:ascii="Arial" w:eastAsia="Times New Roman" w:hAnsi="Arial" w:cs="Arial"/>
          <w:b/>
          <w:bCs/>
          <w:lang w:val="it-IT" w:eastAsia="it-IT"/>
        </w:rPr>
        <w:t>S</w:t>
      </w:r>
      <w:r w:rsidRPr="007A1F88">
        <w:rPr>
          <w:rFonts w:ascii="Arial" w:eastAsia="Times New Roman" w:hAnsi="Arial" w:cs="Arial"/>
          <w:b/>
          <w:bCs/>
          <w:lang w:val="it-IT" w:eastAsia="it-IT"/>
        </w:rPr>
        <w:t>avatteri</w:t>
      </w:r>
      <w:r w:rsidR="00334FC6">
        <w:rPr>
          <w:rFonts w:ascii="Arial" w:eastAsia="Times New Roman" w:hAnsi="Arial" w:cs="Arial"/>
          <w:lang w:val="it-IT" w:eastAsia="it-IT"/>
        </w:rPr>
        <w:t xml:space="preserve">. </w:t>
      </w:r>
    </w:p>
    <w:p w14:paraId="73E9486C" w14:textId="210E5A22" w:rsidR="005C4D4B" w:rsidRPr="007A1F88" w:rsidRDefault="005C4D4B" w:rsidP="00897860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</w:p>
    <w:p w14:paraId="194D01F4" w14:textId="77777777" w:rsidR="00C4273B" w:rsidRPr="007A1F88" w:rsidRDefault="00C4273B" w:rsidP="00FA5FFD">
      <w:pPr>
        <w:tabs>
          <w:tab w:val="right" w:pos="9900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73E68758" w14:textId="3BA08CF9" w:rsidR="00FA5FFD" w:rsidRPr="007A1F88" w:rsidRDefault="00FA5FFD" w:rsidP="00FA5FFD">
      <w:pPr>
        <w:tabs>
          <w:tab w:val="right" w:pos="9900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A1F88">
        <w:rPr>
          <w:rFonts w:ascii="Arial" w:hAnsi="Arial" w:cs="Arial"/>
          <w:b/>
          <w:sz w:val="20"/>
          <w:szCs w:val="20"/>
          <w:lang w:val="it-IT"/>
        </w:rPr>
        <w:lastRenderedPageBreak/>
        <w:t>T. Rowe Price</w:t>
      </w:r>
    </w:p>
    <w:p w14:paraId="6DE34176" w14:textId="5273BC5F" w:rsidR="00FA5FFD" w:rsidRPr="007A1F88" w:rsidRDefault="00FA5FFD" w:rsidP="00FA5FFD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A1F88">
        <w:rPr>
          <w:rFonts w:ascii="Arial" w:hAnsi="Arial" w:cs="Arial"/>
          <w:sz w:val="20"/>
          <w:szCs w:val="20"/>
          <w:lang w:val="it-IT"/>
        </w:rPr>
        <w:t>Fondata nel 1937 e basata a Baltimora, T. Rowe Price è una società di gestione degli investimenti, con $1.</w:t>
      </w:r>
      <w:r w:rsidR="00BD59D1" w:rsidRPr="007A1F88">
        <w:rPr>
          <w:rFonts w:ascii="Arial" w:hAnsi="Arial" w:cs="Arial"/>
          <w:sz w:val="20"/>
          <w:szCs w:val="20"/>
          <w:lang w:val="it-IT"/>
        </w:rPr>
        <w:t>3</w:t>
      </w:r>
      <w:r w:rsidR="00474733" w:rsidRPr="007A1F88">
        <w:rPr>
          <w:rFonts w:ascii="Arial" w:hAnsi="Arial" w:cs="Arial"/>
          <w:sz w:val="20"/>
          <w:szCs w:val="20"/>
          <w:lang w:val="it-IT"/>
        </w:rPr>
        <w:t>10</w:t>
      </w:r>
      <w:r w:rsidRPr="007A1F88">
        <w:rPr>
          <w:rFonts w:ascii="Arial" w:hAnsi="Arial" w:cs="Arial"/>
          <w:sz w:val="20"/>
          <w:szCs w:val="20"/>
          <w:lang w:val="it-IT"/>
        </w:rPr>
        <w:t xml:space="preserve"> miliardi di patrimonio in gestione* al </w:t>
      </w:r>
      <w:r w:rsidR="00696AA3" w:rsidRPr="007A1F88">
        <w:rPr>
          <w:rFonts w:ascii="Arial" w:hAnsi="Arial" w:cs="Arial"/>
          <w:sz w:val="20"/>
          <w:szCs w:val="20"/>
          <w:lang w:val="it-IT"/>
        </w:rPr>
        <w:t>31/0</w:t>
      </w:r>
      <w:r w:rsidR="00474733" w:rsidRPr="007A1F88">
        <w:rPr>
          <w:rFonts w:ascii="Arial" w:hAnsi="Arial" w:cs="Arial"/>
          <w:sz w:val="20"/>
          <w:szCs w:val="20"/>
          <w:lang w:val="it-IT"/>
        </w:rPr>
        <w:t>3</w:t>
      </w:r>
      <w:r w:rsidR="00696AA3" w:rsidRPr="007A1F88">
        <w:rPr>
          <w:rFonts w:ascii="Arial" w:hAnsi="Arial" w:cs="Arial"/>
          <w:sz w:val="20"/>
          <w:szCs w:val="20"/>
          <w:lang w:val="it-IT"/>
        </w:rPr>
        <w:t>/2023</w:t>
      </w:r>
      <w:r w:rsidRPr="007A1F88">
        <w:rPr>
          <w:rFonts w:ascii="Arial" w:hAnsi="Arial" w:cs="Arial"/>
          <w:sz w:val="20"/>
          <w:szCs w:val="20"/>
          <w:lang w:val="it-IT"/>
        </w:rPr>
        <w:t xml:space="preserve">. La società offre una vasta gamma di fondi, servizi di subadvisory e altri servizi per advisor, istituzioni, intermediari finanziari e fondi pensione. La società offre anche strumenti sofisticati di pianificazione finanziaria e consulenza. L’approccio agli investimenti disciplinato e attento ai rischi di T. Rowe Price si basa su diversificazione, consistenza di stile e ricerca fondamentale. Maggiori informazioni su </w:t>
      </w:r>
      <w:hyperlink r:id="rId8" w:history="1">
        <w:r w:rsidRPr="007A1F88">
          <w:rPr>
            <w:rStyle w:val="Collegamentoipertestuale"/>
            <w:rFonts w:ascii="Arial" w:hAnsi="Arial" w:cs="Arial"/>
            <w:color w:val="054C70"/>
            <w:sz w:val="20"/>
            <w:szCs w:val="20"/>
            <w:lang w:val="it-IT"/>
          </w:rPr>
          <w:t>troweprice.com</w:t>
        </w:r>
      </w:hyperlink>
      <w:r w:rsidRPr="007A1F88">
        <w:rPr>
          <w:rFonts w:ascii="Arial" w:hAnsi="Arial" w:cs="Arial"/>
          <w:sz w:val="20"/>
          <w:szCs w:val="20"/>
          <w:lang w:val="it-IT"/>
        </w:rPr>
        <w:t>.</w:t>
      </w:r>
    </w:p>
    <w:p w14:paraId="42534DDE" w14:textId="77777777" w:rsidR="00FA5FFD" w:rsidRPr="007A1F88" w:rsidRDefault="00FA5FFD" w:rsidP="00FA5FFD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10DF1D2F" w14:textId="77777777" w:rsidR="00FA5FFD" w:rsidRPr="007A1F88" w:rsidRDefault="00FA5FFD" w:rsidP="00FA5FFD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A1F88">
        <w:rPr>
          <w:rFonts w:ascii="Arial" w:hAnsi="Arial" w:cs="Arial"/>
          <w:sz w:val="16"/>
          <w:szCs w:val="16"/>
          <w:lang w:val="it-IT"/>
        </w:rPr>
        <w:t>*L’AUM complessivo include le attività gestite da T. Rowe Price Associates Inc. e dalle sue consociate per consulenza di investimento</w:t>
      </w:r>
      <w:r w:rsidRPr="007A1F88">
        <w:rPr>
          <w:rFonts w:ascii="Arial" w:hAnsi="Arial" w:cs="Arial"/>
          <w:sz w:val="20"/>
          <w:szCs w:val="20"/>
          <w:lang w:val="it-IT"/>
        </w:rPr>
        <w:t>.</w:t>
      </w:r>
    </w:p>
    <w:p w14:paraId="42A92D84" w14:textId="77777777" w:rsidR="00FA5FFD" w:rsidRPr="007A1F88" w:rsidRDefault="00FA5FFD" w:rsidP="00392D65">
      <w:pPr>
        <w:spacing w:after="0"/>
        <w:contextualSpacing/>
        <w:rPr>
          <w:rFonts w:ascii="Arial" w:hAnsi="Arial" w:cs="Arial"/>
          <w:b/>
          <w:bCs/>
          <w:lang w:val="it-IT"/>
        </w:rPr>
      </w:pPr>
    </w:p>
    <w:p w14:paraId="5B0C79F9" w14:textId="31AE44EA" w:rsidR="00550513" w:rsidRDefault="00550513" w:rsidP="00550513">
      <w:pPr>
        <w:spacing w:after="0"/>
        <w:contextualSpacing/>
        <w:rPr>
          <w:rFonts w:ascii="Arial" w:hAnsi="Arial" w:cs="Arial"/>
          <w:lang w:val="it-IT"/>
        </w:rPr>
      </w:pPr>
    </w:p>
    <w:p w14:paraId="7CB22F83" w14:textId="77777777" w:rsidR="00F22B24" w:rsidRPr="007C4D83" w:rsidRDefault="00F22B24" w:rsidP="00F22B2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C4D83">
        <w:rPr>
          <w:rFonts w:asciiTheme="minorHAnsi" w:hAnsiTheme="minorHAnsi" w:cstheme="minorHAnsi"/>
          <w:b/>
          <w:bCs/>
          <w:sz w:val="22"/>
          <w:szCs w:val="22"/>
        </w:rPr>
        <w:t>Informazioni Importanti</w:t>
      </w:r>
    </w:p>
    <w:p w14:paraId="5AD5AC53" w14:textId="77777777" w:rsidR="00F22B24" w:rsidRDefault="00F22B24" w:rsidP="00F22B2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0D02E" w14:textId="77777777" w:rsidR="00F22B24" w:rsidRPr="009D3927" w:rsidRDefault="00F22B24" w:rsidP="00F22B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27">
        <w:rPr>
          <w:rFonts w:asciiTheme="minorHAnsi" w:hAnsiTheme="minorHAnsi" w:cstheme="minorHAnsi"/>
          <w:b/>
          <w:bCs/>
          <w:sz w:val="22"/>
          <w:szCs w:val="22"/>
        </w:rPr>
        <w:t>Il materiale ha solo scopo informativo e/o di marketing e non è un consiglio o una raccomandazione di investimento.</w:t>
      </w:r>
      <w:r w:rsidRPr="009D3927">
        <w:rPr>
          <w:rFonts w:asciiTheme="minorHAnsi" w:hAnsiTheme="minorHAnsi" w:cstheme="minorHAnsi"/>
          <w:sz w:val="22"/>
          <w:szCs w:val="22"/>
        </w:rPr>
        <w:t xml:space="preserve"> Consigliamo ai potenziali investitori di richiedere una consulenza legale, finanziaria e fiscale indipendente prima di assumere qualsiasi decisione di investimento. </w:t>
      </w:r>
      <w:r w:rsidRPr="009D3927">
        <w:rPr>
          <w:rFonts w:asciiTheme="minorHAnsi" w:hAnsiTheme="minorHAnsi" w:cstheme="minorHAnsi"/>
          <w:b/>
          <w:bCs/>
          <w:sz w:val="22"/>
          <w:szCs w:val="22"/>
        </w:rPr>
        <w:t>I rendimenti passati non sono indicativi di quelli futuri.</w:t>
      </w:r>
      <w:r w:rsidRPr="009D3927">
        <w:rPr>
          <w:rFonts w:asciiTheme="minorHAnsi" w:hAnsiTheme="minorHAnsi" w:cstheme="minorHAnsi"/>
          <w:sz w:val="22"/>
          <w:szCs w:val="22"/>
        </w:rPr>
        <w:t xml:space="preserve"> Il valore di un investimento può oscillare e gli investitori potrebbero non ottenere l'intero importo investito. </w:t>
      </w:r>
    </w:p>
    <w:p w14:paraId="1B7F615C" w14:textId="77777777" w:rsidR="00F22B24" w:rsidRPr="009D3927" w:rsidRDefault="00F22B24" w:rsidP="00F22B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27">
        <w:rPr>
          <w:rFonts w:asciiTheme="minorHAnsi" w:hAnsiTheme="minorHAnsi" w:cstheme="minorHAnsi"/>
          <w:sz w:val="22"/>
          <w:szCs w:val="22"/>
        </w:rPr>
        <w:t xml:space="preserve">Il materiale non è stato verificato da alcuna autorità di vigilanza in alcuna giurisdizione. </w:t>
      </w:r>
    </w:p>
    <w:p w14:paraId="00C6C870" w14:textId="77777777" w:rsidR="00F22B24" w:rsidRPr="009D3927" w:rsidRDefault="00F22B24" w:rsidP="00F22B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27">
        <w:rPr>
          <w:rFonts w:asciiTheme="minorHAnsi" w:hAnsiTheme="minorHAnsi" w:cstheme="minorHAnsi"/>
          <w:sz w:val="22"/>
          <w:szCs w:val="22"/>
        </w:rPr>
        <w:t xml:space="preserve">Informazioni e opinioni sono ottenute/ tratte da fonti ritenute affidabili ma non garantiamo completezza ed esaustività, né che eventuali previsioni si concretizzino. I pareri contenuti sono soggetti a cambiamento senza preavviso e possono differire da altre società del gruppo T. Rowe Price. </w:t>
      </w:r>
    </w:p>
    <w:p w14:paraId="65042523" w14:textId="77777777" w:rsidR="00F22B24" w:rsidRPr="009D3927" w:rsidRDefault="00F22B24" w:rsidP="00F22B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27">
        <w:rPr>
          <w:rFonts w:asciiTheme="minorHAnsi" w:hAnsiTheme="minorHAnsi" w:cstheme="minorHAnsi"/>
          <w:sz w:val="22"/>
          <w:szCs w:val="22"/>
        </w:rPr>
        <w:t>È vietata la diffusione, in qualsiasi forma, della pubblicazione e/o dei suoi contenuti. Il materiale è destinato all’uso esclusivo in Italia. Vietata la distribuzione retail.</w:t>
      </w:r>
    </w:p>
    <w:p w14:paraId="6B118F3F" w14:textId="77777777" w:rsidR="00F22B24" w:rsidRPr="009D3927" w:rsidRDefault="00F22B24" w:rsidP="00F22B24">
      <w:pPr>
        <w:pStyle w:val="Default"/>
        <w:rPr>
          <w:rFonts w:cstheme="minorHAnsi"/>
        </w:rPr>
      </w:pPr>
    </w:p>
    <w:p w14:paraId="1BB15FE5" w14:textId="77777777" w:rsidR="00F22B24" w:rsidRPr="009D3927" w:rsidRDefault="00F22B24" w:rsidP="00F22B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23D9">
        <w:rPr>
          <w:rFonts w:asciiTheme="minorHAnsi" w:hAnsiTheme="minorHAnsi" w:cstheme="minorHAnsi"/>
          <w:b/>
          <w:bCs/>
          <w:sz w:val="22"/>
          <w:szCs w:val="22"/>
        </w:rPr>
        <w:t>Ital</w:t>
      </w:r>
      <w:r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9D3927">
        <w:rPr>
          <w:rFonts w:asciiTheme="minorHAnsi" w:hAnsiTheme="minorHAnsi" w:cstheme="minorHAnsi"/>
          <w:sz w:val="22"/>
          <w:szCs w:val="22"/>
        </w:rPr>
        <w:t xml:space="preserve"> - Se non diversamente indicato questo materiale é distribuito e approvato da T. Rowe Price (Luxembourg) Management S.à r.l. 35 Boulevard du Prince Henri L-1724 Lussemburgo, autorizzata e regolamentata dalla Commission de Surveillance du Secteur Financier lussemburghese. Riservato ai clienti professionali. </w:t>
      </w:r>
    </w:p>
    <w:p w14:paraId="7EB89F57" w14:textId="17342B29" w:rsidR="00F22B24" w:rsidRDefault="00F22B24" w:rsidP="00F22B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27">
        <w:rPr>
          <w:rFonts w:asciiTheme="minorHAnsi" w:hAnsiTheme="minorHAnsi" w:cstheme="minorHAnsi"/>
          <w:sz w:val="22"/>
          <w:szCs w:val="22"/>
        </w:rPr>
        <w:t>©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D3927">
        <w:rPr>
          <w:rFonts w:asciiTheme="minorHAnsi" w:hAnsiTheme="minorHAnsi" w:cstheme="minorHAnsi"/>
          <w:sz w:val="22"/>
          <w:szCs w:val="22"/>
        </w:rPr>
        <w:t xml:space="preserve"> T. Rowe Price. Tutti i diritti riservati. T. ROWE PRICE, INVEST WITH CONFIDENCE e l'immagine della pecora delle Montagne Rocciose sono, collettivamente e/o singolarmente, marchi commerciali di T. Rowe Price Group, Inc. </w:t>
      </w:r>
    </w:p>
    <w:p w14:paraId="47687665" w14:textId="0D92EADE" w:rsidR="00F22B24" w:rsidRDefault="00F22B24" w:rsidP="00F22B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4908E2" w14:textId="66028270" w:rsidR="00F22B24" w:rsidRPr="009D3927" w:rsidRDefault="00F22B24" w:rsidP="00F22B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202305 - </w:t>
      </w:r>
      <w:r w:rsidRPr="00F22B24">
        <w:rPr>
          <w:rFonts w:asciiTheme="minorHAnsi" w:hAnsiTheme="minorHAnsi" w:cstheme="minorHAnsi"/>
          <w:sz w:val="22"/>
          <w:szCs w:val="22"/>
        </w:rPr>
        <w:t>2908305</w:t>
      </w:r>
    </w:p>
    <w:p w14:paraId="059693D6" w14:textId="77777777" w:rsidR="00F22B24" w:rsidRPr="007A1F88" w:rsidRDefault="00F22B24" w:rsidP="00550513">
      <w:pPr>
        <w:spacing w:after="0"/>
        <w:contextualSpacing/>
        <w:rPr>
          <w:rFonts w:ascii="Arial" w:hAnsi="Arial" w:cs="Arial"/>
          <w:lang w:val="it-IT"/>
        </w:rPr>
      </w:pPr>
    </w:p>
    <w:p w14:paraId="7DD78E83" w14:textId="33557711" w:rsidR="00DB245F" w:rsidRPr="004C3E7B" w:rsidRDefault="00DB245F">
      <w:pPr>
        <w:spacing w:after="0"/>
        <w:contextualSpacing/>
        <w:rPr>
          <w:rFonts w:ascii="Arial" w:hAnsi="Arial" w:cs="Arial"/>
          <w:lang w:val="it-IT"/>
        </w:rPr>
      </w:pPr>
    </w:p>
    <w:sectPr w:rsidR="00DB245F" w:rsidRPr="004C3E7B" w:rsidSect="00D85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4152" w14:textId="77777777" w:rsidR="009733E1" w:rsidRDefault="009733E1" w:rsidP="0084453D">
      <w:pPr>
        <w:spacing w:after="0" w:line="240" w:lineRule="auto"/>
      </w:pPr>
      <w:r>
        <w:separator/>
      </w:r>
    </w:p>
  </w:endnote>
  <w:endnote w:type="continuationSeparator" w:id="0">
    <w:p w14:paraId="1F359881" w14:textId="77777777" w:rsidR="009733E1" w:rsidRDefault="009733E1" w:rsidP="0084453D">
      <w:pPr>
        <w:spacing w:after="0" w:line="240" w:lineRule="auto"/>
      </w:pPr>
      <w:r>
        <w:continuationSeparator/>
      </w:r>
    </w:p>
  </w:endnote>
  <w:endnote w:type="continuationNotice" w:id="1">
    <w:p w14:paraId="33278509" w14:textId="77777777" w:rsidR="009733E1" w:rsidRDefault="00973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47C1" w14:textId="77777777" w:rsidR="00D85B06" w:rsidRDefault="00D85B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E52D" w14:textId="77777777" w:rsidR="00D85B06" w:rsidRDefault="00D85B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40F9" w14:textId="77777777" w:rsidR="00D85B06" w:rsidRDefault="00D85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9381" w14:textId="77777777" w:rsidR="009733E1" w:rsidRDefault="009733E1" w:rsidP="0084453D">
      <w:pPr>
        <w:spacing w:after="0" w:line="240" w:lineRule="auto"/>
      </w:pPr>
      <w:r>
        <w:separator/>
      </w:r>
    </w:p>
  </w:footnote>
  <w:footnote w:type="continuationSeparator" w:id="0">
    <w:p w14:paraId="7A68E6B7" w14:textId="77777777" w:rsidR="009733E1" w:rsidRDefault="009733E1" w:rsidP="0084453D">
      <w:pPr>
        <w:spacing w:after="0" w:line="240" w:lineRule="auto"/>
      </w:pPr>
      <w:r>
        <w:continuationSeparator/>
      </w:r>
    </w:p>
  </w:footnote>
  <w:footnote w:type="continuationNotice" w:id="1">
    <w:p w14:paraId="22B809ED" w14:textId="77777777" w:rsidR="009733E1" w:rsidRDefault="009733E1">
      <w:pPr>
        <w:spacing w:after="0" w:line="240" w:lineRule="auto"/>
      </w:pPr>
    </w:p>
  </w:footnote>
  <w:footnote w:id="2">
    <w:p w14:paraId="31688197" w14:textId="78EFC307" w:rsidR="00386724" w:rsidRPr="007A1F88" w:rsidRDefault="00386724">
      <w:pPr>
        <w:pStyle w:val="Testonotaapidipagina"/>
        <w:rPr>
          <w:rFonts w:ascii="Arial" w:hAnsi="Arial" w:cs="Arial"/>
          <w:i/>
          <w:iCs/>
          <w:sz w:val="18"/>
          <w:szCs w:val="18"/>
          <w:lang w:val="it-IT"/>
        </w:rPr>
      </w:pPr>
      <w:r w:rsidRPr="007A1F88">
        <w:rPr>
          <w:rStyle w:val="Rimandonotaapidipagina"/>
          <w:rFonts w:ascii="Arial" w:hAnsi="Arial" w:cs="Arial"/>
          <w:i/>
          <w:iCs/>
          <w:sz w:val="18"/>
          <w:szCs w:val="18"/>
        </w:rPr>
        <w:footnoteRef/>
      </w:r>
      <w:r w:rsidRPr="007A1F88">
        <w:rPr>
          <w:rFonts w:ascii="Arial" w:hAnsi="Arial" w:cs="Arial"/>
          <w:i/>
          <w:iCs/>
          <w:sz w:val="18"/>
          <w:szCs w:val="18"/>
          <w:lang w:val="it-IT"/>
        </w:rPr>
        <w:t xml:space="preserve"> Mille interviste condotte</w:t>
      </w:r>
      <w:r>
        <w:rPr>
          <w:rFonts w:ascii="Arial" w:hAnsi="Arial" w:cs="Arial"/>
          <w:i/>
          <w:iCs/>
          <w:sz w:val="18"/>
          <w:szCs w:val="18"/>
          <w:lang w:val="it-IT"/>
        </w:rPr>
        <w:t>,</w:t>
      </w:r>
      <w:r w:rsidRPr="00386724"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  <w:r w:rsidRPr="008B5186">
        <w:rPr>
          <w:rFonts w:ascii="Arial" w:hAnsi="Arial" w:cs="Arial"/>
          <w:i/>
          <w:iCs/>
          <w:sz w:val="18"/>
          <w:szCs w:val="18"/>
          <w:lang w:val="it-IT"/>
        </w:rPr>
        <w:t>a maggio 2023</w:t>
      </w:r>
      <w:r>
        <w:rPr>
          <w:rFonts w:ascii="Arial" w:hAnsi="Arial" w:cs="Arial"/>
          <w:i/>
          <w:iCs/>
          <w:sz w:val="18"/>
          <w:szCs w:val="18"/>
          <w:lang w:val="it-IT"/>
        </w:rPr>
        <w:t>,</w:t>
      </w:r>
      <w:r w:rsidRPr="007A1F88">
        <w:rPr>
          <w:rFonts w:ascii="Arial" w:hAnsi="Arial" w:cs="Arial"/>
          <w:i/>
          <w:iCs/>
          <w:sz w:val="18"/>
          <w:szCs w:val="18"/>
          <w:lang w:val="it-IT"/>
        </w:rPr>
        <w:t xml:space="preserve"> su</w:t>
      </w:r>
      <w:r>
        <w:rPr>
          <w:rFonts w:ascii="Arial" w:hAnsi="Arial" w:cs="Arial"/>
          <w:i/>
          <w:iCs/>
          <w:sz w:val="18"/>
          <w:szCs w:val="18"/>
          <w:lang w:val="it-IT"/>
        </w:rPr>
        <w:t xml:space="preserve"> un</w:t>
      </w:r>
      <w:r w:rsidRPr="007A1F88">
        <w:rPr>
          <w:rFonts w:ascii="Arial" w:hAnsi="Arial" w:cs="Arial"/>
          <w:i/>
          <w:iCs/>
          <w:sz w:val="18"/>
          <w:szCs w:val="18"/>
          <w:lang w:val="it-IT"/>
        </w:rPr>
        <w:t xml:space="preserve"> campione rappresentativo per area geografica, genere e classe d’età.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4121" w14:textId="77777777" w:rsidR="00D85B06" w:rsidRDefault="00D85B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A940" w14:textId="09F15339" w:rsidR="00F65F84" w:rsidRDefault="00BE40A1">
    <w:pPr>
      <w:pStyle w:val="Intestazione"/>
    </w:pPr>
    <w:r>
      <w:rPr>
        <w:noProof/>
      </w:rPr>
      <w:drawing>
        <wp:inline distT="0" distB="0" distL="0" distR="0" wp14:anchorId="4E7F5AD5" wp14:editId="2FF379EA">
          <wp:extent cx="5943600" cy="521431"/>
          <wp:effectExtent l="0" t="0" r="0" b="0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P-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25D78" w14:textId="77777777" w:rsidR="00BE40A1" w:rsidRDefault="00BE40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0747" w14:textId="77777777" w:rsidR="00D85B06" w:rsidRDefault="00D85B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F48"/>
    <w:multiLevelType w:val="hybridMultilevel"/>
    <w:tmpl w:val="F30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FA6"/>
    <w:multiLevelType w:val="hybridMultilevel"/>
    <w:tmpl w:val="C780FB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7291A"/>
    <w:multiLevelType w:val="hybridMultilevel"/>
    <w:tmpl w:val="53008660"/>
    <w:lvl w:ilvl="0" w:tplc="DE1A4A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B2A"/>
    <w:multiLevelType w:val="hybridMultilevel"/>
    <w:tmpl w:val="3C0A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4C18"/>
    <w:multiLevelType w:val="hybridMultilevel"/>
    <w:tmpl w:val="CD3E6C36"/>
    <w:lvl w:ilvl="0" w:tplc="AD34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8C6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4C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667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C43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40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274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0A5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C7E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938991">
    <w:abstractNumId w:val="4"/>
  </w:num>
  <w:num w:numId="2" w16cid:durableId="2035419869">
    <w:abstractNumId w:val="3"/>
  </w:num>
  <w:num w:numId="3" w16cid:durableId="1501576550">
    <w:abstractNumId w:val="0"/>
  </w:num>
  <w:num w:numId="4" w16cid:durableId="434404458">
    <w:abstractNumId w:val="1"/>
  </w:num>
  <w:num w:numId="5" w16cid:durableId="24068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65"/>
    <w:rsid w:val="000008F1"/>
    <w:rsid w:val="000009EB"/>
    <w:rsid w:val="00004116"/>
    <w:rsid w:val="00017768"/>
    <w:rsid w:val="00021BDF"/>
    <w:rsid w:val="00025927"/>
    <w:rsid w:val="00035023"/>
    <w:rsid w:val="00045B9A"/>
    <w:rsid w:val="00046822"/>
    <w:rsid w:val="0005399A"/>
    <w:rsid w:val="00057BD6"/>
    <w:rsid w:val="00065AE4"/>
    <w:rsid w:val="00070F06"/>
    <w:rsid w:val="00072287"/>
    <w:rsid w:val="000732EC"/>
    <w:rsid w:val="00074BC5"/>
    <w:rsid w:val="00082B64"/>
    <w:rsid w:val="00093D86"/>
    <w:rsid w:val="0009540D"/>
    <w:rsid w:val="000A1940"/>
    <w:rsid w:val="000A1A7B"/>
    <w:rsid w:val="000A4D9E"/>
    <w:rsid w:val="000A5352"/>
    <w:rsid w:val="000B4027"/>
    <w:rsid w:val="000B5B63"/>
    <w:rsid w:val="000C2215"/>
    <w:rsid w:val="000C43B6"/>
    <w:rsid w:val="000C7A26"/>
    <w:rsid w:val="000C7B7B"/>
    <w:rsid w:val="000D1D73"/>
    <w:rsid w:val="000D3FA7"/>
    <w:rsid w:val="000E0652"/>
    <w:rsid w:val="000E12B3"/>
    <w:rsid w:val="000F2C18"/>
    <w:rsid w:val="000F2DB9"/>
    <w:rsid w:val="000F3DA2"/>
    <w:rsid w:val="000F4216"/>
    <w:rsid w:val="000F4B20"/>
    <w:rsid w:val="000F6C65"/>
    <w:rsid w:val="00102033"/>
    <w:rsid w:val="001366DA"/>
    <w:rsid w:val="0014273F"/>
    <w:rsid w:val="00147406"/>
    <w:rsid w:val="00150242"/>
    <w:rsid w:val="00164758"/>
    <w:rsid w:val="001653DE"/>
    <w:rsid w:val="00166902"/>
    <w:rsid w:val="00180B89"/>
    <w:rsid w:val="00182625"/>
    <w:rsid w:val="00186DD5"/>
    <w:rsid w:val="001A104B"/>
    <w:rsid w:val="001B0B2F"/>
    <w:rsid w:val="001C32B9"/>
    <w:rsid w:val="001D7A61"/>
    <w:rsid w:val="001E50AD"/>
    <w:rsid w:val="00203B15"/>
    <w:rsid w:val="002337B6"/>
    <w:rsid w:val="00234465"/>
    <w:rsid w:val="00234AC4"/>
    <w:rsid w:val="00245424"/>
    <w:rsid w:val="00246263"/>
    <w:rsid w:val="00254444"/>
    <w:rsid w:val="002672A3"/>
    <w:rsid w:val="00291381"/>
    <w:rsid w:val="002922AE"/>
    <w:rsid w:val="00293ACF"/>
    <w:rsid w:val="00296D2D"/>
    <w:rsid w:val="002C1944"/>
    <w:rsid w:val="002C4B08"/>
    <w:rsid w:val="002C763E"/>
    <w:rsid w:val="002D060D"/>
    <w:rsid w:val="002D3895"/>
    <w:rsid w:val="002D78D3"/>
    <w:rsid w:val="002E7E36"/>
    <w:rsid w:val="002E7F17"/>
    <w:rsid w:val="002F04DD"/>
    <w:rsid w:val="002F5B97"/>
    <w:rsid w:val="00300EBB"/>
    <w:rsid w:val="00302FD3"/>
    <w:rsid w:val="00311CF5"/>
    <w:rsid w:val="003129A9"/>
    <w:rsid w:val="0031517F"/>
    <w:rsid w:val="00321424"/>
    <w:rsid w:val="00326466"/>
    <w:rsid w:val="003264C0"/>
    <w:rsid w:val="003279DA"/>
    <w:rsid w:val="003340F6"/>
    <w:rsid w:val="00334FC6"/>
    <w:rsid w:val="00335464"/>
    <w:rsid w:val="00344E7A"/>
    <w:rsid w:val="00345A1E"/>
    <w:rsid w:val="00350F2C"/>
    <w:rsid w:val="00357A91"/>
    <w:rsid w:val="00362F6C"/>
    <w:rsid w:val="003700D5"/>
    <w:rsid w:val="0038142E"/>
    <w:rsid w:val="0038398E"/>
    <w:rsid w:val="00386724"/>
    <w:rsid w:val="0038724F"/>
    <w:rsid w:val="00391A5D"/>
    <w:rsid w:val="00391E18"/>
    <w:rsid w:val="00392D65"/>
    <w:rsid w:val="00394070"/>
    <w:rsid w:val="003A3828"/>
    <w:rsid w:val="003A5626"/>
    <w:rsid w:val="003A7794"/>
    <w:rsid w:val="003B073C"/>
    <w:rsid w:val="003B1A1E"/>
    <w:rsid w:val="003B1C3F"/>
    <w:rsid w:val="003C30F4"/>
    <w:rsid w:val="003C767E"/>
    <w:rsid w:val="003D368D"/>
    <w:rsid w:val="003E7055"/>
    <w:rsid w:val="003F5D3A"/>
    <w:rsid w:val="0040397F"/>
    <w:rsid w:val="00407105"/>
    <w:rsid w:val="00415AB0"/>
    <w:rsid w:val="004235C3"/>
    <w:rsid w:val="00423F50"/>
    <w:rsid w:val="00424579"/>
    <w:rsid w:val="004256E1"/>
    <w:rsid w:val="0042593A"/>
    <w:rsid w:val="00433C67"/>
    <w:rsid w:val="004362EB"/>
    <w:rsid w:val="0043791C"/>
    <w:rsid w:val="0044038E"/>
    <w:rsid w:val="00440E57"/>
    <w:rsid w:val="004420FE"/>
    <w:rsid w:val="00445695"/>
    <w:rsid w:val="00452776"/>
    <w:rsid w:val="00453B2E"/>
    <w:rsid w:val="00470BDB"/>
    <w:rsid w:val="00472800"/>
    <w:rsid w:val="00474733"/>
    <w:rsid w:val="004864D2"/>
    <w:rsid w:val="004A0519"/>
    <w:rsid w:val="004A08D8"/>
    <w:rsid w:val="004B1442"/>
    <w:rsid w:val="004B4C6F"/>
    <w:rsid w:val="004B592B"/>
    <w:rsid w:val="004B5DE2"/>
    <w:rsid w:val="004C2C7B"/>
    <w:rsid w:val="004C3E7B"/>
    <w:rsid w:val="004C4F5D"/>
    <w:rsid w:val="004D024F"/>
    <w:rsid w:val="004D37CF"/>
    <w:rsid w:val="004D5D6D"/>
    <w:rsid w:val="004E6270"/>
    <w:rsid w:val="004E77B5"/>
    <w:rsid w:val="004F2888"/>
    <w:rsid w:val="004F3D22"/>
    <w:rsid w:val="00500424"/>
    <w:rsid w:val="00502535"/>
    <w:rsid w:val="00510153"/>
    <w:rsid w:val="00515DDD"/>
    <w:rsid w:val="00525139"/>
    <w:rsid w:val="00526F76"/>
    <w:rsid w:val="00535D56"/>
    <w:rsid w:val="00536FF0"/>
    <w:rsid w:val="00550082"/>
    <w:rsid w:val="00550513"/>
    <w:rsid w:val="00553A71"/>
    <w:rsid w:val="005555FF"/>
    <w:rsid w:val="005560A7"/>
    <w:rsid w:val="00557C38"/>
    <w:rsid w:val="005620D8"/>
    <w:rsid w:val="0056300F"/>
    <w:rsid w:val="005640ED"/>
    <w:rsid w:val="00584DFC"/>
    <w:rsid w:val="005902C4"/>
    <w:rsid w:val="005967AC"/>
    <w:rsid w:val="00596A81"/>
    <w:rsid w:val="00596B26"/>
    <w:rsid w:val="005A2B22"/>
    <w:rsid w:val="005A599E"/>
    <w:rsid w:val="005A7816"/>
    <w:rsid w:val="005B21A1"/>
    <w:rsid w:val="005B285F"/>
    <w:rsid w:val="005C23B3"/>
    <w:rsid w:val="005C4D4B"/>
    <w:rsid w:val="005C6F93"/>
    <w:rsid w:val="005D51A1"/>
    <w:rsid w:val="005E3D95"/>
    <w:rsid w:val="005E3DC8"/>
    <w:rsid w:val="005E6D1F"/>
    <w:rsid w:val="005E706E"/>
    <w:rsid w:val="005F6F03"/>
    <w:rsid w:val="006011B2"/>
    <w:rsid w:val="00601774"/>
    <w:rsid w:val="0060375B"/>
    <w:rsid w:val="006068AC"/>
    <w:rsid w:val="00612626"/>
    <w:rsid w:val="00612671"/>
    <w:rsid w:val="0062263C"/>
    <w:rsid w:val="00625DD9"/>
    <w:rsid w:val="006473F5"/>
    <w:rsid w:val="00647461"/>
    <w:rsid w:val="00647578"/>
    <w:rsid w:val="006512F1"/>
    <w:rsid w:val="00653E92"/>
    <w:rsid w:val="006623E1"/>
    <w:rsid w:val="00665841"/>
    <w:rsid w:val="0066747D"/>
    <w:rsid w:val="00681F14"/>
    <w:rsid w:val="00683319"/>
    <w:rsid w:val="00687BCB"/>
    <w:rsid w:val="00694097"/>
    <w:rsid w:val="00696AA3"/>
    <w:rsid w:val="006A1871"/>
    <w:rsid w:val="006A1B37"/>
    <w:rsid w:val="006A2D8C"/>
    <w:rsid w:val="006C03F8"/>
    <w:rsid w:val="006C5E1B"/>
    <w:rsid w:val="006E5952"/>
    <w:rsid w:val="006F0E39"/>
    <w:rsid w:val="0070315C"/>
    <w:rsid w:val="0070352E"/>
    <w:rsid w:val="00703B53"/>
    <w:rsid w:val="0070651E"/>
    <w:rsid w:val="00707916"/>
    <w:rsid w:val="00715139"/>
    <w:rsid w:val="00724CCF"/>
    <w:rsid w:val="00733A0A"/>
    <w:rsid w:val="00735309"/>
    <w:rsid w:val="00736650"/>
    <w:rsid w:val="00752B32"/>
    <w:rsid w:val="00757196"/>
    <w:rsid w:val="00773F9B"/>
    <w:rsid w:val="007748C0"/>
    <w:rsid w:val="00774A9A"/>
    <w:rsid w:val="0078741A"/>
    <w:rsid w:val="00791F45"/>
    <w:rsid w:val="00792401"/>
    <w:rsid w:val="00792C1F"/>
    <w:rsid w:val="007A1F88"/>
    <w:rsid w:val="007B05B4"/>
    <w:rsid w:val="007B0DE0"/>
    <w:rsid w:val="007B14EA"/>
    <w:rsid w:val="007B7101"/>
    <w:rsid w:val="007C02B0"/>
    <w:rsid w:val="007C095F"/>
    <w:rsid w:val="007D1824"/>
    <w:rsid w:val="007F3D2A"/>
    <w:rsid w:val="0080607D"/>
    <w:rsid w:val="00816DBE"/>
    <w:rsid w:val="00820F68"/>
    <w:rsid w:val="00832946"/>
    <w:rsid w:val="00834A59"/>
    <w:rsid w:val="008402CC"/>
    <w:rsid w:val="0084453D"/>
    <w:rsid w:val="008461A9"/>
    <w:rsid w:val="0085118A"/>
    <w:rsid w:val="00855E51"/>
    <w:rsid w:val="00867BAE"/>
    <w:rsid w:val="00867C08"/>
    <w:rsid w:val="008713BA"/>
    <w:rsid w:val="008748E1"/>
    <w:rsid w:val="008769C2"/>
    <w:rsid w:val="00881396"/>
    <w:rsid w:val="00881621"/>
    <w:rsid w:val="00884862"/>
    <w:rsid w:val="008908BD"/>
    <w:rsid w:val="0089395B"/>
    <w:rsid w:val="00893EE8"/>
    <w:rsid w:val="00897860"/>
    <w:rsid w:val="008A179F"/>
    <w:rsid w:val="008A5D11"/>
    <w:rsid w:val="008B27D3"/>
    <w:rsid w:val="008B5505"/>
    <w:rsid w:val="008B67EF"/>
    <w:rsid w:val="008C0B22"/>
    <w:rsid w:val="008C15E7"/>
    <w:rsid w:val="008C34D8"/>
    <w:rsid w:val="008C5974"/>
    <w:rsid w:val="008E10B2"/>
    <w:rsid w:val="008E40CD"/>
    <w:rsid w:val="008F1693"/>
    <w:rsid w:val="008F1937"/>
    <w:rsid w:val="009077C4"/>
    <w:rsid w:val="00912C53"/>
    <w:rsid w:val="00917345"/>
    <w:rsid w:val="00923CC5"/>
    <w:rsid w:val="009472BE"/>
    <w:rsid w:val="00947700"/>
    <w:rsid w:val="00952994"/>
    <w:rsid w:val="009567C1"/>
    <w:rsid w:val="00956FF0"/>
    <w:rsid w:val="009657AE"/>
    <w:rsid w:val="00966A03"/>
    <w:rsid w:val="009733E1"/>
    <w:rsid w:val="00983127"/>
    <w:rsid w:val="00985C02"/>
    <w:rsid w:val="00986D92"/>
    <w:rsid w:val="00990C30"/>
    <w:rsid w:val="009A06A6"/>
    <w:rsid w:val="009B3CB8"/>
    <w:rsid w:val="009B551D"/>
    <w:rsid w:val="009B7643"/>
    <w:rsid w:val="009C1BC9"/>
    <w:rsid w:val="009C1FF7"/>
    <w:rsid w:val="009C26FA"/>
    <w:rsid w:val="009C2D24"/>
    <w:rsid w:val="009C557F"/>
    <w:rsid w:val="009D2E30"/>
    <w:rsid w:val="009E2BFB"/>
    <w:rsid w:val="009E7898"/>
    <w:rsid w:val="009F4B43"/>
    <w:rsid w:val="009F4D0B"/>
    <w:rsid w:val="009F6EBD"/>
    <w:rsid w:val="00A02D65"/>
    <w:rsid w:val="00A02FC4"/>
    <w:rsid w:val="00A11C4C"/>
    <w:rsid w:val="00A12981"/>
    <w:rsid w:val="00A33CA5"/>
    <w:rsid w:val="00A341E6"/>
    <w:rsid w:val="00A34378"/>
    <w:rsid w:val="00A354A2"/>
    <w:rsid w:val="00A45251"/>
    <w:rsid w:val="00A45DF3"/>
    <w:rsid w:val="00A468CB"/>
    <w:rsid w:val="00A521C6"/>
    <w:rsid w:val="00A533CD"/>
    <w:rsid w:val="00A53711"/>
    <w:rsid w:val="00A65780"/>
    <w:rsid w:val="00A749C0"/>
    <w:rsid w:val="00A81A19"/>
    <w:rsid w:val="00A829E1"/>
    <w:rsid w:val="00A93FFF"/>
    <w:rsid w:val="00A94AC8"/>
    <w:rsid w:val="00A962B8"/>
    <w:rsid w:val="00AA50B8"/>
    <w:rsid w:val="00AA6265"/>
    <w:rsid w:val="00AA6F14"/>
    <w:rsid w:val="00AA7DE8"/>
    <w:rsid w:val="00AC6318"/>
    <w:rsid w:val="00AD2DAB"/>
    <w:rsid w:val="00AE5C50"/>
    <w:rsid w:val="00B10BDE"/>
    <w:rsid w:val="00B1117B"/>
    <w:rsid w:val="00B17E1E"/>
    <w:rsid w:val="00B23125"/>
    <w:rsid w:val="00B311B6"/>
    <w:rsid w:val="00B404ED"/>
    <w:rsid w:val="00B4336A"/>
    <w:rsid w:val="00B45015"/>
    <w:rsid w:val="00B5348A"/>
    <w:rsid w:val="00B64A1D"/>
    <w:rsid w:val="00B65FBE"/>
    <w:rsid w:val="00B73885"/>
    <w:rsid w:val="00B80192"/>
    <w:rsid w:val="00B87A26"/>
    <w:rsid w:val="00B91154"/>
    <w:rsid w:val="00B97FE0"/>
    <w:rsid w:val="00BA366B"/>
    <w:rsid w:val="00BA6341"/>
    <w:rsid w:val="00BA719C"/>
    <w:rsid w:val="00BB4E05"/>
    <w:rsid w:val="00BD1119"/>
    <w:rsid w:val="00BD30C4"/>
    <w:rsid w:val="00BD59D1"/>
    <w:rsid w:val="00BE40A1"/>
    <w:rsid w:val="00BF4961"/>
    <w:rsid w:val="00BF5FD8"/>
    <w:rsid w:val="00BF6AAD"/>
    <w:rsid w:val="00BF74F8"/>
    <w:rsid w:val="00C0090F"/>
    <w:rsid w:val="00C065F7"/>
    <w:rsid w:val="00C06B04"/>
    <w:rsid w:val="00C079F3"/>
    <w:rsid w:val="00C13D91"/>
    <w:rsid w:val="00C30EED"/>
    <w:rsid w:val="00C3525E"/>
    <w:rsid w:val="00C4273B"/>
    <w:rsid w:val="00C67A16"/>
    <w:rsid w:val="00C71D45"/>
    <w:rsid w:val="00C74EEC"/>
    <w:rsid w:val="00C825A0"/>
    <w:rsid w:val="00C91613"/>
    <w:rsid w:val="00C9178D"/>
    <w:rsid w:val="00C92CC5"/>
    <w:rsid w:val="00C95996"/>
    <w:rsid w:val="00CA1FB0"/>
    <w:rsid w:val="00CB129F"/>
    <w:rsid w:val="00CB1C19"/>
    <w:rsid w:val="00CB2CA1"/>
    <w:rsid w:val="00CC5265"/>
    <w:rsid w:val="00CD5EA9"/>
    <w:rsid w:val="00CD7932"/>
    <w:rsid w:val="00CE1D0C"/>
    <w:rsid w:val="00CE416E"/>
    <w:rsid w:val="00CE5A4C"/>
    <w:rsid w:val="00CE69DA"/>
    <w:rsid w:val="00D034EE"/>
    <w:rsid w:val="00D11660"/>
    <w:rsid w:val="00D13906"/>
    <w:rsid w:val="00D16AC4"/>
    <w:rsid w:val="00D32A07"/>
    <w:rsid w:val="00D36780"/>
    <w:rsid w:val="00D51728"/>
    <w:rsid w:val="00D51CA5"/>
    <w:rsid w:val="00D54584"/>
    <w:rsid w:val="00D550EC"/>
    <w:rsid w:val="00D57DDD"/>
    <w:rsid w:val="00D64C42"/>
    <w:rsid w:val="00D71E9D"/>
    <w:rsid w:val="00D7268C"/>
    <w:rsid w:val="00D768B5"/>
    <w:rsid w:val="00D769BF"/>
    <w:rsid w:val="00D775CB"/>
    <w:rsid w:val="00D80AE4"/>
    <w:rsid w:val="00D82F88"/>
    <w:rsid w:val="00D85B06"/>
    <w:rsid w:val="00D94D56"/>
    <w:rsid w:val="00DB192C"/>
    <w:rsid w:val="00DB245F"/>
    <w:rsid w:val="00DE0E52"/>
    <w:rsid w:val="00DF2413"/>
    <w:rsid w:val="00DF4724"/>
    <w:rsid w:val="00DF7A70"/>
    <w:rsid w:val="00E43B80"/>
    <w:rsid w:val="00E47FB5"/>
    <w:rsid w:val="00E513E4"/>
    <w:rsid w:val="00E57CD3"/>
    <w:rsid w:val="00E619B3"/>
    <w:rsid w:val="00E6451D"/>
    <w:rsid w:val="00E648B2"/>
    <w:rsid w:val="00E709E3"/>
    <w:rsid w:val="00E71108"/>
    <w:rsid w:val="00E82BA3"/>
    <w:rsid w:val="00E90223"/>
    <w:rsid w:val="00E96414"/>
    <w:rsid w:val="00EA365E"/>
    <w:rsid w:val="00EA3AC8"/>
    <w:rsid w:val="00EA5076"/>
    <w:rsid w:val="00EA7C35"/>
    <w:rsid w:val="00EB4B18"/>
    <w:rsid w:val="00EB522E"/>
    <w:rsid w:val="00EB5DF8"/>
    <w:rsid w:val="00EB7E6B"/>
    <w:rsid w:val="00EC007D"/>
    <w:rsid w:val="00ED18C1"/>
    <w:rsid w:val="00EE053A"/>
    <w:rsid w:val="00EE4890"/>
    <w:rsid w:val="00EE69E1"/>
    <w:rsid w:val="00EF1DAA"/>
    <w:rsid w:val="00EF41A5"/>
    <w:rsid w:val="00EF5063"/>
    <w:rsid w:val="00F03664"/>
    <w:rsid w:val="00F0780F"/>
    <w:rsid w:val="00F0791C"/>
    <w:rsid w:val="00F10DE0"/>
    <w:rsid w:val="00F122FA"/>
    <w:rsid w:val="00F216B4"/>
    <w:rsid w:val="00F22B24"/>
    <w:rsid w:val="00F23EE8"/>
    <w:rsid w:val="00F45B76"/>
    <w:rsid w:val="00F51694"/>
    <w:rsid w:val="00F65F84"/>
    <w:rsid w:val="00F76329"/>
    <w:rsid w:val="00F841A1"/>
    <w:rsid w:val="00F86D11"/>
    <w:rsid w:val="00F92AA2"/>
    <w:rsid w:val="00F9553B"/>
    <w:rsid w:val="00FA1490"/>
    <w:rsid w:val="00FA16F2"/>
    <w:rsid w:val="00FA212D"/>
    <w:rsid w:val="00FA5FFD"/>
    <w:rsid w:val="00FA6695"/>
    <w:rsid w:val="00FA708F"/>
    <w:rsid w:val="00FC59E8"/>
    <w:rsid w:val="00FD2EAF"/>
    <w:rsid w:val="00FE08FF"/>
    <w:rsid w:val="00FE28B3"/>
    <w:rsid w:val="00FE2FA8"/>
    <w:rsid w:val="00FF2FD6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B36582"/>
  <w15:chartTrackingRefBased/>
  <w15:docId w15:val="{C02935D1-2E10-4A75-9361-88AF8EB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392D6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81A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77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1A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A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A1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44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2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76"/>
  </w:style>
  <w:style w:type="paragraph" w:styleId="Pidipagina">
    <w:name w:val="footer"/>
    <w:basedOn w:val="Normale"/>
    <w:link w:val="PidipaginaCarattere"/>
    <w:uiPriority w:val="99"/>
    <w:unhideWhenUsed/>
    <w:rsid w:val="0052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76"/>
  </w:style>
  <w:style w:type="paragraph" w:styleId="Paragrafoelenco">
    <w:name w:val="List Paragraph"/>
    <w:basedOn w:val="Normale"/>
    <w:uiPriority w:val="34"/>
    <w:qFormat/>
    <w:rsid w:val="009C557F"/>
    <w:pPr>
      <w:spacing w:after="0" w:line="240" w:lineRule="auto"/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BF74F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F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0F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F0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2F6C"/>
    <w:rPr>
      <w:color w:val="605E5C"/>
      <w:shd w:val="clear" w:color="auto" w:fill="E1DFDD"/>
    </w:rPr>
  </w:style>
  <w:style w:type="paragraph" w:customStyle="1" w:styleId="Agenda1">
    <w:name w:val="Agenda 1"/>
    <w:basedOn w:val="Normale"/>
    <w:next w:val="Normale"/>
    <w:uiPriority w:val="99"/>
    <w:rsid w:val="00BE40A1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rial Black" w:eastAsia="Times New Roman" w:hAnsi="Arial Black" w:cs="Arial-Black"/>
      <w:color w:val="05C3DE"/>
      <w:sz w:val="20"/>
      <w:szCs w:val="20"/>
    </w:rPr>
  </w:style>
  <w:style w:type="paragraph" w:customStyle="1" w:styleId="AgendaBody">
    <w:name w:val="Agenda Body"/>
    <w:basedOn w:val="Normale"/>
    <w:uiPriority w:val="99"/>
    <w:rsid w:val="00BE40A1"/>
    <w:pPr>
      <w:widowControl w:val="0"/>
      <w:tabs>
        <w:tab w:val="left" w:pos="2700"/>
        <w:tab w:val="left" w:pos="3060"/>
        <w:tab w:val="left" w:pos="3420"/>
      </w:tabs>
      <w:suppressAutoHyphens/>
      <w:autoSpaceDE w:val="0"/>
      <w:autoSpaceDN w:val="0"/>
      <w:adjustRightInd w:val="0"/>
      <w:spacing w:after="0" w:line="400" w:lineRule="atLeast"/>
      <w:ind w:left="3427" w:hanging="3427"/>
      <w:textAlignment w:val="center"/>
    </w:pPr>
    <w:rPr>
      <w:rFonts w:ascii="Arial" w:eastAsia="Times New Roman" w:hAnsi="Arial" w:cs="ArialMT"/>
      <w:color w:val="000000"/>
      <w:sz w:val="20"/>
      <w:szCs w:val="20"/>
    </w:rPr>
  </w:style>
  <w:style w:type="paragraph" w:customStyle="1" w:styleId="Subhead">
    <w:name w:val="Subhead"/>
    <w:basedOn w:val="Normale"/>
    <w:link w:val="SubheadChar"/>
    <w:qFormat/>
    <w:rsid w:val="00BE40A1"/>
    <w:pPr>
      <w:spacing w:before="80" w:after="90" w:line="230" w:lineRule="exact"/>
    </w:pPr>
    <w:rPr>
      <w:rFonts w:ascii="Arial Bold" w:hAnsi="Arial Bold" w:cs="Arial"/>
      <w:b/>
      <w:caps/>
      <w:color w:val="44546A" w:themeColor="text2"/>
      <w:spacing w:val="4"/>
      <w:sz w:val="18"/>
      <w:szCs w:val="18"/>
      <w:lang w:val="en-GB"/>
    </w:rPr>
  </w:style>
  <w:style w:type="character" w:customStyle="1" w:styleId="SubheadChar">
    <w:name w:val="Subhead Char"/>
    <w:basedOn w:val="Carpredefinitoparagrafo"/>
    <w:link w:val="Subhead"/>
    <w:rsid w:val="00BE40A1"/>
    <w:rPr>
      <w:rFonts w:ascii="Arial Bold" w:hAnsi="Arial Bold" w:cs="Arial"/>
      <w:b/>
      <w:caps/>
      <w:color w:val="44546A" w:themeColor="text2"/>
      <w:spacing w:val="4"/>
      <w:sz w:val="18"/>
      <w:szCs w:val="18"/>
      <w:lang w:val="en-GB"/>
    </w:rPr>
  </w:style>
  <w:style w:type="paragraph" w:styleId="NormaleWeb">
    <w:name w:val="Normal (Web)"/>
    <w:basedOn w:val="Normale"/>
    <w:uiPriority w:val="99"/>
    <w:semiHidden/>
    <w:unhideWhenUsed/>
    <w:rsid w:val="00A8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basedOn w:val="Normale"/>
    <w:uiPriority w:val="1"/>
    <w:qFormat/>
    <w:rsid w:val="00004116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F10DE0"/>
    <w:rPr>
      <w:b/>
      <w:bCs/>
    </w:rPr>
  </w:style>
  <w:style w:type="paragraph" w:customStyle="1" w:styleId="Default">
    <w:name w:val="Default"/>
    <w:rsid w:val="00F22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wepric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0017-6330-41FB-B3FD-9AD71D58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Lewbart, Brian</dc:creator>
  <cp:lastModifiedBy>Diana Ferla</cp:lastModifiedBy>
  <cp:revision>4</cp:revision>
  <dcterms:created xsi:type="dcterms:W3CDTF">2023-05-17T09:48:00Z</dcterms:created>
  <dcterms:modified xsi:type="dcterms:W3CDTF">2023-05-18T07:15:00Z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0x01010088F78487D9D4464C88C885983D3AABFB</vt:lpwstr>
  </property>
  <property fmtid="{D5CDD505-2E9C-101B-9397-08002B2CF9AE}" pid="3" name="GrammarlyDocumentId">
    <vt:lpwstr>ae2f30cfc0b68f454d522d383522e074727f1c05b6da868b765712ee7449dfc6</vt:lpwstr>
  </property>
</Properties>
</file>