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49E7" w14:textId="25737532" w:rsidR="007A1D14" w:rsidRPr="00CD5A84" w:rsidRDefault="007A1D14" w:rsidP="005255FB">
      <w:pPr>
        <w:tabs>
          <w:tab w:val="left" w:pos="2880"/>
        </w:tabs>
        <w:spacing w:after="0" w:line="360" w:lineRule="auto"/>
        <w:ind w:left="-142" w:right="-143"/>
        <w:jc w:val="center"/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</w:pPr>
      <w:r w:rsidRPr="00CD5A84"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  <w:t>Comunicato stampa</w:t>
      </w:r>
    </w:p>
    <w:p w14:paraId="5963C11A" w14:textId="77777777" w:rsidR="000E3C11" w:rsidRPr="00CD5A84" w:rsidRDefault="000E3C11" w:rsidP="005255FB">
      <w:pPr>
        <w:tabs>
          <w:tab w:val="left" w:pos="2880"/>
        </w:tabs>
        <w:spacing w:after="0" w:line="360" w:lineRule="auto"/>
        <w:ind w:left="-142" w:right="-143"/>
        <w:jc w:val="center"/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</w:pPr>
    </w:p>
    <w:p w14:paraId="1AD05325" w14:textId="77777777" w:rsidR="002B4340" w:rsidRDefault="00490E90" w:rsidP="00913FF3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ACOMEA SGR </w:t>
      </w:r>
      <w:r w:rsidR="00913FF3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ADOTTA UN </w:t>
      </w:r>
      <w:r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NUOVO </w:t>
      </w:r>
      <w:r w:rsidR="00DC16D9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MODELLO</w:t>
      </w:r>
      <w:r w:rsidR="002B4340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 </w:t>
      </w:r>
      <w:r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DI ANALISI </w:t>
      </w:r>
    </w:p>
    <w:p w14:paraId="22BE08AB" w14:textId="698E7FF9" w:rsidR="00490E90" w:rsidRDefault="00490E90" w:rsidP="00913FF3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PER INDIVIDUARE LE </w:t>
      </w:r>
      <w:r w:rsidR="00AC27AF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GEMME </w:t>
      </w:r>
      <w:r w:rsidR="004F14F3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DEL SEGMENTO</w:t>
      </w:r>
      <w:r w:rsidR="00913FF3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 EGM</w:t>
      </w:r>
    </w:p>
    <w:p w14:paraId="42573217" w14:textId="6413422F" w:rsidR="00913FF3" w:rsidRPr="00B54B1E" w:rsidRDefault="00B4779B" w:rsidP="00913FF3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Sottovalutato il</w:t>
      </w:r>
      <w:r w:rsidR="00913FF3" w:rsidRPr="00B54B1E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 56% de</w:t>
      </w:r>
      <w:r w:rsidR="002B4340" w:rsidRPr="00B54B1E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lle </w:t>
      </w:r>
      <w:proofErr w:type="spellStart"/>
      <w:r w:rsidR="002B4340" w:rsidRPr="00B54B1E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microcap</w:t>
      </w:r>
      <w:proofErr w:type="spellEnd"/>
      <w:r w:rsidR="002B4340" w:rsidRPr="00B54B1E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 italiane </w:t>
      </w:r>
      <w:r w:rsidR="00913FF3" w:rsidRPr="00B54B1E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sull’Euronext Growth Milan</w:t>
      </w:r>
    </w:p>
    <w:p w14:paraId="7FAE1695" w14:textId="77777777" w:rsidR="00490E90" w:rsidRPr="00CD5A84" w:rsidRDefault="00490E90" w:rsidP="00891A67">
      <w:pPr>
        <w:spacing w:line="240" w:lineRule="auto"/>
        <w:ind w:left="-142" w:right="-143"/>
        <w:jc w:val="both"/>
        <w:rPr>
          <w:rFonts w:ascii="Verdana" w:eastAsia="MS Mincho" w:hAnsi="Verdana" w:cs="Arial"/>
          <w:i/>
          <w:iCs/>
          <w:snapToGrid w:val="0"/>
          <w:sz w:val="22"/>
          <w:lang w:val="it-IT"/>
        </w:rPr>
      </w:pPr>
    </w:p>
    <w:p w14:paraId="38BA7666" w14:textId="1989059E" w:rsidR="00157F3F" w:rsidRDefault="0068031B" w:rsidP="00AF63D3">
      <w:pPr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Milano, </w:t>
      </w:r>
      <w:r w:rsidR="00A9150B">
        <w:rPr>
          <w:rFonts w:ascii="Verdana" w:eastAsia="MS Mincho" w:hAnsi="Verdana" w:cs="Arial"/>
          <w:i/>
          <w:iCs/>
          <w:snapToGrid w:val="0"/>
          <w:sz w:val="22"/>
          <w:lang w:val="it-IT"/>
        </w:rPr>
        <w:t>24</w:t>
      </w:r>
      <w:r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</w:t>
      </w:r>
      <w:r w:rsidR="00AF63D3"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>maggio</w:t>
      </w:r>
      <w:r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202</w:t>
      </w:r>
      <w:r w:rsidR="00970645"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>3</w:t>
      </w:r>
      <w:r w:rsidRPr="00AF63D3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EA0308" w:rsidRPr="00AF63D3">
        <w:rPr>
          <w:rFonts w:ascii="Verdana" w:eastAsia="MS Mincho" w:hAnsi="Verdana" w:cs="Arial"/>
          <w:snapToGrid w:val="0"/>
          <w:sz w:val="22"/>
          <w:lang w:val="it-IT"/>
        </w:rPr>
        <w:t>–</w:t>
      </w:r>
      <w:r w:rsidRPr="00AF63D3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157F3F" w:rsidRPr="006E5BCA">
        <w:rPr>
          <w:rFonts w:ascii="Verdana" w:eastAsia="MS Mincho" w:hAnsi="Verdana" w:cs="Arial"/>
          <w:b/>
          <w:bCs/>
          <w:snapToGrid w:val="0"/>
          <w:sz w:val="22"/>
          <w:lang w:val="it-IT"/>
        </w:rPr>
        <w:t>AcomeA SGR</w:t>
      </w:r>
      <w:r w:rsidR="00157F3F" w:rsidRPr="009E1501">
        <w:rPr>
          <w:rFonts w:ascii="Verdana" w:eastAsia="MS Mincho" w:hAnsi="Verdana" w:cs="Arial"/>
          <w:snapToGrid w:val="0"/>
          <w:sz w:val="22"/>
          <w:lang w:val="it-IT"/>
        </w:rPr>
        <w:t>,</w:t>
      </w:r>
      <w:r w:rsidR="00157F3F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 </w:t>
      </w:r>
      <w:r w:rsidR="00157F3F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boutique di investimento indipendente italiana caratterizzata da un approccio </w:t>
      </w:r>
      <w:proofErr w:type="spellStart"/>
      <w:r w:rsidR="00157F3F" w:rsidRPr="00CD5A84">
        <w:rPr>
          <w:rFonts w:ascii="Verdana" w:eastAsia="MS Mincho" w:hAnsi="Verdana" w:cs="Arial"/>
          <w:snapToGrid w:val="0"/>
          <w:sz w:val="22"/>
          <w:lang w:val="it-IT"/>
        </w:rPr>
        <w:t>value</w:t>
      </w:r>
      <w:proofErr w:type="spellEnd"/>
      <w:r w:rsidR="00157F3F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proofErr w:type="spellStart"/>
      <w:r w:rsidR="009E1501">
        <w:rPr>
          <w:rFonts w:ascii="Verdana" w:eastAsia="MS Mincho" w:hAnsi="Verdana" w:cs="Arial"/>
          <w:snapToGrid w:val="0"/>
          <w:sz w:val="22"/>
          <w:lang w:val="it-IT"/>
        </w:rPr>
        <w:t>contrarian</w:t>
      </w:r>
      <w:proofErr w:type="spellEnd"/>
      <w:r w:rsidR="009E1501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157F3F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alla gestione attiva di fondi UCITS e </w:t>
      </w:r>
      <w:proofErr w:type="spellStart"/>
      <w:r w:rsidR="00157F3F" w:rsidRPr="00CD5A84">
        <w:rPr>
          <w:rFonts w:ascii="Verdana" w:eastAsia="MS Mincho" w:hAnsi="Verdana" w:cs="Arial"/>
          <w:snapToGrid w:val="0"/>
          <w:sz w:val="22"/>
          <w:lang w:val="it-IT"/>
        </w:rPr>
        <w:t>liquid</w:t>
      </w:r>
      <w:proofErr w:type="spellEnd"/>
      <w:r w:rsidR="00157F3F" w:rsidRPr="00CD5A84">
        <w:rPr>
          <w:rFonts w:ascii="Verdana" w:eastAsia="MS Mincho" w:hAnsi="Verdana" w:cs="Arial"/>
          <w:snapToGrid w:val="0"/>
          <w:sz w:val="22"/>
          <w:lang w:val="it-IT"/>
        </w:rPr>
        <w:t xml:space="preserve"> alternative</w:t>
      </w:r>
      <w:r w:rsidR="00157F3F">
        <w:rPr>
          <w:rFonts w:ascii="Verdana" w:eastAsia="MS Mincho" w:hAnsi="Verdana" w:cs="Arial"/>
          <w:snapToGrid w:val="0"/>
          <w:sz w:val="22"/>
          <w:lang w:val="it-IT"/>
        </w:rPr>
        <w:t xml:space="preserve">, </w:t>
      </w:r>
      <w:r w:rsidR="00157F3F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ha messo a punto un nuovo modello di ricerca quantitativo proprietario per </w:t>
      </w:r>
      <w:r w:rsidR="00001144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>effettuare un’</w:t>
      </w:r>
      <w:r w:rsidR="00157F3F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>anali</w:t>
      </w:r>
      <w:r w:rsidR="00001144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>si</w:t>
      </w:r>
      <w:r w:rsidR="00157F3F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 </w:t>
      </w:r>
      <w:r w:rsidR="00001144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>su misura</w:t>
      </w:r>
      <w:r w:rsidR="00157F3F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 </w:t>
      </w:r>
      <w:r w:rsidR="00001144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>del</w:t>
      </w:r>
      <w:r w:rsidR="00157F3F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le </w:t>
      </w:r>
      <w:proofErr w:type="spellStart"/>
      <w:r w:rsidR="00157F3F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>microcap</w:t>
      </w:r>
      <w:proofErr w:type="spellEnd"/>
      <w:r w:rsidR="00157F3F" w:rsidRPr="00DB04F0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 italiane</w:t>
      </w:r>
      <w:r w:rsidR="00157F3F">
        <w:rPr>
          <w:rFonts w:ascii="Verdana" w:eastAsia="MS Mincho" w:hAnsi="Verdana" w:cs="Arial"/>
          <w:snapToGrid w:val="0"/>
          <w:sz w:val="22"/>
          <w:lang w:val="it-IT"/>
        </w:rPr>
        <w:t>, che presenta</w:t>
      </w:r>
      <w:r w:rsidR="00001144">
        <w:rPr>
          <w:rFonts w:ascii="Verdana" w:eastAsia="MS Mincho" w:hAnsi="Verdana" w:cs="Arial"/>
          <w:snapToGrid w:val="0"/>
          <w:sz w:val="22"/>
          <w:lang w:val="it-IT"/>
        </w:rPr>
        <w:t>no</w:t>
      </w:r>
      <w:r w:rsidR="00157F3F">
        <w:rPr>
          <w:rFonts w:ascii="Verdana" w:eastAsia="MS Mincho" w:hAnsi="Verdana" w:cs="Arial"/>
          <w:snapToGrid w:val="0"/>
          <w:sz w:val="22"/>
          <w:lang w:val="it-IT"/>
        </w:rPr>
        <w:t xml:space="preserve"> forti peculiarità rispetto alle realtà di maggiori dimensioni.</w:t>
      </w:r>
    </w:p>
    <w:p w14:paraId="6A8BFC80" w14:textId="431452FD" w:rsidR="00001144" w:rsidRPr="00F52DCB" w:rsidRDefault="00AC27AF" w:rsidP="00AF63D3">
      <w:pPr>
        <w:jc w:val="both"/>
        <w:rPr>
          <w:rFonts w:ascii="Verdana" w:hAnsi="Verdana"/>
          <w:sz w:val="22"/>
          <w:lang w:val="it-IT"/>
        </w:rPr>
      </w:pPr>
      <w:r>
        <w:rPr>
          <w:rFonts w:ascii="Verdana" w:eastAsia="MS Mincho" w:hAnsi="Verdana" w:cs="Arial"/>
          <w:snapToGrid w:val="0"/>
          <w:sz w:val="22"/>
          <w:lang w:val="it-IT"/>
        </w:rPr>
        <w:t>Questo strumento innovativo</w:t>
      </w:r>
      <w:r w:rsidR="00001144">
        <w:rPr>
          <w:rFonts w:ascii="Verdana" w:hAnsi="Verdana"/>
          <w:sz w:val="22"/>
          <w:lang w:val="it-IT"/>
        </w:rPr>
        <w:t xml:space="preserve"> ha messo in evidenza che il </w:t>
      </w:r>
      <w:r w:rsidR="00001144" w:rsidRPr="00FA7597">
        <w:rPr>
          <w:rFonts w:ascii="Verdana" w:hAnsi="Verdana"/>
          <w:b/>
          <w:bCs/>
          <w:sz w:val="22"/>
          <w:lang w:val="it-IT"/>
        </w:rPr>
        <w:t xml:space="preserve">56% delle società del segmento delle </w:t>
      </w:r>
      <w:proofErr w:type="spellStart"/>
      <w:r w:rsidR="00001144" w:rsidRPr="00FA7597">
        <w:rPr>
          <w:rFonts w:ascii="Verdana" w:hAnsi="Verdana"/>
          <w:b/>
          <w:bCs/>
          <w:sz w:val="22"/>
          <w:lang w:val="it-IT"/>
        </w:rPr>
        <w:t>microcapitalizzazioni</w:t>
      </w:r>
      <w:proofErr w:type="spellEnd"/>
      <w:r w:rsidR="00001144" w:rsidRPr="00FA7597">
        <w:rPr>
          <w:rFonts w:ascii="Verdana" w:hAnsi="Verdana"/>
          <w:b/>
          <w:bCs/>
          <w:sz w:val="22"/>
          <w:lang w:val="it-IT"/>
        </w:rPr>
        <w:t xml:space="preserve"> Euronext Growth Milan (EGM) è sottovalutato ai prezzi correnti</w:t>
      </w:r>
      <w:r w:rsidR="00051ECE">
        <w:rPr>
          <w:rFonts w:ascii="Verdana" w:hAnsi="Verdana"/>
          <w:b/>
          <w:bCs/>
          <w:sz w:val="22"/>
          <w:lang w:val="it-IT"/>
        </w:rPr>
        <w:t xml:space="preserve"> </w:t>
      </w:r>
      <w:r w:rsidR="00051ECE">
        <w:rPr>
          <w:rFonts w:ascii="Verdana" w:hAnsi="Verdana"/>
          <w:sz w:val="22"/>
          <w:lang w:val="it-IT"/>
        </w:rPr>
        <w:t>e che l</w:t>
      </w:r>
      <w:r w:rsidR="00051ECE" w:rsidRPr="002547F7">
        <w:rPr>
          <w:rFonts w:ascii="Verdana" w:hAnsi="Verdana"/>
          <w:b/>
          <w:bCs/>
          <w:sz w:val="22"/>
          <w:lang w:val="it-IT"/>
        </w:rPr>
        <w:t>’</w:t>
      </w:r>
      <w:proofErr w:type="spellStart"/>
      <w:r w:rsidR="00051ECE" w:rsidRPr="002547F7">
        <w:rPr>
          <w:rFonts w:ascii="Verdana" w:hAnsi="Verdana"/>
          <w:b/>
          <w:bCs/>
          <w:sz w:val="22"/>
          <w:lang w:val="it-IT"/>
        </w:rPr>
        <w:t>upside</w:t>
      </w:r>
      <w:proofErr w:type="spellEnd"/>
      <w:r w:rsidR="00051ECE" w:rsidRPr="002547F7">
        <w:rPr>
          <w:rFonts w:ascii="Verdana" w:hAnsi="Verdana"/>
          <w:b/>
          <w:bCs/>
          <w:sz w:val="22"/>
          <w:lang w:val="it-IT"/>
        </w:rPr>
        <w:t xml:space="preserve"> potenziale medio di </w:t>
      </w:r>
      <w:r w:rsidR="00051ECE">
        <w:rPr>
          <w:rFonts w:ascii="Verdana" w:hAnsi="Verdana"/>
          <w:b/>
          <w:bCs/>
          <w:sz w:val="22"/>
          <w:lang w:val="it-IT"/>
        </w:rPr>
        <w:t xml:space="preserve">questi </w:t>
      </w:r>
      <w:r w:rsidR="00051ECE" w:rsidRPr="002547F7">
        <w:rPr>
          <w:rFonts w:ascii="Verdana" w:hAnsi="Verdana"/>
          <w:b/>
          <w:bCs/>
          <w:sz w:val="22"/>
          <w:lang w:val="it-IT"/>
        </w:rPr>
        <w:t>titoli è del 29%</w:t>
      </w:r>
      <w:r w:rsidR="00051ECE">
        <w:rPr>
          <w:rFonts w:ascii="Verdana" w:hAnsi="Verdana"/>
          <w:b/>
          <w:bCs/>
          <w:sz w:val="22"/>
          <w:lang w:val="it-IT"/>
        </w:rPr>
        <w:t>.</w:t>
      </w:r>
    </w:p>
    <w:p w14:paraId="1E423CFD" w14:textId="7859C929" w:rsidR="00AA07FB" w:rsidRDefault="00157F3F" w:rsidP="00001144">
      <w:pPr>
        <w:jc w:val="both"/>
        <w:rPr>
          <w:rFonts w:ascii="Verdana" w:hAnsi="Verdana"/>
          <w:b/>
          <w:bCs/>
          <w:sz w:val="22"/>
          <w:lang w:val="it-IT"/>
        </w:rPr>
      </w:pPr>
      <w:r w:rsidRPr="004F14F3">
        <w:rPr>
          <w:rFonts w:ascii="Verdana" w:eastAsia="MS Mincho" w:hAnsi="Verdana" w:cs="Arial"/>
          <w:snapToGrid w:val="0"/>
          <w:sz w:val="22"/>
          <w:lang w:val="it-IT"/>
        </w:rPr>
        <w:t>Il nuovo modello si basa</w:t>
      </w:r>
      <w:r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001144">
        <w:rPr>
          <w:rFonts w:ascii="Verdana" w:eastAsia="MS Mincho" w:hAnsi="Verdana" w:cs="Arial"/>
          <w:snapToGrid w:val="0"/>
          <w:sz w:val="22"/>
          <w:lang w:val="it-IT"/>
        </w:rPr>
        <w:t>su un paper</w:t>
      </w:r>
      <w:r w:rsidR="00BD68D8">
        <w:rPr>
          <w:rStyle w:val="Rimandonotaapidipagina"/>
          <w:rFonts w:ascii="Verdana" w:eastAsia="MS Mincho" w:hAnsi="Verdana" w:cs="Arial"/>
          <w:snapToGrid w:val="0"/>
          <w:sz w:val="22"/>
          <w:lang w:val="it-IT"/>
        </w:rPr>
        <w:footnoteReference w:id="2"/>
      </w:r>
      <w:r w:rsidR="00001144">
        <w:rPr>
          <w:rFonts w:ascii="Verdana" w:eastAsia="MS Mincho" w:hAnsi="Verdana" w:cs="Arial"/>
          <w:snapToGrid w:val="0"/>
          <w:sz w:val="22"/>
          <w:lang w:val="it-IT"/>
        </w:rPr>
        <w:t xml:space="preserve"> di ricerca realizzato </w:t>
      </w:r>
      <w:r w:rsidR="00001144" w:rsidRPr="006171E4">
        <w:rPr>
          <w:rFonts w:ascii="Verdana" w:hAnsi="Verdana"/>
          <w:b/>
          <w:bCs/>
          <w:sz w:val="22"/>
          <w:lang w:val="it-IT"/>
        </w:rPr>
        <w:t xml:space="preserve">da </w:t>
      </w:r>
      <w:r w:rsidR="00AC27AF" w:rsidRPr="00FA7597">
        <w:rPr>
          <w:rFonts w:ascii="Verdana" w:hAnsi="Verdana"/>
          <w:b/>
          <w:bCs/>
          <w:sz w:val="22"/>
          <w:lang w:val="it-IT"/>
        </w:rPr>
        <w:t>Simone Benini</w:t>
      </w:r>
      <w:r w:rsidR="00AC27AF">
        <w:rPr>
          <w:rFonts w:ascii="Verdana" w:hAnsi="Verdana"/>
          <w:sz w:val="22"/>
          <w:lang w:val="it-IT"/>
        </w:rPr>
        <w:t>,</w:t>
      </w:r>
      <w:r w:rsidR="00AC27AF" w:rsidRPr="00FA7597">
        <w:rPr>
          <w:lang w:val="it-IT"/>
        </w:rPr>
        <w:t xml:space="preserve"> </w:t>
      </w:r>
      <w:r w:rsidR="00AC27AF" w:rsidRPr="00FA7597">
        <w:rPr>
          <w:rFonts w:ascii="Verdana" w:hAnsi="Verdana"/>
          <w:sz w:val="22"/>
          <w:lang w:val="it-IT"/>
        </w:rPr>
        <w:t xml:space="preserve">Junior Equity &amp; ESG Analyst </w:t>
      </w:r>
      <w:r w:rsidR="00AC27AF">
        <w:rPr>
          <w:rFonts w:ascii="Verdana" w:hAnsi="Verdana"/>
          <w:sz w:val="22"/>
          <w:lang w:val="it-IT"/>
        </w:rPr>
        <w:t>di</w:t>
      </w:r>
      <w:r w:rsidR="00AC27AF" w:rsidRPr="00FA7597">
        <w:rPr>
          <w:rFonts w:ascii="Verdana" w:hAnsi="Verdana"/>
          <w:sz w:val="22"/>
          <w:lang w:val="it-IT"/>
        </w:rPr>
        <w:t xml:space="preserve"> AcomeA SGR</w:t>
      </w:r>
      <w:r w:rsidR="00AC27AF">
        <w:rPr>
          <w:rFonts w:ascii="Verdana" w:hAnsi="Verdana"/>
          <w:sz w:val="22"/>
          <w:lang w:val="it-IT"/>
        </w:rPr>
        <w:t>,</w:t>
      </w:r>
      <w:r w:rsidR="00AC27AF" w:rsidRPr="00FA7597">
        <w:rPr>
          <w:rFonts w:ascii="Verdana" w:hAnsi="Verdana"/>
          <w:b/>
          <w:bCs/>
          <w:sz w:val="22"/>
          <w:lang w:val="it-IT"/>
        </w:rPr>
        <w:t xml:space="preserve"> </w:t>
      </w:r>
      <w:r w:rsidR="00001144" w:rsidRPr="00FA7597">
        <w:rPr>
          <w:rFonts w:ascii="Verdana" w:hAnsi="Verdana"/>
          <w:b/>
          <w:bCs/>
          <w:sz w:val="22"/>
          <w:lang w:val="it-IT"/>
        </w:rPr>
        <w:t>Antonio Amendola</w:t>
      </w:r>
      <w:r w:rsidR="00001144">
        <w:rPr>
          <w:rFonts w:ascii="Verdana" w:hAnsi="Verdana"/>
          <w:sz w:val="22"/>
          <w:lang w:val="it-IT"/>
        </w:rPr>
        <w:t xml:space="preserve">, Senior Fund Manager Azionario </w:t>
      </w:r>
      <w:r w:rsidR="00001144" w:rsidRPr="00AF63D3">
        <w:rPr>
          <w:rFonts w:ascii="Verdana" w:hAnsi="Verdana"/>
          <w:sz w:val="22"/>
          <w:lang w:val="it-IT"/>
        </w:rPr>
        <w:t>di AcomeA SGR</w:t>
      </w:r>
      <w:r w:rsidR="00001144">
        <w:rPr>
          <w:rFonts w:ascii="Verdana" w:hAnsi="Verdana"/>
          <w:sz w:val="22"/>
          <w:lang w:val="it-IT"/>
        </w:rPr>
        <w:t>, e</w:t>
      </w:r>
      <w:r w:rsidR="00001144" w:rsidRPr="00AF63D3">
        <w:rPr>
          <w:rFonts w:ascii="Verdana" w:hAnsi="Verdana"/>
          <w:sz w:val="22"/>
          <w:lang w:val="it-IT"/>
        </w:rPr>
        <w:t xml:space="preserve"> </w:t>
      </w:r>
      <w:r w:rsidR="00001144" w:rsidRPr="00FA7597">
        <w:rPr>
          <w:rFonts w:ascii="Verdana" w:hAnsi="Verdana"/>
          <w:b/>
          <w:bCs/>
          <w:sz w:val="22"/>
          <w:lang w:val="it-IT"/>
        </w:rPr>
        <w:t>Dennis Marco Montagna</w:t>
      </w:r>
      <w:r w:rsidR="00001144" w:rsidRPr="00AF63D3">
        <w:rPr>
          <w:rFonts w:ascii="Verdana" w:hAnsi="Verdana"/>
          <w:sz w:val="22"/>
          <w:lang w:val="it-IT"/>
        </w:rPr>
        <w:t xml:space="preserve">, professore dell’Università di Pavia e </w:t>
      </w:r>
      <w:r w:rsidR="00001144" w:rsidRPr="00F52DCB">
        <w:rPr>
          <w:rFonts w:ascii="Verdana" w:hAnsi="Verdana"/>
          <w:sz w:val="22"/>
          <w:lang w:val="it-IT"/>
        </w:rPr>
        <w:t xml:space="preserve">Responsabile Desks </w:t>
      </w:r>
      <w:proofErr w:type="spellStart"/>
      <w:r w:rsidR="00001144" w:rsidRPr="00F52DCB">
        <w:rPr>
          <w:rFonts w:ascii="Verdana" w:hAnsi="Verdana"/>
          <w:sz w:val="22"/>
          <w:lang w:val="it-IT"/>
        </w:rPr>
        <w:t>Advice</w:t>
      </w:r>
      <w:proofErr w:type="spellEnd"/>
      <w:r w:rsidR="00001144" w:rsidRPr="00F52DCB">
        <w:rPr>
          <w:rFonts w:ascii="Verdana" w:hAnsi="Verdana"/>
          <w:sz w:val="22"/>
          <w:lang w:val="it-IT"/>
        </w:rPr>
        <w:t xml:space="preserve"> &amp; Portfolio Management, CIO </w:t>
      </w:r>
      <w:proofErr w:type="spellStart"/>
      <w:r w:rsidR="00001144" w:rsidRPr="00F52DCB">
        <w:rPr>
          <w:rFonts w:ascii="Verdana" w:hAnsi="Verdana"/>
          <w:sz w:val="22"/>
          <w:lang w:val="it-IT"/>
        </w:rPr>
        <w:t>Italy</w:t>
      </w:r>
      <w:proofErr w:type="spellEnd"/>
      <w:r w:rsidR="00001144" w:rsidRPr="00F52DCB">
        <w:rPr>
          <w:rFonts w:ascii="Verdana" w:hAnsi="Verdana"/>
          <w:sz w:val="22"/>
          <w:lang w:val="it-IT"/>
        </w:rPr>
        <w:t xml:space="preserve"> Client Solution</w:t>
      </w:r>
      <w:r w:rsidR="00001144" w:rsidRPr="00AF63D3">
        <w:rPr>
          <w:rFonts w:ascii="Verdana" w:hAnsi="Verdana"/>
          <w:sz w:val="22"/>
          <w:lang w:val="it-IT"/>
        </w:rPr>
        <w:t xml:space="preserve"> di Unicredit</w:t>
      </w:r>
      <w:r w:rsidR="00001144">
        <w:rPr>
          <w:rFonts w:ascii="Verdana" w:hAnsi="Verdana"/>
          <w:sz w:val="22"/>
          <w:lang w:val="it-IT"/>
        </w:rPr>
        <w:t xml:space="preserve"> WM</w:t>
      </w:r>
      <w:r w:rsidR="00AA07FB">
        <w:rPr>
          <w:rFonts w:ascii="Verdana" w:hAnsi="Verdana"/>
          <w:sz w:val="22"/>
          <w:lang w:val="it-IT"/>
        </w:rPr>
        <w:t>. Esso</w:t>
      </w:r>
      <w:r w:rsidR="00001144" w:rsidRPr="00AF63D3">
        <w:rPr>
          <w:rFonts w:ascii="Verdana" w:hAnsi="Verdana"/>
          <w:sz w:val="22"/>
          <w:lang w:val="it-IT"/>
        </w:rPr>
        <w:t xml:space="preserve"> </w:t>
      </w:r>
      <w:r w:rsidR="00001144" w:rsidRPr="004F14F3">
        <w:rPr>
          <w:rFonts w:ascii="Verdana" w:hAnsi="Verdana"/>
          <w:b/>
          <w:bCs/>
          <w:sz w:val="22"/>
          <w:lang w:val="it-IT"/>
        </w:rPr>
        <w:t>considera</w:t>
      </w:r>
      <w:r w:rsidR="004926D4" w:rsidRPr="004F14F3">
        <w:rPr>
          <w:rFonts w:ascii="Verdana" w:hAnsi="Verdana"/>
          <w:b/>
          <w:bCs/>
          <w:sz w:val="22"/>
          <w:lang w:val="it-IT"/>
        </w:rPr>
        <w:t>,</w:t>
      </w:r>
      <w:r w:rsidR="00001144" w:rsidRPr="004F14F3">
        <w:rPr>
          <w:rFonts w:ascii="Verdana" w:hAnsi="Verdana"/>
          <w:b/>
          <w:bCs/>
          <w:sz w:val="22"/>
          <w:lang w:val="it-IT"/>
        </w:rPr>
        <w:t xml:space="preserve"> tra le variabili fondamentali del valore dei titoli</w:t>
      </w:r>
      <w:r w:rsidR="004926D4" w:rsidRPr="004F14F3">
        <w:rPr>
          <w:rFonts w:ascii="Verdana" w:hAnsi="Verdana"/>
          <w:b/>
          <w:bCs/>
          <w:sz w:val="22"/>
          <w:lang w:val="it-IT"/>
        </w:rPr>
        <w:t>,</w:t>
      </w:r>
      <w:r w:rsidR="00001144" w:rsidRPr="004F14F3">
        <w:rPr>
          <w:rFonts w:ascii="Verdana" w:hAnsi="Verdana"/>
          <w:b/>
          <w:bCs/>
          <w:sz w:val="22"/>
          <w:lang w:val="it-IT"/>
        </w:rPr>
        <w:t xml:space="preserve"> la crescita futura e inespressa delle società</w:t>
      </w:r>
      <w:r w:rsidR="00AA07FB" w:rsidRPr="004F14F3">
        <w:rPr>
          <w:rFonts w:ascii="Verdana" w:hAnsi="Verdana"/>
          <w:b/>
          <w:bCs/>
          <w:sz w:val="22"/>
          <w:lang w:val="it-IT"/>
        </w:rPr>
        <w:t>.</w:t>
      </w:r>
    </w:p>
    <w:p w14:paraId="025E3279" w14:textId="4162C572" w:rsidR="009420A7" w:rsidRPr="009420A7" w:rsidRDefault="009420A7" w:rsidP="009420A7">
      <w:pPr>
        <w:pStyle w:val="xcontentpasted0"/>
        <w:jc w:val="both"/>
        <w:rPr>
          <w:rFonts w:ascii="Verdana" w:hAnsi="Verdana" w:cs="Times New Roman"/>
          <w:b/>
          <w:bCs/>
          <w:color w:val="000000"/>
          <w:lang w:val="it-IT"/>
        </w:rPr>
      </w:pPr>
      <w:r w:rsidRPr="009420A7">
        <w:rPr>
          <w:rFonts w:ascii="Verdana" w:hAnsi="Verdana" w:cs="Times New Roman"/>
          <w:color w:val="000000"/>
          <w:lang w:val="it-IT"/>
        </w:rPr>
        <w:t>Dalla ricerca emerge che, fra i 30 titoli con potenziale di crescita maggiore, quelli meno cari ma con più margini di apprezzamento sono:</w:t>
      </w:r>
      <w:r>
        <w:rPr>
          <w:rFonts w:ascii="Verdana" w:hAnsi="Verdana" w:cs="Times New Roman"/>
          <w:color w:val="000000"/>
          <w:lang w:val="it-IT"/>
        </w:rPr>
        <w:t xml:space="preserve"> </w:t>
      </w:r>
      <w:r w:rsidRPr="009420A7">
        <w:rPr>
          <w:rFonts w:ascii="Verdana" w:hAnsi="Verdana" w:cs="Times New Roman"/>
          <w:b/>
          <w:bCs/>
          <w:color w:val="000000"/>
          <w:lang w:val="it-IT"/>
        </w:rPr>
        <w:t>Lindbergh, ALA, MAPS, FOS, Identity,</w:t>
      </w:r>
      <w:r w:rsidR="00D63B69">
        <w:rPr>
          <w:rFonts w:ascii="Verdana" w:hAnsi="Verdana" w:cs="Times New Roman"/>
          <w:b/>
          <w:bCs/>
          <w:color w:val="000000"/>
          <w:lang w:val="it-IT"/>
        </w:rPr>
        <w:t xml:space="preserve"> </w:t>
      </w:r>
      <w:r w:rsidRPr="009420A7">
        <w:rPr>
          <w:rFonts w:ascii="Verdana" w:hAnsi="Verdana" w:cs="Times New Roman"/>
          <w:b/>
          <w:bCs/>
          <w:color w:val="000000"/>
          <w:lang w:val="it-IT"/>
        </w:rPr>
        <w:t xml:space="preserve">ABP </w:t>
      </w:r>
      <w:proofErr w:type="spellStart"/>
      <w:r w:rsidRPr="009420A7">
        <w:rPr>
          <w:rFonts w:ascii="Verdana" w:hAnsi="Verdana" w:cs="Times New Roman"/>
          <w:b/>
          <w:bCs/>
          <w:color w:val="000000"/>
          <w:lang w:val="it-IT"/>
        </w:rPr>
        <w:t>Nocivelli</w:t>
      </w:r>
      <w:proofErr w:type="spellEnd"/>
      <w:r w:rsidRPr="009420A7">
        <w:rPr>
          <w:rFonts w:ascii="Verdana" w:hAnsi="Verdana" w:cs="Times New Roman"/>
          <w:b/>
          <w:bCs/>
          <w:color w:val="000000"/>
          <w:lang w:val="it-IT"/>
        </w:rPr>
        <w:t xml:space="preserve"> e Take Off.</w:t>
      </w:r>
    </w:p>
    <w:p w14:paraId="1E813228" w14:textId="77777777" w:rsidR="009420A7" w:rsidRDefault="009420A7" w:rsidP="009420A7">
      <w:pPr>
        <w:rPr>
          <w:rFonts w:ascii="Verdana" w:hAnsi="Verdana"/>
          <w:b/>
          <w:bCs/>
          <w:color w:val="000000"/>
          <w:sz w:val="22"/>
          <w:lang w:val="it-IT"/>
        </w:rPr>
      </w:pPr>
      <w:r w:rsidRPr="009420A7">
        <w:rPr>
          <w:rFonts w:ascii="Verdana" w:hAnsi="Verdana"/>
          <w:color w:val="000000"/>
          <w:sz w:val="22"/>
          <w:lang w:val="it-IT"/>
        </w:rPr>
        <w:t xml:space="preserve">Queste società, in base al modello, hanno un </w:t>
      </w:r>
      <w:proofErr w:type="spellStart"/>
      <w:r w:rsidRPr="009420A7">
        <w:rPr>
          <w:rFonts w:ascii="Verdana" w:hAnsi="Verdana"/>
          <w:color w:val="000000"/>
          <w:sz w:val="22"/>
          <w:lang w:val="it-IT"/>
        </w:rPr>
        <w:t>upside</w:t>
      </w:r>
      <w:proofErr w:type="spellEnd"/>
      <w:r w:rsidRPr="009420A7">
        <w:rPr>
          <w:rFonts w:ascii="Verdana" w:hAnsi="Verdana"/>
          <w:color w:val="000000"/>
          <w:sz w:val="22"/>
          <w:lang w:val="it-IT"/>
        </w:rPr>
        <w:t xml:space="preserve"> implicito maggiore del 75%. Nel gruppo dei 30 titoli </w:t>
      </w:r>
      <w:r w:rsidRPr="009420A7">
        <w:rPr>
          <w:rFonts w:ascii="Verdana" w:hAnsi="Verdana"/>
          <w:b/>
          <w:bCs/>
          <w:color w:val="000000"/>
          <w:sz w:val="22"/>
          <w:lang w:val="it-IT"/>
        </w:rPr>
        <w:t>con un potenziale intermedio</w:t>
      </w:r>
      <w:r w:rsidRPr="009420A7">
        <w:rPr>
          <w:rFonts w:ascii="Verdana" w:hAnsi="Verdana"/>
          <w:color w:val="000000"/>
          <w:sz w:val="22"/>
          <w:lang w:val="it-IT"/>
        </w:rPr>
        <w:t xml:space="preserve">, sia in termini di crescita attesa che di </w:t>
      </w:r>
      <w:proofErr w:type="spellStart"/>
      <w:r w:rsidRPr="009420A7">
        <w:rPr>
          <w:rFonts w:ascii="Verdana" w:hAnsi="Verdana"/>
          <w:color w:val="000000"/>
          <w:sz w:val="22"/>
          <w:lang w:val="it-IT"/>
        </w:rPr>
        <w:t>upside</w:t>
      </w:r>
      <w:proofErr w:type="spellEnd"/>
      <w:r w:rsidRPr="009420A7">
        <w:rPr>
          <w:rFonts w:ascii="Verdana" w:hAnsi="Verdana"/>
          <w:color w:val="000000"/>
          <w:sz w:val="22"/>
          <w:lang w:val="it-IT"/>
        </w:rPr>
        <w:t xml:space="preserve"> potenziale, spiccano</w:t>
      </w:r>
      <w:r w:rsidRPr="009420A7">
        <w:rPr>
          <w:rFonts w:ascii="Verdana" w:hAnsi="Verdana"/>
          <w:b/>
          <w:bCs/>
          <w:color w:val="000000"/>
          <w:sz w:val="22"/>
          <w:lang w:val="it-IT"/>
        </w:rPr>
        <w:t xml:space="preserve">: </w:t>
      </w:r>
      <w:r>
        <w:rPr>
          <w:rFonts w:ascii="Verdana" w:hAnsi="Verdana"/>
          <w:b/>
          <w:bCs/>
          <w:color w:val="000000"/>
          <w:sz w:val="22"/>
          <w:lang w:val="it-IT"/>
        </w:rPr>
        <w:t xml:space="preserve">Omer, </w:t>
      </w:r>
      <w:proofErr w:type="spellStart"/>
      <w:r>
        <w:rPr>
          <w:rFonts w:ascii="Verdana" w:hAnsi="Verdana"/>
          <w:b/>
          <w:bCs/>
          <w:color w:val="000000"/>
          <w:sz w:val="22"/>
          <w:lang w:val="it-IT"/>
        </w:rPr>
        <w:t>Fope</w:t>
      </w:r>
      <w:proofErr w:type="spellEnd"/>
      <w:r>
        <w:rPr>
          <w:rFonts w:ascii="Verdana" w:hAnsi="Verdana"/>
          <w:b/>
          <w:bCs/>
          <w:color w:val="000000"/>
          <w:sz w:val="22"/>
          <w:lang w:val="it-IT"/>
        </w:rPr>
        <w:t>, Officina Stellare, SIAV, Marzocchi Pompe e Osai.</w:t>
      </w:r>
    </w:p>
    <w:p w14:paraId="422DFDFE" w14:textId="1206E727" w:rsidR="004926D4" w:rsidRPr="00CD5A84" w:rsidRDefault="004926D4" w:rsidP="004F14F3">
      <w:pPr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>
        <w:rPr>
          <w:rFonts w:ascii="Verdana" w:hAnsi="Verdana"/>
          <w:b/>
          <w:bCs/>
          <w:sz w:val="22"/>
          <w:lang w:val="it-IT"/>
        </w:rPr>
        <w:t xml:space="preserve">Sul fronte dei settori, quelli con il </w:t>
      </w:r>
      <w:r w:rsidRPr="006171E4">
        <w:rPr>
          <w:rFonts w:ascii="Verdana" w:hAnsi="Verdana"/>
          <w:b/>
          <w:bCs/>
          <w:sz w:val="22"/>
          <w:lang w:val="it-IT"/>
        </w:rPr>
        <w:t>maggiore potenziale di</w:t>
      </w:r>
      <w:r>
        <w:rPr>
          <w:rFonts w:ascii="Verdana" w:hAnsi="Verdana"/>
          <w:b/>
          <w:bCs/>
          <w:sz w:val="22"/>
          <w:lang w:val="it-IT"/>
        </w:rPr>
        <w:t xml:space="preserve"> apprezzamento </w:t>
      </w:r>
      <w:r w:rsidRPr="00883F4C">
        <w:rPr>
          <w:rFonts w:ascii="Verdana" w:hAnsi="Verdana"/>
          <w:sz w:val="22"/>
          <w:lang w:val="it-IT"/>
        </w:rPr>
        <w:t xml:space="preserve">ponderato per la capitalizzazione </w:t>
      </w:r>
      <w:r>
        <w:rPr>
          <w:rFonts w:ascii="Verdana" w:hAnsi="Verdana"/>
          <w:b/>
          <w:bCs/>
          <w:sz w:val="22"/>
          <w:lang w:val="it-IT"/>
        </w:rPr>
        <w:t xml:space="preserve">sono </w:t>
      </w:r>
      <w:r w:rsidRPr="006171E4">
        <w:rPr>
          <w:rFonts w:ascii="Verdana" w:hAnsi="Verdana"/>
          <w:b/>
          <w:bCs/>
          <w:sz w:val="22"/>
          <w:lang w:val="it-IT"/>
        </w:rPr>
        <w:t xml:space="preserve">industriali e </w:t>
      </w:r>
      <w:proofErr w:type="spellStart"/>
      <w:r w:rsidRPr="006171E4">
        <w:rPr>
          <w:rFonts w:ascii="Verdana" w:hAnsi="Verdana"/>
          <w:b/>
          <w:bCs/>
          <w:sz w:val="22"/>
          <w:lang w:val="it-IT"/>
        </w:rPr>
        <w:t>healthcare</w:t>
      </w:r>
      <w:proofErr w:type="spellEnd"/>
      <w:r>
        <w:rPr>
          <w:rFonts w:ascii="Verdana" w:hAnsi="Verdana"/>
          <w:b/>
          <w:bCs/>
          <w:sz w:val="22"/>
          <w:lang w:val="it-IT"/>
        </w:rPr>
        <w:t>,</w:t>
      </w:r>
      <w:r w:rsidRPr="006171E4">
        <w:rPr>
          <w:rFonts w:ascii="Verdana" w:hAnsi="Verdana"/>
          <w:b/>
          <w:bCs/>
          <w:sz w:val="22"/>
          <w:lang w:val="it-IT"/>
        </w:rPr>
        <w:t xml:space="preserve"> </w:t>
      </w:r>
      <w:r w:rsidRPr="00AF63D3">
        <w:rPr>
          <w:rFonts w:ascii="Verdana" w:hAnsi="Verdana"/>
          <w:sz w:val="22"/>
          <w:lang w:val="it-IT"/>
        </w:rPr>
        <w:t xml:space="preserve">mentre appaiono più penalizzati, in prospettiva, i </w:t>
      </w:r>
      <w:proofErr w:type="spellStart"/>
      <w:r w:rsidRPr="00AF63D3">
        <w:rPr>
          <w:rFonts w:ascii="Verdana" w:hAnsi="Verdana"/>
          <w:sz w:val="22"/>
          <w:lang w:val="it-IT"/>
        </w:rPr>
        <w:t>communication</w:t>
      </w:r>
      <w:proofErr w:type="spellEnd"/>
      <w:r w:rsidRPr="00AF63D3">
        <w:rPr>
          <w:rFonts w:ascii="Verdana" w:hAnsi="Verdana"/>
          <w:sz w:val="22"/>
          <w:lang w:val="it-IT"/>
        </w:rPr>
        <w:t xml:space="preserve"> services e i consumer </w:t>
      </w:r>
      <w:proofErr w:type="spellStart"/>
      <w:r w:rsidRPr="00AF63D3">
        <w:rPr>
          <w:rFonts w:ascii="Verdana" w:hAnsi="Verdana"/>
          <w:sz w:val="22"/>
          <w:lang w:val="it-IT"/>
        </w:rPr>
        <w:t>staples</w:t>
      </w:r>
      <w:proofErr w:type="spellEnd"/>
      <w:r w:rsidRPr="00AF63D3">
        <w:rPr>
          <w:rFonts w:ascii="Verdana" w:hAnsi="Verdana"/>
          <w:sz w:val="22"/>
          <w:lang w:val="it-IT"/>
        </w:rPr>
        <w:t>.</w:t>
      </w:r>
    </w:p>
    <w:p w14:paraId="3EEDC84B" w14:textId="6B3842D9" w:rsidR="004926D4" w:rsidRPr="004F14F3" w:rsidRDefault="004926D4" w:rsidP="00001144">
      <w:pPr>
        <w:jc w:val="both"/>
        <w:rPr>
          <w:rFonts w:ascii="Verdana" w:hAnsi="Verdana"/>
          <w:b/>
          <w:bCs/>
          <w:sz w:val="22"/>
          <w:lang w:val="it-IT"/>
        </w:rPr>
      </w:pPr>
      <w:r w:rsidRPr="00AF63D3">
        <w:rPr>
          <w:rFonts w:ascii="Verdana" w:hAnsi="Verdana"/>
          <w:sz w:val="22"/>
          <w:lang w:val="it-IT"/>
        </w:rPr>
        <w:t>“</w:t>
      </w:r>
      <w:r w:rsidRPr="00572BEE">
        <w:rPr>
          <w:rFonts w:ascii="Verdana" w:hAnsi="Verdana"/>
          <w:i/>
          <w:iCs/>
          <w:sz w:val="22"/>
          <w:lang w:val="it-IT"/>
        </w:rPr>
        <w:t>Questa ricerca</w:t>
      </w:r>
      <w:r>
        <w:rPr>
          <w:rFonts w:ascii="Verdana" w:hAnsi="Verdana"/>
          <w:i/>
          <w:iCs/>
          <w:sz w:val="22"/>
          <w:lang w:val="it-IT"/>
        </w:rPr>
        <w:t>, realizzata</w:t>
      </w:r>
      <w:r w:rsidRPr="00572BEE">
        <w:rPr>
          <w:rFonts w:ascii="Verdana" w:hAnsi="Verdana"/>
          <w:i/>
          <w:iCs/>
          <w:sz w:val="22"/>
          <w:lang w:val="it-IT"/>
        </w:rPr>
        <w:t xml:space="preserve"> in collaborazione con il mondo accademico</w:t>
      </w:r>
      <w:r>
        <w:rPr>
          <w:rFonts w:ascii="Verdana" w:hAnsi="Verdana"/>
          <w:i/>
          <w:iCs/>
          <w:sz w:val="22"/>
          <w:lang w:val="it-IT"/>
        </w:rPr>
        <w:t>,</w:t>
      </w:r>
      <w:r w:rsidRPr="00572BEE">
        <w:rPr>
          <w:rFonts w:ascii="Verdana" w:hAnsi="Verdana"/>
          <w:i/>
          <w:iCs/>
          <w:sz w:val="22"/>
          <w:lang w:val="it-IT"/>
        </w:rPr>
        <w:t xml:space="preserve"> è frutto dell’impegno di AcomeA </w:t>
      </w:r>
      <w:r>
        <w:rPr>
          <w:rFonts w:ascii="Verdana" w:hAnsi="Verdana"/>
          <w:i/>
          <w:iCs/>
          <w:sz w:val="22"/>
          <w:lang w:val="it-IT"/>
        </w:rPr>
        <w:t xml:space="preserve">SGR </w:t>
      </w:r>
      <w:r w:rsidRPr="00572BEE">
        <w:rPr>
          <w:rFonts w:ascii="Verdana" w:hAnsi="Verdana"/>
          <w:i/>
          <w:iCs/>
          <w:sz w:val="22"/>
          <w:lang w:val="it-IT"/>
        </w:rPr>
        <w:t xml:space="preserve">per migliorare i processi di gestione dei fondi che investono in PMI, un’area che va studiata con approcci innovativi per poterne cogliere le straordinarie opportunità di valore inespresso di lungo periodo spesso trascurate </w:t>
      </w:r>
      <w:r w:rsidR="006E6E4F">
        <w:rPr>
          <w:rFonts w:ascii="Verdana" w:hAnsi="Verdana"/>
          <w:i/>
          <w:iCs/>
          <w:sz w:val="22"/>
          <w:lang w:val="it-IT"/>
        </w:rPr>
        <w:t xml:space="preserve">a </w:t>
      </w:r>
      <w:r w:rsidR="006E6E4F">
        <w:rPr>
          <w:rFonts w:ascii="Verdana" w:hAnsi="Verdana"/>
          <w:i/>
          <w:iCs/>
          <w:sz w:val="22"/>
          <w:lang w:val="it-IT"/>
        </w:rPr>
        <w:lastRenderedPageBreak/>
        <w:t xml:space="preserve">causa </w:t>
      </w:r>
      <w:r w:rsidRPr="00572BEE">
        <w:rPr>
          <w:rFonts w:ascii="Verdana" w:hAnsi="Verdana"/>
          <w:i/>
          <w:iCs/>
          <w:sz w:val="22"/>
          <w:lang w:val="it-IT"/>
        </w:rPr>
        <w:t>della scarsa liquidità del segmento</w:t>
      </w:r>
      <w:r w:rsidRPr="00AF63D3">
        <w:rPr>
          <w:rFonts w:ascii="Verdana" w:hAnsi="Verdana"/>
          <w:sz w:val="22"/>
          <w:lang w:val="it-IT"/>
        </w:rPr>
        <w:t>”</w:t>
      </w:r>
      <w:r w:rsidR="009E1501">
        <w:rPr>
          <w:rFonts w:ascii="Verdana" w:hAnsi="Verdana"/>
          <w:sz w:val="22"/>
          <w:lang w:val="it-IT"/>
        </w:rPr>
        <w:t xml:space="preserve"> -</w:t>
      </w:r>
      <w:r w:rsidRPr="00AF63D3">
        <w:rPr>
          <w:rFonts w:ascii="Verdana" w:hAnsi="Verdana"/>
          <w:sz w:val="22"/>
          <w:lang w:val="it-IT"/>
        </w:rPr>
        <w:t xml:space="preserve"> sottolinea </w:t>
      </w:r>
      <w:r w:rsidRPr="009420A7">
        <w:rPr>
          <w:rFonts w:ascii="Verdana" w:hAnsi="Verdana"/>
          <w:b/>
          <w:bCs/>
          <w:sz w:val="22"/>
          <w:lang w:val="it-IT"/>
        </w:rPr>
        <w:t>Matteo Serio, direttore commerciale di AcomeA SGR</w:t>
      </w:r>
      <w:r w:rsidRPr="009420A7">
        <w:rPr>
          <w:rFonts w:ascii="Verdana" w:hAnsi="Verdana"/>
          <w:sz w:val="22"/>
          <w:lang w:val="it-IT"/>
        </w:rPr>
        <w:t>.</w:t>
      </w:r>
    </w:p>
    <w:p w14:paraId="0375460B" w14:textId="77777777" w:rsidR="00020ABD" w:rsidRDefault="007E5628" w:rsidP="004F14F3">
      <w:pPr>
        <w:jc w:val="both"/>
        <w:rPr>
          <w:rFonts w:ascii="Verdana" w:hAnsi="Verdana"/>
          <w:sz w:val="22"/>
          <w:lang w:val="it-IT"/>
        </w:rPr>
      </w:pPr>
      <w:r w:rsidRPr="00CB47BD">
        <w:rPr>
          <w:rFonts w:ascii="Verdana" w:hAnsi="Verdana"/>
          <w:sz w:val="22"/>
          <w:lang w:val="it-IT"/>
        </w:rPr>
        <w:t xml:space="preserve">Le PMI italiane quotate all’EGM sono </w:t>
      </w:r>
      <w:r w:rsidR="006C6998" w:rsidRPr="00CB47BD">
        <w:rPr>
          <w:rFonts w:ascii="Verdana" w:hAnsi="Verdana"/>
          <w:sz w:val="22"/>
          <w:lang w:val="it-IT"/>
        </w:rPr>
        <w:t xml:space="preserve">infatti </w:t>
      </w:r>
      <w:r w:rsidRPr="00CB47BD">
        <w:rPr>
          <w:rFonts w:ascii="Verdana" w:hAnsi="Verdana"/>
          <w:sz w:val="22"/>
          <w:lang w:val="it-IT"/>
        </w:rPr>
        <w:t>un microcosmo spesso fuori dai radar delle analisi di broker e analisti delle grandi case di investimento internazionali</w:t>
      </w:r>
      <w:r w:rsidR="006C6998">
        <w:rPr>
          <w:rFonts w:ascii="Verdana" w:hAnsi="Verdana"/>
          <w:sz w:val="22"/>
          <w:lang w:val="it-IT"/>
        </w:rPr>
        <w:t xml:space="preserve"> perché:</w:t>
      </w:r>
    </w:p>
    <w:p w14:paraId="14486035" w14:textId="23CA0B26" w:rsidR="007E5628" w:rsidRPr="00020ABD" w:rsidRDefault="00D63B69" w:rsidP="00020ABD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22"/>
          <w:lang w:val="it-IT"/>
        </w:rPr>
      </w:pPr>
      <w:r>
        <w:rPr>
          <w:rFonts w:ascii="Verdana" w:hAnsi="Verdana"/>
          <w:sz w:val="22"/>
          <w:lang w:val="it-IT"/>
        </w:rPr>
        <w:t>l</w:t>
      </w:r>
      <w:r w:rsidR="009E049D">
        <w:rPr>
          <w:rFonts w:ascii="Verdana" w:hAnsi="Verdana"/>
          <w:sz w:val="22"/>
          <w:lang w:val="it-IT"/>
        </w:rPr>
        <w:t xml:space="preserve">’EGM </w:t>
      </w:r>
      <w:r w:rsidR="00F52DCB" w:rsidRPr="00020ABD">
        <w:rPr>
          <w:rFonts w:ascii="Verdana" w:hAnsi="Verdana"/>
          <w:sz w:val="22"/>
          <w:lang w:val="it-IT"/>
        </w:rPr>
        <w:t xml:space="preserve">presenta una </w:t>
      </w:r>
      <w:r w:rsidR="00051ECE" w:rsidRPr="00020ABD">
        <w:rPr>
          <w:rFonts w:ascii="Verdana" w:hAnsi="Verdana"/>
          <w:sz w:val="22"/>
          <w:lang w:val="it-IT"/>
        </w:rPr>
        <w:t>capitalizzazione</w:t>
      </w:r>
      <w:r w:rsidR="009E049D">
        <w:rPr>
          <w:rFonts w:ascii="Verdana" w:hAnsi="Verdana"/>
          <w:sz w:val="22"/>
          <w:lang w:val="it-IT"/>
        </w:rPr>
        <w:t xml:space="preserve"> mediamente inferiore del 30-35% rispetto a quella degli omologhi </w:t>
      </w:r>
      <w:r w:rsidR="009E049D" w:rsidRPr="009E049D">
        <w:rPr>
          <w:rFonts w:ascii="Verdana" w:hAnsi="Verdana"/>
          <w:sz w:val="22"/>
          <w:lang w:val="it-IT"/>
        </w:rPr>
        <w:t>europe</w:t>
      </w:r>
      <w:r w:rsidR="009E049D">
        <w:rPr>
          <w:rFonts w:ascii="Verdana" w:hAnsi="Verdana"/>
          <w:sz w:val="22"/>
          <w:lang w:val="it-IT"/>
        </w:rPr>
        <w:t>i e pari ad un terzo rispetto al</w:t>
      </w:r>
      <w:r w:rsidR="009E049D" w:rsidRPr="009E049D">
        <w:rPr>
          <w:rFonts w:ascii="Verdana" w:hAnsi="Verdana"/>
          <w:sz w:val="22"/>
          <w:lang w:val="it-IT"/>
        </w:rPr>
        <w:t xml:space="preserve">l'AIM UK </w:t>
      </w:r>
      <w:r w:rsidR="009E049D">
        <w:rPr>
          <w:rFonts w:ascii="Verdana" w:hAnsi="Verdana"/>
          <w:sz w:val="22"/>
          <w:lang w:val="it-IT"/>
        </w:rPr>
        <w:t>(</w:t>
      </w:r>
      <w:r w:rsidR="009E049D" w:rsidRPr="009E049D">
        <w:rPr>
          <w:rFonts w:ascii="Verdana" w:hAnsi="Verdana"/>
          <w:sz w:val="22"/>
          <w:lang w:val="it-IT"/>
        </w:rPr>
        <w:t>31</w:t>
      </w:r>
      <w:r w:rsidR="009E049D">
        <w:rPr>
          <w:rFonts w:ascii="Verdana" w:hAnsi="Verdana"/>
          <w:sz w:val="22"/>
          <w:lang w:val="it-IT"/>
        </w:rPr>
        <w:t xml:space="preserve"> miliardi </w:t>
      </w:r>
      <w:r w:rsidR="009E049D" w:rsidRPr="009E049D">
        <w:rPr>
          <w:rFonts w:ascii="Verdana" w:hAnsi="Verdana"/>
          <w:sz w:val="22"/>
          <w:lang w:val="it-IT"/>
        </w:rPr>
        <w:t>di capitalizzazione vs i nostri 10</w:t>
      </w:r>
      <w:r w:rsidR="009E049D">
        <w:rPr>
          <w:rFonts w:ascii="Verdana" w:hAnsi="Verdana"/>
          <w:sz w:val="22"/>
          <w:lang w:val="it-IT"/>
        </w:rPr>
        <w:t xml:space="preserve"> miliardi)</w:t>
      </w:r>
      <w:r w:rsidR="007E5628" w:rsidRPr="00020ABD">
        <w:rPr>
          <w:rFonts w:ascii="Verdana" w:hAnsi="Verdana"/>
          <w:sz w:val="22"/>
          <w:lang w:val="it-IT"/>
        </w:rPr>
        <w:t>;</w:t>
      </w:r>
    </w:p>
    <w:p w14:paraId="7446E64F" w14:textId="77777777" w:rsidR="007E5628" w:rsidRPr="00AA07FB" w:rsidRDefault="007E5628" w:rsidP="00F52DCB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22"/>
          <w:lang w:val="it-IT"/>
        </w:rPr>
      </w:pPr>
      <w:r w:rsidRPr="00AA07FB">
        <w:rPr>
          <w:rFonts w:ascii="Verdana" w:hAnsi="Verdana"/>
          <w:sz w:val="22"/>
          <w:lang w:val="it-IT"/>
        </w:rPr>
        <w:t>spesso la crescita futura deve ancora materializzarsi al momento della quotazione, in particolare nei numeri;</w:t>
      </w:r>
    </w:p>
    <w:p w14:paraId="7C581AA8" w14:textId="5BD45100" w:rsidR="00343865" w:rsidRPr="004F14F3" w:rsidRDefault="00F0550D" w:rsidP="00F52DCB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22"/>
          <w:lang w:val="it-IT"/>
        </w:rPr>
      </w:pPr>
      <w:r w:rsidRPr="007E5628">
        <w:rPr>
          <w:rFonts w:ascii="Verdana" w:hAnsi="Verdana"/>
          <w:sz w:val="22"/>
          <w:lang w:val="it-IT"/>
        </w:rPr>
        <w:t>l’illiquidità e la volatilità di questi titoli li rende più esposti a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 xml:space="preserve"> temi macroeconomici e di mercato, piuttosto che </w:t>
      </w:r>
      <w:r w:rsidR="00AC27AF">
        <w:rPr>
          <w:rFonts w:ascii="Verdana" w:hAnsi="Verdana" w:cs="FranklinGothic-Book"/>
          <w:color w:val="000000"/>
          <w:sz w:val="22"/>
          <w:lang w:val="it-IT"/>
        </w:rPr>
        <w:t>relativi nello specifico</w:t>
      </w:r>
      <w:r w:rsidR="00343865">
        <w:rPr>
          <w:rFonts w:ascii="Verdana" w:hAnsi="Verdana" w:cs="FranklinGothic-Book"/>
          <w:color w:val="000000"/>
          <w:sz w:val="22"/>
          <w:lang w:val="it-IT"/>
        </w:rPr>
        <w:t xml:space="preserve"> all’azienda o al settore di appartenenza.</w:t>
      </w:r>
    </w:p>
    <w:p w14:paraId="55752222" w14:textId="6300EDC4" w:rsidR="00CB47BD" w:rsidRDefault="00F0550D" w:rsidP="007E5628">
      <w:pPr>
        <w:jc w:val="both"/>
        <w:rPr>
          <w:rFonts w:ascii="Verdana" w:hAnsi="Verdana" w:cs="FranklinGothic-Book"/>
          <w:color w:val="000000"/>
          <w:sz w:val="22"/>
          <w:lang w:val="it-IT"/>
        </w:rPr>
      </w:pPr>
      <w:r w:rsidRPr="007E5628">
        <w:rPr>
          <w:rFonts w:ascii="Verdana" w:hAnsi="Verdana"/>
          <w:sz w:val="22"/>
          <w:lang w:val="it-IT"/>
        </w:rPr>
        <w:t xml:space="preserve">In virtù di tali caratteristiche, </w:t>
      </w:r>
      <w:r w:rsidR="007E5628">
        <w:rPr>
          <w:rFonts w:ascii="Verdana" w:hAnsi="Verdana"/>
          <w:sz w:val="22"/>
          <w:lang w:val="it-IT"/>
        </w:rPr>
        <w:t xml:space="preserve">occorre </w:t>
      </w:r>
      <w:r w:rsidR="007E5628" w:rsidRPr="007E5628">
        <w:rPr>
          <w:rFonts w:ascii="Verdana" w:hAnsi="Verdana"/>
          <w:sz w:val="22"/>
          <w:lang w:val="it-IT"/>
        </w:rPr>
        <w:t xml:space="preserve">un’analisi </w:t>
      </w:r>
      <w:r w:rsidR="007E5628">
        <w:rPr>
          <w:rFonts w:ascii="Verdana" w:hAnsi="Verdana"/>
          <w:sz w:val="22"/>
          <w:lang w:val="it-IT"/>
        </w:rPr>
        <w:t xml:space="preserve">decisamente su misura. </w:t>
      </w:r>
      <w:r w:rsidR="007E5628" w:rsidRPr="007E5628">
        <w:rPr>
          <w:rFonts w:ascii="Verdana" w:hAnsi="Verdana" w:cs="FranklinGothic-Book"/>
          <w:color w:val="000000"/>
          <w:sz w:val="22"/>
          <w:lang w:val="it-IT"/>
        </w:rPr>
        <w:t>Secondo AcomeA SGR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 xml:space="preserve"> la </w:t>
      </w:r>
      <w:r w:rsidR="007E5628" w:rsidRPr="007E5628">
        <w:rPr>
          <w:rFonts w:ascii="Verdana" w:hAnsi="Verdana" w:cs="FranklinGothic-Book"/>
          <w:color w:val="000000"/>
          <w:sz w:val="22"/>
          <w:lang w:val="it-IT"/>
        </w:rPr>
        <w:t xml:space="preserve">risposta è in una 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 xml:space="preserve">sinergia </w:t>
      </w:r>
      <w:r w:rsidR="007E5628" w:rsidRPr="007E5628">
        <w:rPr>
          <w:rFonts w:ascii="Verdana" w:hAnsi="Verdana" w:cs="FranklinGothic-Book"/>
          <w:color w:val="000000"/>
          <w:sz w:val="22"/>
          <w:lang w:val="it-IT"/>
        </w:rPr>
        <w:t xml:space="preserve">tra 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 xml:space="preserve">analisi qualitativa – </w:t>
      </w:r>
      <w:r w:rsidR="007E5628" w:rsidRPr="007E5628">
        <w:rPr>
          <w:rFonts w:ascii="Verdana" w:hAnsi="Verdana" w:cs="FranklinGothic-Book"/>
          <w:color w:val="000000"/>
          <w:sz w:val="22"/>
          <w:lang w:val="it-IT"/>
        </w:rPr>
        <w:t xml:space="preserve">che la SGR 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 xml:space="preserve">già utilizza – </w:t>
      </w:r>
      <w:r w:rsidR="00AA07FB">
        <w:rPr>
          <w:rFonts w:ascii="Verdana" w:hAnsi="Verdana" w:cs="FranklinGothic-Book"/>
          <w:color w:val="000000"/>
          <w:sz w:val="22"/>
          <w:lang w:val="it-IT"/>
        </w:rPr>
        <w:t xml:space="preserve">raffinata 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 xml:space="preserve">e </w:t>
      </w:r>
      <w:r w:rsidR="00AA07FB">
        <w:rPr>
          <w:rFonts w:ascii="Verdana" w:hAnsi="Verdana" w:cs="FranklinGothic-Book"/>
          <w:color w:val="000000"/>
          <w:sz w:val="22"/>
          <w:lang w:val="it-IT"/>
        </w:rPr>
        <w:t xml:space="preserve">supportata da 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 xml:space="preserve">un’analisi quantitativa </w:t>
      </w:r>
      <w:r w:rsidR="007E5628" w:rsidRPr="007E5628">
        <w:rPr>
          <w:rFonts w:ascii="Verdana" w:hAnsi="Verdana" w:cs="FranklinGothic-Book"/>
          <w:color w:val="000000"/>
          <w:sz w:val="22"/>
          <w:lang w:val="it-IT"/>
        </w:rPr>
        <w:t xml:space="preserve">che tenga conto delle conclusioni 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>d</w:t>
      </w:r>
      <w:r w:rsidR="007E5628" w:rsidRPr="007E5628">
        <w:rPr>
          <w:rFonts w:ascii="Verdana" w:hAnsi="Verdana" w:cs="FranklinGothic-Book"/>
          <w:color w:val="000000"/>
          <w:sz w:val="22"/>
          <w:lang w:val="it-IT"/>
        </w:rPr>
        <w:t>e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 xml:space="preserve">l paper di </w:t>
      </w:r>
      <w:r w:rsidR="00AC27AF">
        <w:rPr>
          <w:rFonts w:ascii="Verdana" w:hAnsi="Verdana" w:cs="FranklinGothic-Book"/>
          <w:color w:val="000000"/>
          <w:sz w:val="22"/>
          <w:lang w:val="it-IT"/>
        </w:rPr>
        <w:t xml:space="preserve">Benini, 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>Amendola e Montagna.</w:t>
      </w:r>
      <w:r w:rsidR="007E5628" w:rsidRPr="007E5628">
        <w:rPr>
          <w:rFonts w:ascii="Verdana" w:hAnsi="Verdana" w:cs="FranklinGothic-Book"/>
          <w:color w:val="000000"/>
          <w:sz w:val="22"/>
          <w:lang w:val="it-IT"/>
        </w:rPr>
        <w:t xml:space="preserve"> </w:t>
      </w:r>
    </w:p>
    <w:p w14:paraId="0D382653" w14:textId="2AE206FD" w:rsidR="00871905" w:rsidRDefault="007E5628" w:rsidP="004F14F3">
      <w:pPr>
        <w:jc w:val="both"/>
        <w:rPr>
          <w:rFonts w:ascii="Verdana" w:hAnsi="Verdana"/>
          <w:sz w:val="22"/>
          <w:lang w:val="it-IT"/>
        </w:rPr>
      </w:pPr>
      <w:r w:rsidRPr="007E5628">
        <w:rPr>
          <w:rFonts w:ascii="Verdana" w:hAnsi="Verdana" w:cs="FranklinGothic-Book"/>
          <w:color w:val="000000"/>
          <w:sz w:val="22"/>
          <w:lang w:val="it-IT"/>
        </w:rPr>
        <w:t>Quest’ultimo</w:t>
      </w:r>
      <w:r w:rsidR="00852861">
        <w:rPr>
          <w:rFonts w:ascii="Verdana" w:hAnsi="Verdana" w:cs="FranklinGothic-Book"/>
          <w:color w:val="000000"/>
          <w:sz w:val="22"/>
          <w:lang w:val="it-IT"/>
        </w:rPr>
        <w:t xml:space="preserve"> strumento quantitativo</w:t>
      </w:r>
      <w:r w:rsidR="00E35893">
        <w:rPr>
          <w:rFonts w:ascii="Verdana" w:hAnsi="Verdana" w:cs="FranklinGothic-Book"/>
          <w:color w:val="000000"/>
          <w:sz w:val="22"/>
          <w:lang w:val="it-IT"/>
        </w:rPr>
        <w:t xml:space="preserve">, che si avvale di </w:t>
      </w:r>
      <w:r w:rsidR="00E35893" w:rsidRPr="00AF63D3">
        <w:rPr>
          <w:rFonts w:ascii="Verdana" w:hAnsi="Verdana"/>
          <w:sz w:val="22"/>
          <w:lang w:val="it-IT"/>
        </w:rPr>
        <w:t xml:space="preserve">una </w:t>
      </w:r>
      <w:r w:rsidR="00E35893" w:rsidRPr="00960363">
        <w:rPr>
          <w:rFonts w:ascii="Verdana" w:hAnsi="Verdana"/>
          <w:b/>
          <w:bCs/>
          <w:sz w:val="22"/>
          <w:lang w:val="it-IT"/>
        </w:rPr>
        <w:t>variazione specifica del modello di valutazione del DCF (</w:t>
      </w:r>
      <w:proofErr w:type="spellStart"/>
      <w:r w:rsidR="00E35893" w:rsidRPr="00960363">
        <w:rPr>
          <w:rFonts w:ascii="Verdana" w:hAnsi="Verdana"/>
          <w:b/>
          <w:bCs/>
          <w:i/>
          <w:iCs/>
          <w:sz w:val="22"/>
          <w:lang w:val="it-IT"/>
        </w:rPr>
        <w:t>Discounted</w:t>
      </w:r>
      <w:proofErr w:type="spellEnd"/>
      <w:r w:rsidR="00E35893" w:rsidRPr="00960363">
        <w:rPr>
          <w:rFonts w:ascii="Verdana" w:hAnsi="Verdana"/>
          <w:b/>
          <w:bCs/>
          <w:i/>
          <w:iCs/>
          <w:sz w:val="22"/>
          <w:lang w:val="it-IT"/>
        </w:rPr>
        <w:t xml:space="preserve"> Cash Flow</w:t>
      </w:r>
      <w:r w:rsidR="00BD68D8">
        <w:rPr>
          <w:rFonts w:ascii="Verdana" w:hAnsi="Verdana"/>
          <w:b/>
          <w:bCs/>
          <w:i/>
          <w:iCs/>
          <w:sz w:val="22"/>
          <w:lang w:val="it-IT"/>
        </w:rPr>
        <w:t>)</w:t>
      </w:r>
      <w:r w:rsidR="00BD68D8">
        <w:rPr>
          <w:rStyle w:val="Rimandonotaapidipagina"/>
          <w:rFonts w:ascii="Verdana" w:hAnsi="Verdana"/>
          <w:b/>
          <w:bCs/>
          <w:i/>
          <w:iCs/>
          <w:sz w:val="22"/>
          <w:lang w:val="it-IT"/>
        </w:rPr>
        <w:footnoteReference w:id="3"/>
      </w:r>
      <w:r w:rsidR="001F3055">
        <w:rPr>
          <w:rFonts w:ascii="Verdana" w:hAnsi="Verdana"/>
          <w:sz w:val="22"/>
          <w:lang w:val="it-IT"/>
        </w:rPr>
        <w:t xml:space="preserve">, </w:t>
      </w:r>
      <w:r w:rsidRPr="007E5628">
        <w:rPr>
          <w:rFonts w:ascii="Verdana" w:hAnsi="Verdana" w:cs="FranklinGothic-Book"/>
          <w:color w:val="000000"/>
          <w:sz w:val="22"/>
          <w:lang w:val="it-IT"/>
        </w:rPr>
        <w:t xml:space="preserve">è infatti </w:t>
      </w:r>
      <w:r w:rsidR="00051ECE" w:rsidRPr="009346CF">
        <w:rPr>
          <w:rFonts w:ascii="Verdana" w:hAnsi="Verdana"/>
          <w:sz w:val="22"/>
          <w:lang w:val="it-IT"/>
        </w:rPr>
        <w:t>adatto ad analizzare società la cui crescita si manifesterà verosimilmente in periodi più lontani e per cui risulta complesso, spesso molto laborioso e incerto, stimare i cash flow negli esercizi futuri.</w:t>
      </w:r>
    </w:p>
    <w:p w14:paraId="2B57FAA3" w14:textId="77777777" w:rsidR="001F3055" w:rsidRPr="004F14F3" w:rsidRDefault="001F3055" w:rsidP="004F14F3">
      <w:pPr>
        <w:jc w:val="both"/>
        <w:rPr>
          <w:rFonts w:ascii="Verdana" w:hAnsi="Verdana"/>
          <w:sz w:val="22"/>
          <w:lang w:val="it-IT"/>
        </w:rPr>
      </w:pPr>
    </w:p>
    <w:p w14:paraId="7AC97AF4" w14:textId="77777777" w:rsidR="00F71FF3" w:rsidRPr="00CD5A84" w:rsidRDefault="00F71FF3" w:rsidP="00F71FF3">
      <w:pPr>
        <w:spacing w:after="0"/>
        <w:jc w:val="both"/>
        <w:rPr>
          <w:rFonts w:ascii="Verdana" w:eastAsia="Source Sans Pro" w:hAnsi="Verdana" w:cs="Source Sans Pro"/>
          <w:b/>
          <w:iCs/>
          <w:color w:val="ED7D31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b/>
          <w:iCs/>
          <w:color w:val="ED7D31"/>
          <w:sz w:val="16"/>
          <w:szCs w:val="16"/>
          <w:lang w:val="it-IT"/>
        </w:rPr>
        <w:t>AcomeA SGR</w:t>
      </w:r>
    </w:p>
    <w:p w14:paraId="1E7ED4FC" w14:textId="7777777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Boutique di investimento indipendente italiana nata nel 2010 per iniziativa di un gruppo di imprenditori e gestori pionieri del settore del risparmio gestito: Alberto Foà, Giordano Martinelli, Giovanni Brambilla, Matteo Serio e Daniele Cohen. Oltre il 90% di AcomeA SGR è detenuto dal management e dai dipendenti che investono una parte del loro patrimonio nei fondi della società.</w:t>
      </w:r>
    </w:p>
    <w:p w14:paraId="02BD8238" w14:textId="7736655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La SGR si caratterizza per uno stile di gestione fortemente attivo, basato su un approccio </w:t>
      </w:r>
      <w:proofErr w:type="spellStart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value</w:t>
      </w:r>
      <w:proofErr w:type="spellEnd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 </w:t>
      </w:r>
      <w:proofErr w:type="spellStart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contrarian</w:t>
      </w:r>
      <w:proofErr w:type="spellEnd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 applicato a una selezionata gamma di fondi aperti UCITS e gestioni patrimoniali, che offrono l’accesso sia a tutte le principali asset class, sia a temi di nicchia, come le PMI italiane quotate. AcomeA SGR mette a disposizione degli investitori anche strategie alternative, grazie alla partnership stretta con Finlabo Sicav nel 2022, che consente alla società di distribuire le proprie strategie </w:t>
      </w:r>
      <w:proofErr w:type="spellStart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flagship</w:t>
      </w:r>
      <w:proofErr w:type="spellEnd"/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 anche sui mercati europei.</w:t>
      </w:r>
    </w:p>
    <w:p w14:paraId="3B395A70" w14:textId="7CDAB423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A fine 2022, il patrimonio gestito ammonta a 1,75 miliardi di euro.</w:t>
      </w:r>
    </w:p>
    <w:p w14:paraId="3C5CEE80" w14:textId="33291A49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La qualità e la competenza della gestione è stata premiata per nove edizioni consecutive con il Premio Alto Rendimento. Dal 2021 la SGR aderisce in qualità di Premium Partner al programma #SustainableFinance di Borsa Italiana. </w:t>
      </w:r>
    </w:p>
    <w:p w14:paraId="4AE23FF4" w14:textId="7777777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</w:p>
    <w:p w14:paraId="54367DF7" w14:textId="77777777" w:rsidR="00F71FF3" w:rsidRPr="00CD5A84" w:rsidRDefault="00D63B69" w:rsidP="00F71FF3">
      <w:pPr>
        <w:jc w:val="both"/>
        <w:rPr>
          <w:rFonts w:ascii="Verdana" w:eastAsia="Source Sans Pro" w:hAnsi="Verdana" w:cs="Source Sans Pro"/>
          <w:color w:val="000000"/>
          <w:sz w:val="16"/>
          <w:szCs w:val="16"/>
          <w:lang w:val="it-IT"/>
        </w:rPr>
      </w:pPr>
      <w:hyperlink r:id="rId8" w:history="1">
        <w:r w:rsidR="00F71FF3" w:rsidRPr="00CD5A84">
          <w:rPr>
            <w:rFonts w:ascii="Verdana" w:eastAsia="Source Sans Pro" w:hAnsi="Verdana" w:cs="Source Sans Pro"/>
            <w:i/>
            <w:color w:val="3095B4"/>
            <w:sz w:val="16"/>
            <w:szCs w:val="16"/>
            <w:u w:val="single"/>
            <w:lang w:val="it-IT"/>
          </w:rPr>
          <w:t>www.acomea.it</w:t>
        </w:r>
      </w:hyperlink>
    </w:p>
    <w:p w14:paraId="03CBD5FF" w14:textId="77777777" w:rsidR="004712EF" w:rsidRPr="00CD5A84" w:rsidRDefault="004712EF" w:rsidP="00A749E1">
      <w:pPr>
        <w:spacing w:after="0"/>
        <w:jc w:val="both"/>
        <w:rPr>
          <w:rFonts w:ascii="Verdana" w:hAnsi="Verdana"/>
          <w:b/>
          <w:color w:val="ED7D31"/>
          <w:sz w:val="16"/>
          <w:lang w:val="it-IT"/>
        </w:rPr>
      </w:pPr>
    </w:p>
    <w:p w14:paraId="59631C0D" w14:textId="77777777" w:rsidR="001654D1" w:rsidRPr="00CD5A84" w:rsidRDefault="001654D1" w:rsidP="001654D1">
      <w:pPr>
        <w:jc w:val="both"/>
        <w:rPr>
          <w:rFonts w:eastAsia="MS Mincho" w:cs="Arial"/>
          <w:snapToGrid w:val="0"/>
          <w:szCs w:val="18"/>
          <w:lang w:val="it-IT"/>
        </w:rPr>
      </w:pPr>
      <w:r w:rsidRPr="00CD5A84">
        <w:rPr>
          <w:rFonts w:cs="Arial"/>
          <w:szCs w:val="18"/>
          <w:u w:val="single"/>
          <w:lang w:val="it-IT"/>
        </w:rPr>
        <w:t>Per maggiori informazioni contattare</w:t>
      </w:r>
      <w:r w:rsidRPr="00CD5A84">
        <w:rPr>
          <w:rFonts w:cs="Arial"/>
          <w:szCs w:val="18"/>
          <w:lang w:val="it-IT"/>
        </w:rPr>
        <w:t>:</w:t>
      </w:r>
    </w:p>
    <w:p w14:paraId="4A37F604" w14:textId="1894BDC7" w:rsidR="001654D1" w:rsidRPr="00CD5A84" w:rsidRDefault="00F71FF3" w:rsidP="001654D1">
      <w:pPr>
        <w:contextualSpacing/>
        <w:jc w:val="both"/>
        <w:rPr>
          <w:b/>
          <w:lang w:val="it-IT"/>
        </w:rPr>
      </w:pPr>
      <w:r w:rsidRPr="00CD5A84">
        <w:rPr>
          <w:b/>
          <w:lang w:val="it-IT"/>
        </w:rPr>
        <w:t>Verini &amp; Associati – acomea@verinieassociati.com</w:t>
      </w:r>
    </w:p>
    <w:p w14:paraId="4E047806" w14:textId="77777777" w:rsidR="00F71FF3" w:rsidRPr="00CD5A84" w:rsidRDefault="00F71FF3" w:rsidP="00F71FF3">
      <w:pPr>
        <w:spacing w:after="0" w:line="240" w:lineRule="auto"/>
        <w:rPr>
          <w:lang w:val="it-IT"/>
        </w:rPr>
      </w:pPr>
      <w:r w:rsidRPr="00CD5A84">
        <w:rPr>
          <w:lang w:val="it-IT"/>
        </w:rPr>
        <w:t xml:space="preserve">Diana Ferla – </w:t>
      </w:r>
      <w:hyperlink r:id="rId9" w:history="1">
        <w:r w:rsidRPr="00CD5A84">
          <w:rPr>
            <w:rStyle w:val="Collegamentoipertestuale"/>
            <w:lang w:val="it-IT"/>
          </w:rPr>
          <w:t>dferla@verinieassociati.com</w:t>
        </w:r>
      </w:hyperlink>
      <w:r w:rsidRPr="00CD5A84">
        <w:rPr>
          <w:lang w:val="it-IT"/>
        </w:rPr>
        <w:t xml:space="preserve"> – 349 0847023</w:t>
      </w:r>
    </w:p>
    <w:p w14:paraId="1C7D68E1" w14:textId="77777777" w:rsidR="00F71FF3" w:rsidRPr="00F71FF3" w:rsidRDefault="00F71FF3" w:rsidP="00F71FF3">
      <w:pPr>
        <w:spacing w:after="0" w:line="240" w:lineRule="auto"/>
        <w:rPr>
          <w:lang w:val="it-IT"/>
        </w:rPr>
      </w:pPr>
      <w:r w:rsidRPr="00CD5A84">
        <w:rPr>
          <w:lang w:val="it-IT"/>
        </w:rPr>
        <w:t xml:space="preserve">Denise Bosotti – </w:t>
      </w:r>
      <w:hyperlink r:id="rId10" w:history="1">
        <w:r w:rsidRPr="00CD5A84">
          <w:rPr>
            <w:rStyle w:val="Collegamentoipertestuale"/>
            <w:lang w:val="it-IT"/>
          </w:rPr>
          <w:t>dbosotti@verinieassociati.com</w:t>
        </w:r>
      </w:hyperlink>
      <w:r w:rsidRPr="00CD5A84">
        <w:rPr>
          <w:lang w:val="it-IT"/>
        </w:rPr>
        <w:t xml:space="preserve"> – 333 8878805</w:t>
      </w:r>
    </w:p>
    <w:p w14:paraId="41112E57" w14:textId="1B9CC150" w:rsidR="00B747BF" w:rsidRPr="005342E7" w:rsidRDefault="00D63B69" w:rsidP="00F71FF3">
      <w:pPr>
        <w:spacing w:after="0" w:line="240" w:lineRule="auto"/>
        <w:ind w:left="-142" w:right="-143"/>
        <w:contextualSpacing/>
        <w:rPr>
          <w:rFonts w:ascii="Verdana" w:hAnsi="Verdana"/>
          <w:sz w:val="22"/>
          <w:lang w:val="it-IT"/>
        </w:rPr>
      </w:pPr>
    </w:p>
    <w:sectPr w:rsidR="00B747BF" w:rsidRPr="005342E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4B6B" w14:textId="77777777" w:rsidR="008B5AB3" w:rsidRDefault="008B5AB3" w:rsidP="005342E7">
      <w:pPr>
        <w:spacing w:after="0" w:line="240" w:lineRule="auto"/>
      </w:pPr>
      <w:r>
        <w:separator/>
      </w:r>
    </w:p>
  </w:endnote>
  <w:endnote w:type="continuationSeparator" w:id="0">
    <w:p w14:paraId="379CA1C7" w14:textId="77777777" w:rsidR="008B5AB3" w:rsidRDefault="008B5AB3" w:rsidP="005342E7">
      <w:pPr>
        <w:spacing w:after="0" w:line="240" w:lineRule="auto"/>
      </w:pPr>
      <w:r>
        <w:continuationSeparator/>
      </w:r>
    </w:p>
  </w:endnote>
  <w:endnote w:type="continuationNotice" w:id="1">
    <w:p w14:paraId="3C1421F6" w14:textId="77777777" w:rsidR="008B5AB3" w:rsidRDefault="008B5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6664"/>
      <w:docPartObj>
        <w:docPartGallery w:val="Page Numbers (Bottom of Page)"/>
        <w:docPartUnique/>
      </w:docPartObj>
    </w:sdtPr>
    <w:sdtEndPr/>
    <w:sdtContent>
      <w:p w14:paraId="154BE88B" w14:textId="4F2828A4" w:rsidR="002A4516" w:rsidRDefault="002A45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DE56A0D" w14:textId="77777777" w:rsidR="002A4516" w:rsidRDefault="002A4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7739" w14:textId="77777777" w:rsidR="008B5AB3" w:rsidRDefault="008B5AB3" w:rsidP="005342E7">
      <w:pPr>
        <w:spacing w:after="0" w:line="240" w:lineRule="auto"/>
      </w:pPr>
      <w:r>
        <w:separator/>
      </w:r>
    </w:p>
  </w:footnote>
  <w:footnote w:type="continuationSeparator" w:id="0">
    <w:p w14:paraId="237D9CFC" w14:textId="77777777" w:rsidR="008B5AB3" w:rsidRDefault="008B5AB3" w:rsidP="005342E7">
      <w:pPr>
        <w:spacing w:after="0" w:line="240" w:lineRule="auto"/>
      </w:pPr>
      <w:r>
        <w:continuationSeparator/>
      </w:r>
    </w:p>
  </w:footnote>
  <w:footnote w:type="continuationNotice" w:id="1">
    <w:p w14:paraId="78C4243E" w14:textId="77777777" w:rsidR="008B5AB3" w:rsidRDefault="008B5AB3">
      <w:pPr>
        <w:spacing w:after="0" w:line="240" w:lineRule="auto"/>
      </w:pPr>
    </w:p>
  </w:footnote>
  <w:footnote w:id="2">
    <w:p w14:paraId="53D94E69" w14:textId="1B5CA92F" w:rsidR="00BD68D8" w:rsidRPr="004F14F3" w:rsidRDefault="00BD68D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F14F3">
        <w:rPr>
          <w:lang w:val="it-IT"/>
        </w:rPr>
        <w:t xml:space="preserve"> </w:t>
      </w:r>
      <w:r w:rsidRPr="004F14F3">
        <w:rPr>
          <w:rFonts w:ascii="Verdana" w:hAnsi="Verdana"/>
          <w:i/>
          <w:iCs/>
          <w:sz w:val="16"/>
          <w:szCs w:val="16"/>
          <w:lang w:val="it-IT"/>
        </w:rPr>
        <w:t xml:space="preserve">Advanced </w:t>
      </w:r>
      <w:proofErr w:type="spellStart"/>
      <w:r w:rsidRPr="004F14F3">
        <w:rPr>
          <w:rFonts w:ascii="Verdana" w:hAnsi="Verdana"/>
          <w:i/>
          <w:iCs/>
          <w:sz w:val="16"/>
          <w:szCs w:val="16"/>
          <w:lang w:val="it-IT"/>
        </w:rPr>
        <w:t>Valuation</w:t>
      </w:r>
      <w:proofErr w:type="spellEnd"/>
      <w:r w:rsidRPr="004F14F3">
        <w:rPr>
          <w:rFonts w:ascii="Verdana" w:hAnsi="Verdana"/>
          <w:i/>
          <w:iCs/>
          <w:sz w:val="16"/>
          <w:szCs w:val="16"/>
          <w:lang w:val="it-IT"/>
        </w:rPr>
        <w:t xml:space="preserve">: </w:t>
      </w:r>
      <w:proofErr w:type="spellStart"/>
      <w:r w:rsidRPr="004F14F3">
        <w:rPr>
          <w:rFonts w:ascii="Verdana" w:hAnsi="Verdana"/>
          <w:i/>
          <w:iCs/>
          <w:sz w:val="16"/>
          <w:szCs w:val="16"/>
          <w:lang w:val="it-IT"/>
        </w:rPr>
        <w:t>Modelling</w:t>
      </w:r>
      <w:proofErr w:type="spellEnd"/>
      <w:r w:rsidRPr="004F14F3">
        <w:rPr>
          <w:rFonts w:ascii="Verdana" w:hAnsi="Verdana"/>
          <w:i/>
          <w:iCs/>
          <w:sz w:val="16"/>
          <w:szCs w:val="16"/>
          <w:lang w:val="it-IT"/>
        </w:rPr>
        <w:t xml:space="preserve"> DCF in </w:t>
      </w:r>
      <w:proofErr w:type="spellStart"/>
      <w:r w:rsidRPr="004F14F3">
        <w:rPr>
          <w:rFonts w:ascii="Verdana" w:hAnsi="Verdana"/>
          <w:i/>
          <w:iCs/>
          <w:sz w:val="16"/>
          <w:szCs w:val="16"/>
          <w:lang w:val="it-IT"/>
        </w:rPr>
        <w:t>Continuous</w:t>
      </w:r>
      <w:proofErr w:type="spellEnd"/>
      <w:r w:rsidRPr="004F14F3">
        <w:rPr>
          <w:rFonts w:ascii="Verdana" w:hAnsi="Verdana"/>
          <w:i/>
          <w:iCs/>
          <w:sz w:val="16"/>
          <w:szCs w:val="16"/>
          <w:lang w:val="it-IT"/>
        </w:rPr>
        <w:t xml:space="preserve"> Time </w:t>
      </w:r>
      <w:r w:rsidRPr="004F14F3">
        <w:rPr>
          <w:rFonts w:ascii="Verdana" w:hAnsi="Verdana"/>
          <w:sz w:val="16"/>
          <w:szCs w:val="16"/>
          <w:lang w:val="it-IT"/>
        </w:rPr>
        <w:t xml:space="preserve">di Dennis Marco Montagna, Simone Benini e Antonio Amendola (2023) Scaricabile da SSRN: </w:t>
      </w:r>
      <w:r w:rsidRPr="004F14F3">
        <w:rPr>
          <w:rFonts w:ascii="Verdana" w:hAnsi="Verdana"/>
          <w:color w:val="0462C1"/>
          <w:sz w:val="16"/>
          <w:szCs w:val="16"/>
          <w:lang w:val="it-IT"/>
        </w:rPr>
        <w:t xml:space="preserve">https://ssrn.com/abstract=4362621 </w:t>
      </w:r>
      <w:r w:rsidRPr="004F14F3">
        <w:rPr>
          <w:rFonts w:ascii="Verdana" w:hAnsi="Verdana"/>
          <w:sz w:val="16"/>
          <w:szCs w:val="16"/>
          <w:lang w:val="it-IT"/>
        </w:rPr>
        <w:t xml:space="preserve">o </w:t>
      </w:r>
      <w:r w:rsidRPr="004F14F3">
        <w:rPr>
          <w:rFonts w:ascii="Verdana" w:hAnsi="Verdana"/>
          <w:color w:val="0462C1"/>
          <w:sz w:val="16"/>
          <w:szCs w:val="16"/>
          <w:lang w:val="it-IT"/>
        </w:rPr>
        <w:t>http://dx.doi.org/10.2139/ssrn.4362621</w:t>
      </w:r>
      <w:r w:rsidRPr="004F14F3">
        <w:rPr>
          <w:color w:val="0462C1"/>
          <w:lang w:val="it-IT"/>
        </w:rPr>
        <w:t xml:space="preserve"> </w:t>
      </w:r>
      <w:r w:rsidRPr="004F14F3">
        <w:rPr>
          <w:lang w:val="it-IT"/>
        </w:rPr>
        <w:t xml:space="preserve"> </w:t>
      </w:r>
    </w:p>
  </w:footnote>
  <w:footnote w:id="3">
    <w:p w14:paraId="7EAD91C8" w14:textId="2AD2253A" w:rsidR="00BD68D8" w:rsidRPr="00317D42" w:rsidRDefault="00BD68D8" w:rsidP="00C7159A">
      <w:pPr>
        <w:pStyle w:val="Testonotaapidipagina"/>
        <w:jc w:val="both"/>
        <w:rPr>
          <w:rFonts w:ascii="Verdana" w:hAnsi="Verdana"/>
          <w:i/>
          <w:iCs/>
          <w:sz w:val="16"/>
          <w:szCs w:val="16"/>
          <w:lang w:val="it-IT"/>
        </w:rPr>
      </w:pPr>
      <w:r w:rsidRPr="00317D42">
        <w:rPr>
          <w:rStyle w:val="Rimandonotaapidipagina"/>
          <w:rFonts w:ascii="Verdana" w:hAnsi="Verdana"/>
          <w:i/>
          <w:iCs/>
          <w:sz w:val="16"/>
          <w:szCs w:val="16"/>
        </w:rPr>
        <w:footnoteRef/>
      </w:r>
      <w:r w:rsidRPr="00317D42">
        <w:rPr>
          <w:rFonts w:ascii="Verdana" w:hAnsi="Verdana"/>
          <w:i/>
          <w:iCs/>
          <w:sz w:val="16"/>
          <w:szCs w:val="16"/>
          <w:lang w:val="it-IT"/>
        </w:rPr>
        <w:t xml:space="preserve"> </w:t>
      </w:r>
      <w:r w:rsidR="00A65146" w:rsidRPr="00317D42">
        <w:rPr>
          <w:rFonts w:ascii="Verdana" w:hAnsi="Verdana"/>
          <w:i/>
          <w:iCs/>
          <w:sz w:val="16"/>
          <w:szCs w:val="16"/>
          <w:lang w:val="it-IT"/>
        </w:rPr>
        <w:t>L</w:t>
      </w:r>
      <w:r w:rsidR="00FF749A" w:rsidRPr="00317D42">
        <w:rPr>
          <w:rFonts w:ascii="Verdana" w:hAnsi="Verdana"/>
          <w:i/>
          <w:iCs/>
          <w:sz w:val="16"/>
          <w:szCs w:val="16"/>
          <w:lang w:val="it-IT"/>
        </w:rPr>
        <w:t>’analisi</w:t>
      </w:r>
      <w:r w:rsidR="00A65146" w:rsidRPr="00317D42">
        <w:rPr>
          <w:rFonts w:ascii="Verdana" w:hAnsi="Verdana"/>
          <w:i/>
          <w:iCs/>
          <w:sz w:val="16"/>
          <w:szCs w:val="16"/>
          <w:lang w:val="it-IT"/>
        </w:rPr>
        <w:t xml:space="preserve"> è stata applicata</w:t>
      </w:r>
      <w:r w:rsidR="00FF749A" w:rsidRPr="00317D42">
        <w:rPr>
          <w:rFonts w:ascii="Verdana" w:hAnsi="Verdana"/>
          <w:i/>
          <w:iCs/>
          <w:sz w:val="16"/>
          <w:szCs w:val="16"/>
          <w:lang w:val="it-IT"/>
        </w:rPr>
        <w:t xml:space="preserve"> a 119 delle 183 società d</w:t>
      </w:r>
      <w:r w:rsidR="00A65146" w:rsidRPr="00317D42">
        <w:rPr>
          <w:rFonts w:ascii="Verdana" w:hAnsi="Verdana"/>
          <w:i/>
          <w:iCs/>
          <w:sz w:val="16"/>
          <w:szCs w:val="16"/>
          <w:lang w:val="it-IT"/>
        </w:rPr>
        <w:t>ell’</w:t>
      </w:r>
      <w:r w:rsidR="00FF749A" w:rsidRPr="00317D42">
        <w:rPr>
          <w:rFonts w:ascii="Verdana" w:hAnsi="Verdana"/>
          <w:i/>
          <w:iCs/>
          <w:sz w:val="16"/>
          <w:szCs w:val="16"/>
          <w:lang w:val="it-IT"/>
        </w:rPr>
        <w:t xml:space="preserve">EGM, escludendo i titoli appartenenti ai settori </w:t>
      </w:r>
      <w:proofErr w:type="spellStart"/>
      <w:r w:rsidR="00FF749A" w:rsidRPr="00317D42">
        <w:rPr>
          <w:rFonts w:ascii="Verdana" w:hAnsi="Verdana"/>
          <w:i/>
          <w:iCs/>
          <w:sz w:val="16"/>
          <w:szCs w:val="16"/>
          <w:lang w:val="it-IT"/>
        </w:rPr>
        <w:t>financials</w:t>
      </w:r>
      <w:proofErr w:type="spellEnd"/>
      <w:r w:rsidR="00FF749A" w:rsidRPr="00317D42">
        <w:rPr>
          <w:rFonts w:ascii="Verdana" w:hAnsi="Verdana"/>
          <w:i/>
          <w:iCs/>
          <w:sz w:val="16"/>
          <w:szCs w:val="16"/>
          <w:lang w:val="it-IT"/>
        </w:rPr>
        <w:t xml:space="preserve"> e </w:t>
      </w:r>
      <w:proofErr w:type="spellStart"/>
      <w:r w:rsidR="00FF749A" w:rsidRPr="00317D42">
        <w:rPr>
          <w:rFonts w:ascii="Verdana" w:hAnsi="Verdana"/>
          <w:i/>
          <w:iCs/>
          <w:sz w:val="16"/>
          <w:szCs w:val="16"/>
          <w:lang w:val="it-IT"/>
        </w:rPr>
        <w:t>real</w:t>
      </w:r>
      <w:proofErr w:type="spellEnd"/>
      <w:r w:rsidR="00FF749A" w:rsidRPr="00317D42">
        <w:rPr>
          <w:rFonts w:ascii="Verdana" w:hAnsi="Verdana"/>
          <w:i/>
          <w:iCs/>
          <w:sz w:val="16"/>
          <w:szCs w:val="16"/>
          <w:lang w:val="it-IT"/>
        </w:rPr>
        <w:t xml:space="preserve"> estate, in quanto non valutati solitamente attraverso il DCF. In aggiunta, non sono stati considerati alcuni titol</w:t>
      </w:r>
      <w:r w:rsidR="00A65146" w:rsidRPr="00317D42">
        <w:rPr>
          <w:rFonts w:ascii="Verdana" w:hAnsi="Verdana"/>
          <w:i/>
          <w:iCs/>
          <w:sz w:val="16"/>
          <w:szCs w:val="16"/>
          <w:lang w:val="it-IT"/>
        </w:rPr>
        <w:t>i</w:t>
      </w:r>
      <w:r w:rsidR="00FF749A" w:rsidRPr="00317D42">
        <w:rPr>
          <w:rFonts w:ascii="Verdana" w:hAnsi="Verdana"/>
          <w:i/>
          <w:iCs/>
          <w:sz w:val="16"/>
          <w:szCs w:val="16"/>
          <w:lang w:val="it-IT"/>
        </w:rPr>
        <w:t xml:space="preserve"> sospesi dalla negoziazione</w:t>
      </w:r>
      <w:r w:rsidR="00A65146" w:rsidRPr="00317D42">
        <w:rPr>
          <w:rFonts w:ascii="Verdana" w:hAnsi="Verdana"/>
          <w:i/>
          <w:iCs/>
          <w:sz w:val="16"/>
          <w:szCs w:val="16"/>
          <w:lang w:val="it-IT"/>
        </w:rPr>
        <w:t xml:space="preserve"> e</w:t>
      </w:r>
      <w:r w:rsidR="00FF749A" w:rsidRPr="00317D42">
        <w:rPr>
          <w:rFonts w:ascii="Verdana" w:hAnsi="Verdana"/>
          <w:i/>
          <w:iCs/>
          <w:sz w:val="16"/>
          <w:szCs w:val="16"/>
          <w:lang w:val="it-IT"/>
        </w:rPr>
        <w:t xml:space="preserve"> società con dati riportati e stimati che rendono inefficace e soprattutto incerta l’applicazione del modello.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D998" w14:textId="04354288" w:rsidR="005342E7" w:rsidRDefault="005342E7" w:rsidP="005342E7">
    <w:pPr>
      <w:pStyle w:val="Intestazione"/>
      <w:jc w:val="center"/>
    </w:pPr>
    <w:r>
      <w:rPr>
        <w:noProof/>
      </w:rPr>
      <w:drawing>
        <wp:inline distT="0" distB="0" distL="0" distR="0" wp14:anchorId="35904294" wp14:editId="63958C14">
          <wp:extent cx="1980000" cy="554064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60D03" w14:textId="77777777" w:rsidR="005342E7" w:rsidRDefault="005342E7" w:rsidP="005342E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917"/>
    <w:multiLevelType w:val="hybridMultilevel"/>
    <w:tmpl w:val="96A81E7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A01914"/>
    <w:multiLevelType w:val="hybridMultilevel"/>
    <w:tmpl w:val="79B0DE6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8A396C"/>
    <w:multiLevelType w:val="hybridMultilevel"/>
    <w:tmpl w:val="C8B8A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5E7"/>
    <w:multiLevelType w:val="multilevel"/>
    <w:tmpl w:val="92E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121F"/>
    <w:multiLevelType w:val="hybridMultilevel"/>
    <w:tmpl w:val="E8C2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659"/>
    <w:multiLevelType w:val="hybridMultilevel"/>
    <w:tmpl w:val="6EFC2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97D"/>
    <w:multiLevelType w:val="hybridMultilevel"/>
    <w:tmpl w:val="9E7A391A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31D"/>
    <w:multiLevelType w:val="hybridMultilevel"/>
    <w:tmpl w:val="5628B43C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70111"/>
    <w:multiLevelType w:val="hybridMultilevel"/>
    <w:tmpl w:val="49E2C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29A2"/>
    <w:multiLevelType w:val="hybridMultilevel"/>
    <w:tmpl w:val="A720F2C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041A9F"/>
    <w:multiLevelType w:val="hybridMultilevel"/>
    <w:tmpl w:val="137AAD5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1" w15:restartNumberingAfterBreak="0">
    <w:nsid w:val="7576711A"/>
    <w:multiLevelType w:val="multilevel"/>
    <w:tmpl w:val="DA8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615D9A"/>
    <w:multiLevelType w:val="hybridMultilevel"/>
    <w:tmpl w:val="47FC18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58783493">
    <w:abstractNumId w:val="12"/>
  </w:num>
  <w:num w:numId="2" w16cid:durableId="1891457820">
    <w:abstractNumId w:val="5"/>
  </w:num>
  <w:num w:numId="3" w16cid:durableId="350032171">
    <w:abstractNumId w:val="9"/>
  </w:num>
  <w:num w:numId="4" w16cid:durableId="655843232">
    <w:abstractNumId w:val="2"/>
  </w:num>
  <w:num w:numId="5" w16cid:durableId="80764329">
    <w:abstractNumId w:val="10"/>
  </w:num>
  <w:num w:numId="6" w16cid:durableId="343673142">
    <w:abstractNumId w:val="1"/>
  </w:num>
  <w:num w:numId="7" w16cid:durableId="1462726349">
    <w:abstractNumId w:val="0"/>
  </w:num>
  <w:num w:numId="8" w16cid:durableId="79759866">
    <w:abstractNumId w:val="4"/>
  </w:num>
  <w:num w:numId="9" w16cid:durableId="968973380">
    <w:abstractNumId w:val="8"/>
  </w:num>
  <w:num w:numId="10" w16cid:durableId="650252224">
    <w:abstractNumId w:val="3"/>
  </w:num>
  <w:num w:numId="11" w16cid:durableId="1276058279">
    <w:abstractNumId w:val="11"/>
  </w:num>
  <w:num w:numId="12" w16cid:durableId="1730611397">
    <w:abstractNumId w:val="6"/>
  </w:num>
  <w:num w:numId="13" w16cid:durableId="1266501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4"/>
    <w:rsid w:val="00000AA2"/>
    <w:rsid w:val="00001144"/>
    <w:rsid w:val="00001E90"/>
    <w:rsid w:val="000041AF"/>
    <w:rsid w:val="00010ACF"/>
    <w:rsid w:val="00011A99"/>
    <w:rsid w:val="0001524B"/>
    <w:rsid w:val="00020ABD"/>
    <w:rsid w:val="00020D90"/>
    <w:rsid w:val="0002469E"/>
    <w:rsid w:val="0002754C"/>
    <w:rsid w:val="00030CEA"/>
    <w:rsid w:val="000311AD"/>
    <w:rsid w:val="000321A2"/>
    <w:rsid w:val="0003634F"/>
    <w:rsid w:val="0003764C"/>
    <w:rsid w:val="0004604A"/>
    <w:rsid w:val="00051ECE"/>
    <w:rsid w:val="00052520"/>
    <w:rsid w:val="00056A9A"/>
    <w:rsid w:val="000645CD"/>
    <w:rsid w:val="00072D83"/>
    <w:rsid w:val="00084C18"/>
    <w:rsid w:val="000923FF"/>
    <w:rsid w:val="000A02B0"/>
    <w:rsid w:val="000A18C1"/>
    <w:rsid w:val="000B3742"/>
    <w:rsid w:val="000B3B6B"/>
    <w:rsid w:val="000B542A"/>
    <w:rsid w:val="000B664E"/>
    <w:rsid w:val="000C07BD"/>
    <w:rsid w:val="000C479C"/>
    <w:rsid w:val="000C5FE9"/>
    <w:rsid w:val="000E3C11"/>
    <w:rsid w:val="000E3D36"/>
    <w:rsid w:val="000F4ECE"/>
    <w:rsid w:val="000F71A5"/>
    <w:rsid w:val="00101B1A"/>
    <w:rsid w:val="00104B99"/>
    <w:rsid w:val="001156B2"/>
    <w:rsid w:val="00123DF5"/>
    <w:rsid w:val="00125E14"/>
    <w:rsid w:val="001439DA"/>
    <w:rsid w:val="00145788"/>
    <w:rsid w:val="00153792"/>
    <w:rsid w:val="001561A8"/>
    <w:rsid w:val="00157F3F"/>
    <w:rsid w:val="00163220"/>
    <w:rsid w:val="001654D1"/>
    <w:rsid w:val="00171C5D"/>
    <w:rsid w:val="00176699"/>
    <w:rsid w:val="00176DD7"/>
    <w:rsid w:val="00184B84"/>
    <w:rsid w:val="00192C49"/>
    <w:rsid w:val="00193182"/>
    <w:rsid w:val="001A07EE"/>
    <w:rsid w:val="001A0B03"/>
    <w:rsid w:val="001A1461"/>
    <w:rsid w:val="001B18E0"/>
    <w:rsid w:val="001B7C05"/>
    <w:rsid w:val="001C3BF5"/>
    <w:rsid w:val="001C793B"/>
    <w:rsid w:val="001D0FC7"/>
    <w:rsid w:val="001D1C6C"/>
    <w:rsid w:val="001D25C9"/>
    <w:rsid w:val="001D4BFD"/>
    <w:rsid w:val="001F3055"/>
    <w:rsid w:val="001F602F"/>
    <w:rsid w:val="00200905"/>
    <w:rsid w:val="00210345"/>
    <w:rsid w:val="002142BD"/>
    <w:rsid w:val="00216337"/>
    <w:rsid w:val="00224EDB"/>
    <w:rsid w:val="00230D24"/>
    <w:rsid w:val="002376F7"/>
    <w:rsid w:val="00237AC0"/>
    <w:rsid w:val="00244CEB"/>
    <w:rsid w:val="00246489"/>
    <w:rsid w:val="002509FB"/>
    <w:rsid w:val="0025325B"/>
    <w:rsid w:val="002547F7"/>
    <w:rsid w:val="00260698"/>
    <w:rsid w:val="00261613"/>
    <w:rsid w:val="0026240B"/>
    <w:rsid w:val="00264884"/>
    <w:rsid w:val="00272C7C"/>
    <w:rsid w:val="00273351"/>
    <w:rsid w:val="00276B59"/>
    <w:rsid w:val="00276BF2"/>
    <w:rsid w:val="00290E63"/>
    <w:rsid w:val="00292590"/>
    <w:rsid w:val="00297FD8"/>
    <w:rsid w:val="002A3112"/>
    <w:rsid w:val="002A4516"/>
    <w:rsid w:val="002B16DB"/>
    <w:rsid w:val="002B4340"/>
    <w:rsid w:val="002C06CA"/>
    <w:rsid w:val="002C49E8"/>
    <w:rsid w:val="002D4D82"/>
    <w:rsid w:val="002D558A"/>
    <w:rsid w:val="002D706D"/>
    <w:rsid w:val="002D7AAF"/>
    <w:rsid w:val="002E2007"/>
    <w:rsid w:val="002E24C8"/>
    <w:rsid w:val="002E38BC"/>
    <w:rsid w:val="002E7E4E"/>
    <w:rsid w:val="002F1612"/>
    <w:rsid w:val="002F1C9B"/>
    <w:rsid w:val="002F48F5"/>
    <w:rsid w:val="003030C6"/>
    <w:rsid w:val="00303990"/>
    <w:rsid w:val="00306043"/>
    <w:rsid w:val="003179C6"/>
    <w:rsid w:val="00317D42"/>
    <w:rsid w:val="00320C08"/>
    <w:rsid w:val="00333277"/>
    <w:rsid w:val="00333F32"/>
    <w:rsid w:val="00343865"/>
    <w:rsid w:val="00344EA1"/>
    <w:rsid w:val="0034734F"/>
    <w:rsid w:val="00350267"/>
    <w:rsid w:val="003551B1"/>
    <w:rsid w:val="003617C7"/>
    <w:rsid w:val="00367EE8"/>
    <w:rsid w:val="00373696"/>
    <w:rsid w:val="0037446D"/>
    <w:rsid w:val="00376DB0"/>
    <w:rsid w:val="003774E8"/>
    <w:rsid w:val="00392357"/>
    <w:rsid w:val="003966C7"/>
    <w:rsid w:val="003967EA"/>
    <w:rsid w:val="003A1740"/>
    <w:rsid w:val="003A1BF1"/>
    <w:rsid w:val="003B3F34"/>
    <w:rsid w:val="003B6403"/>
    <w:rsid w:val="003B6946"/>
    <w:rsid w:val="003B6C48"/>
    <w:rsid w:val="003C01F7"/>
    <w:rsid w:val="003C02E5"/>
    <w:rsid w:val="003D2543"/>
    <w:rsid w:val="003D30EB"/>
    <w:rsid w:val="003D5757"/>
    <w:rsid w:val="003D651A"/>
    <w:rsid w:val="003E4871"/>
    <w:rsid w:val="003F3318"/>
    <w:rsid w:val="003F672D"/>
    <w:rsid w:val="003F79F4"/>
    <w:rsid w:val="004039EC"/>
    <w:rsid w:val="0040428B"/>
    <w:rsid w:val="00405CA6"/>
    <w:rsid w:val="00410FF4"/>
    <w:rsid w:val="004162F8"/>
    <w:rsid w:val="004175C2"/>
    <w:rsid w:val="00417B0D"/>
    <w:rsid w:val="0042652A"/>
    <w:rsid w:val="00426825"/>
    <w:rsid w:val="00427736"/>
    <w:rsid w:val="004364DB"/>
    <w:rsid w:val="00436A88"/>
    <w:rsid w:val="00446616"/>
    <w:rsid w:val="00447369"/>
    <w:rsid w:val="004523DF"/>
    <w:rsid w:val="00452F7F"/>
    <w:rsid w:val="00464844"/>
    <w:rsid w:val="0046590D"/>
    <w:rsid w:val="00467D2D"/>
    <w:rsid w:val="004712EF"/>
    <w:rsid w:val="00476E94"/>
    <w:rsid w:val="004807FC"/>
    <w:rsid w:val="00490E90"/>
    <w:rsid w:val="004926D4"/>
    <w:rsid w:val="004935D1"/>
    <w:rsid w:val="00496DBB"/>
    <w:rsid w:val="004A1E8F"/>
    <w:rsid w:val="004B62AB"/>
    <w:rsid w:val="004B6EB0"/>
    <w:rsid w:val="004C0209"/>
    <w:rsid w:val="004D02D5"/>
    <w:rsid w:val="004D059E"/>
    <w:rsid w:val="004D5F1A"/>
    <w:rsid w:val="004D62B8"/>
    <w:rsid w:val="004E12E5"/>
    <w:rsid w:val="004E2777"/>
    <w:rsid w:val="004E60B1"/>
    <w:rsid w:val="004F033C"/>
    <w:rsid w:val="004F14F3"/>
    <w:rsid w:val="004F2C52"/>
    <w:rsid w:val="00500DA4"/>
    <w:rsid w:val="00502D26"/>
    <w:rsid w:val="00505E8C"/>
    <w:rsid w:val="005070D8"/>
    <w:rsid w:val="00510409"/>
    <w:rsid w:val="0051425F"/>
    <w:rsid w:val="00517EE0"/>
    <w:rsid w:val="0052136B"/>
    <w:rsid w:val="005255FB"/>
    <w:rsid w:val="005342E7"/>
    <w:rsid w:val="005343A1"/>
    <w:rsid w:val="00535D71"/>
    <w:rsid w:val="00535F80"/>
    <w:rsid w:val="005440E5"/>
    <w:rsid w:val="00547114"/>
    <w:rsid w:val="00551746"/>
    <w:rsid w:val="00551941"/>
    <w:rsid w:val="005538A2"/>
    <w:rsid w:val="00554C30"/>
    <w:rsid w:val="005677FA"/>
    <w:rsid w:val="0057161B"/>
    <w:rsid w:val="00572BEE"/>
    <w:rsid w:val="00582DC6"/>
    <w:rsid w:val="005847B6"/>
    <w:rsid w:val="00586D3A"/>
    <w:rsid w:val="005A4C08"/>
    <w:rsid w:val="005A4D67"/>
    <w:rsid w:val="005B5389"/>
    <w:rsid w:val="005B619F"/>
    <w:rsid w:val="005B687D"/>
    <w:rsid w:val="005B7B29"/>
    <w:rsid w:val="005C06DE"/>
    <w:rsid w:val="005C59DF"/>
    <w:rsid w:val="005D44A8"/>
    <w:rsid w:val="005D5747"/>
    <w:rsid w:val="005E099B"/>
    <w:rsid w:val="005E0EF2"/>
    <w:rsid w:val="005E1E04"/>
    <w:rsid w:val="005E6B96"/>
    <w:rsid w:val="005F2478"/>
    <w:rsid w:val="005F6037"/>
    <w:rsid w:val="00602603"/>
    <w:rsid w:val="006122E6"/>
    <w:rsid w:val="006171E4"/>
    <w:rsid w:val="00626C9F"/>
    <w:rsid w:val="00635C6E"/>
    <w:rsid w:val="00646A46"/>
    <w:rsid w:val="006526C7"/>
    <w:rsid w:val="006551C3"/>
    <w:rsid w:val="0065713E"/>
    <w:rsid w:val="00660CED"/>
    <w:rsid w:val="00660F9C"/>
    <w:rsid w:val="0066778E"/>
    <w:rsid w:val="00674170"/>
    <w:rsid w:val="0068031B"/>
    <w:rsid w:val="00684398"/>
    <w:rsid w:val="006854A6"/>
    <w:rsid w:val="0068684B"/>
    <w:rsid w:val="00690CE6"/>
    <w:rsid w:val="00695FCA"/>
    <w:rsid w:val="006A455B"/>
    <w:rsid w:val="006A68A6"/>
    <w:rsid w:val="006B062E"/>
    <w:rsid w:val="006B23BD"/>
    <w:rsid w:val="006B7CDA"/>
    <w:rsid w:val="006C6998"/>
    <w:rsid w:val="006E1F03"/>
    <w:rsid w:val="006E612E"/>
    <w:rsid w:val="006E6E4F"/>
    <w:rsid w:val="006F164D"/>
    <w:rsid w:val="006F28EF"/>
    <w:rsid w:val="006F49CE"/>
    <w:rsid w:val="0070013B"/>
    <w:rsid w:val="007058A4"/>
    <w:rsid w:val="00716DA0"/>
    <w:rsid w:val="007173E5"/>
    <w:rsid w:val="00721673"/>
    <w:rsid w:val="00726414"/>
    <w:rsid w:val="00735186"/>
    <w:rsid w:val="00746343"/>
    <w:rsid w:val="00750D17"/>
    <w:rsid w:val="007673A3"/>
    <w:rsid w:val="00794B94"/>
    <w:rsid w:val="007A1D14"/>
    <w:rsid w:val="007A3BA7"/>
    <w:rsid w:val="007A6B21"/>
    <w:rsid w:val="007B644D"/>
    <w:rsid w:val="007B715F"/>
    <w:rsid w:val="007C57DF"/>
    <w:rsid w:val="007C7363"/>
    <w:rsid w:val="007D4B6F"/>
    <w:rsid w:val="007D6106"/>
    <w:rsid w:val="007E5628"/>
    <w:rsid w:val="007E73BE"/>
    <w:rsid w:val="007F5760"/>
    <w:rsid w:val="007F6305"/>
    <w:rsid w:val="00800813"/>
    <w:rsid w:val="00801372"/>
    <w:rsid w:val="00810AC6"/>
    <w:rsid w:val="0081210C"/>
    <w:rsid w:val="00816A50"/>
    <w:rsid w:val="00827142"/>
    <w:rsid w:val="008304EB"/>
    <w:rsid w:val="0083283E"/>
    <w:rsid w:val="00832EB2"/>
    <w:rsid w:val="00832FA0"/>
    <w:rsid w:val="00836474"/>
    <w:rsid w:val="00837936"/>
    <w:rsid w:val="00841CB2"/>
    <w:rsid w:val="0084254D"/>
    <w:rsid w:val="00843C18"/>
    <w:rsid w:val="00845F43"/>
    <w:rsid w:val="00850775"/>
    <w:rsid w:val="00852861"/>
    <w:rsid w:val="00853F27"/>
    <w:rsid w:val="00855622"/>
    <w:rsid w:val="0085706A"/>
    <w:rsid w:val="008625F5"/>
    <w:rsid w:val="008633AE"/>
    <w:rsid w:val="00870829"/>
    <w:rsid w:val="00871905"/>
    <w:rsid w:val="0087494C"/>
    <w:rsid w:val="008839CD"/>
    <w:rsid w:val="00883BF9"/>
    <w:rsid w:val="00883F4C"/>
    <w:rsid w:val="00891A67"/>
    <w:rsid w:val="0089509C"/>
    <w:rsid w:val="008A1987"/>
    <w:rsid w:val="008A3B56"/>
    <w:rsid w:val="008A6FCB"/>
    <w:rsid w:val="008A7FA2"/>
    <w:rsid w:val="008B3E50"/>
    <w:rsid w:val="008B5AB3"/>
    <w:rsid w:val="008C089D"/>
    <w:rsid w:val="008C3BE4"/>
    <w:rsid w:val="008D1CA5"/>
    <w:rsid w:val="008D43BF"/>
    <w:rsid w:val="008E301D"/>
    <w:rsid w:val="008E33B6"/>
    <w:rsid w:val="008E79B1"/>
    <w:rsid w:val="008F2B6E"/>
    <w:rsid w:val="00901A88"/>
    <w:rsid w:val="00901DB7"/>
    <w:rsid w:val="00904CFB"/>
    <w:rsid w:val="00907AF5"/>
    <w:rsid w:val="0091271E"/>
    <w:rsid w:val="00912861"/>
    <w:rsid w:val="00913518"/>
    <w:rsid w:val="00913FF3"/>
    <w:rsid w:val="0092188E"/>
    <w:rsid w:val="0092232F"/>
    <w:rsid w:val="009334E5"/>
    <w:rsid w:val="009346CF"/>
    <w:rsid w:val="00937A71"/>
    <w:rsid w:val="009420A7"/>
    <w:rsid w:val="00942DB4"/>
    <w:rsid w:val="00944480"/>
    <w:rsid w:val="00944D3A"/>
    <w:rsid w:val="00954F04"/>
    <w:rsid w:val="009552C8"/>
    <w:rsid w:val="00960363"/>
    <w:rsid w:val="00961132"/>
    <w:rsid w:val="00964686"/>
    <w:rsid w:val="00967FA6"/>
    <w:rsid w:val="00970645"/>
    <w:rsid w:val="00970987"/>
    <w:rsid w:val="00971054"/>
    <w:rsid w:val="009922E7"/>
    <w:rsid w:val="00992BA1"/>
    <w:rsid w:val="00992BD2"/>
    <w:rsid w:val="00997643"/>
    <w:rsid w:val="009979A8"/>
    <w:rsid w:val="009A2961"/>
    <w:rsid w:val="009A6309"/>
    <w:rsid w:val="009B2664"/>
    <w:rsid w:val="009B48BA"/>
    <w:rsid w:val="009C4E7D"/>
    <w:rsid w:val="009C73E8"/>
    <w:rsid w:val="009D2D93"/>
    <w:rsid w:val="009D2E55"/>
    <w:rsid w:val="009E049D"/>
    <w:rsid w:val="009E1501"/>
    <w:rsid w:val="00A01B64"/>
    <w:rsid w:val="00A10383"/>
    <w:rsid w:val="00A10AB2"/>
    <w:rsid w:val="00A140C9"/>
    <w:rsid w:val="00A14749"/>
    <w:rsid w:val="00A14E00"/>
    <w:rsid w:val="00A1500C"/>
    <w:rsid w:val="00A15761"/>
    <w:rsid w:val="00A224D6"/>
    <w:rsid w:val="00A24EC3"/>
    <w:rsid w:val="00A2752B"/>
    <w:rsid w:val="00A341CB"/>
    <w:rsid w:val="00A42441"/>
    <w:rsid w:val="00A42470"/>
    <w:rsid w:val="00A43335"/>
    <w:rsid w:val="00A52C17"/>
    <w:rsid w:val="00A54ECF"/>
    <w:rsid w:val="00A57A2D"/>
    <w:rsid w:val="00A606D2"/>
    <w:rsid w:val="00A62EC0"/>
    <w:rsid w:val="00A65146"/>
    <w:rsid w:val="00A6521E"/>
    <w:rsid w:val="00A70E4F"/>
    <w:rsid w:val="00A71057"/>
    <w:rsid w:val="00A749E1"/>
    <w:rsid w:val="00A75147"/>
    <w:rsid w:val="00A81B68"/>
    <w:rsid w:val="00A83186"/>
    <w:rsid w:val="00A844F9"/>
    <w:rsid w:val="00A85C35"/>
    <w:rsid w:val="00A9150B"/>
    <w:rsid w:val="00A93955"/>
    <w:rsid w:val="00A94CE3"/>
    <w:rsid w:val="00AA07FB"/>
    <w:rsid w:val="00AA4C36"/>
    <w:rsid w:val="00AB5A9F"/>
    <w:rsid w:val="00AC27AF"/>
    <w:rsid w:val="00AC4F50"/>
    <w:rsid w:val="00AC6DA0"/>
    <w:rsid w:val="00AD0C9A"/>
    <w:rsid w:val="00AD14F8"/>
    <w:rsid w:val="00AD34E2"/>
    <w:rsid w:val="00AD685B"/>
    <w:rsid w:val="00AE6E8F"/>
    <w:rsid w:val="00AF63D3"/>
    <w:rsid w:val="00AF68B1"/>
    <w:rsid w:val="00B15989"/>
    <w:rsid w:val="00B15D5A"/>
    <w:rsid w:val="00B230C4"/>
    <w:rsid w:val="00B23459"/>
    <w:rsid w:val="00B26C5F"/>
    <w:rsid w:val="00B31287"/>
    <w:rsid w:val="00B3345F"/>
    <w:rsid w:val="00B3732C"/>
    <w:rsid w:val="00B3781B"/>
    <w:rsid w:val="00B37BC7"/>
    <w:rsid w:val="00B4779B"/>
    <w:rsid w:val="00B54A84"/>
    <w:rsid w:val="00B54B1E"/>
    <w:rsid w:val="00B54F81"/>
    <w:rsid w:val="00B57268"/>
    <w:rsid w:val="00B62910"/>
    <w:rsid w:val="00B71743"/>
    <w:rsid w:val="00B75F13"/>
    <w:rsid w:val="00B82770"/>
    <w:rsid w:val="00B91210"/>
    <w:rsid w:val="00B91C12"/>
    <w:rsid w:val="00B92F86"/>
    <w:rsid w:val="00BA02DD"/>
    <w:rsid w:val="00BA1D2E"/>
    <w:rsid w:val="00BA2125"/>
    <w:rsid w:val="00BA5E85"/>
    <w:rsid w:val="00BB0789"/>
    <w:rsid w:val="00BB0864"/>
    <w:rsid w:val="00BC32D2"/>
    <w:rsid w:val="00BC7FE8"/>
    <w:rsid w:val="00BD2F3E"/>
    <w:rsid w:val="00BD566C"/>
    <w:rsid w:val="00BD68D8"/>
    <w:rsid w:val="00BE1C16"/>
    <w:rsid w:val="00BE640C"/>
    <w:rsid w:val="00BF504C"/>
    <w:rsid w:val="00BF6C67"/>
    <w:rsid w:val="00BF6C71"/>
    <w:rsid w:val="00BF705B"/>
    <w:rsid w:val="00C00AA8"/>
    <w:rsid w:val="00C03BA4"/>
    <w:rsid w:val="00C11462"/>
    <w:rsid w:val="00C16505"/>
    <w:rsid w:val="00C226E9"/>
    <w:rsid w:val="00C309F0"/>
    <w:rsid w:val="00C32422"/>
    <w:rsid w:val="00C3490A"/>
    <w:rsid w:val="00C349B9"/>
    <w:rsid w:val="00C40F59"/>
    <w:rsid w:val="00C4104E"/>
    <w:rsid w:val="00C44116"/>
    <w:rsid w:val="00C46D8D"/>
    <w:rsid w:val="00C479CA"/>
    <w:rsid w:val="00C5393D"/>
    <w:rsid w:val="00C624C5"/>
    <w:rsid w:val="00C645A4"/>
    <w:rsid w:val="00C7159A"/>
    <w:rsid w:val="00C77B97"/>
    <w:rsid w:val="00C805F4"/>
    <w:rsid w:val="00C80C60"/>
    <w:rsid w:val="00C92E4D"/>
    <w:rsid w:val="00C945E6"/>
    <w:rsid w:val="00CA3851"/>
    <w:rsid w:val="00CB1F38"/>
    <w:rsid w:val="00CB1FE8"/>
    <w:rsid w:val="00CB47BD"/>
    <w:rsid w:val="00CB6A0A"/>
    <w:rsid w:val="00CB78DD"/>
    <w:rsid w:val="00CC112C"/>
    <w:rsid w:val="00CC36C0"/>
    <w:rsid w:val="00CC5F10"/>
    <w:rsid w:val="00CC7993"/>
    <w:rsid w:val="00CD5A84"/>
    <w:rsid w:val="00CD62F9"/>
    <w:rsid w:val="00CD7BAE"/>
    <w:rsid w:val="00CE24A1"/>
    <w:rsid w:val="00CE2887"/>
    <w:rsid w:val="00CE2B86"/>
    <w:rsid w:val="00CE40A0"/>
    <w:rsid w:val="00CF317F"/>
    <w:rsid w:val="00D0314E"/>
    <w:rsid w:val="00D20396"/>
    <w:rsid w:val="00D27B37"/>
    <w:rsid w:val="00D440F8"/>
    <w:rsid w:val="00D44878"/>
    <w:rsid w:val="00D46CF4"/>
    <w:rsid w:val="00D51EE3"/>
    <w:rsid w:val="00D564F2"/>
    <w:rsid w:val="00D57BBC"/>
    <w:rsid w:val="00D60037"/>
    <w:rsid w:val="00D63B69"/>
    <w:rsid w:val="00D63E2A"/>
    <w:rsid w:val="00D7089D"/>
    <w:rsid w:val="00D710DE"/>
    <w:rsid w:val="00D71561"/>
    <w:rsid w:val="00D71A0C"/>
    <w:rsid w:val="00D726C5"/>
    <w:rsid w:val="00D74C21"/>
    <w:rsid w:val="00D77BAD"/>
    <w:rsid w:val="00D9205D"/>
    <w:rsid w:val="00D9281F"/>
    <w:rsid w:val="00D972FE"/>
    <w:rsid w:val="00D97C91"/>
    <w:rsid w:val="00DA6E5A"/>
    <w:rsid w:val="00DA776A"/>
    <w:rsid w:val="00DB04F0"/>
    <w:rsid w:val="00DB29B0"/>
    <w:rsid w:val="00DC16D9"/>
    <w:rsid w:val="00DC2E4D"/>
    <w:rsid w:val="00DC2F5D"/>
    <w:rsid w:val="00DC6C29"/>
    <w:rsid w:val="00DD2523"/>
    <w:rsid w:val="00DD2D2F"/>
    <w:rsid w:val="00DD4337"/>
    <w:rsid w:val="00DE79C6"/>
    <w:rsid w:val="00DF0308"/>
    <w:rsid w:val="00DF16B2"/>
    <w:rsid w:val="00E019CA"/>
    <w:rsid w:val="00E02F3E"/>
    <w:rsid w:val="00E058E2"/>
    <w:rsid w:val="00E0759D"/>
    <w:rsid w:val="00E3193F"/>
    <w:rsid w:val="00E33205"/>
    <w:rsid w:val="00E35893"/>
    <w:rsid w:val="00E41125"/>
    <w:rsid w:val="00E465A4"/>
    <w:rsid w:val="00E65A87"/>
    <w:rsid w:val="00E66840"/>
    <w:rsid w:val="00E70B3F"/>
    <w:rsid w:val="00E71048"/>
    <w:rsid w:val="00E76584"/>
    <w:rsid w:val="00E83298"/>
    <w:rsid w:val="00E866BB"/>
    <w:rsid w:val="00EA0308"/>
    <w:rsid w:val="00EA1502"/>
    <w:rsid w:val="00EA6E61"/>
    <w:rsid w:val="00EB69B6"/>
    <w:rsid w:val="00EB6B37"/>
    <w:rsid w:val="00EC00D8"/>
    <w:rsid w:val="00EC68F3"/>
    <w:rsid w:val="00ED0A18"/>
    <w:rsid w:val="00ED2DB7"/>
    <w:rsid w:val="00EE11CF"/>
    <w:rsid w:val="00EF1CE8"/>
    <w:rsid w:val="00EF5C29"/>
    <w:rsid w:val="00F052DB"/>
    <w:rsid w:val="00F052EF"/>
    <w:rsid w:val="00F0550D"/>
    <w:rsid w:val="00F07FAC"/>
    <w:rsid w:val="00F16D52"/>
    <w:rsid w:val="00F23C7F"/>
    <w:rsid w:val="00F24ABC"/>
    <w:rsid w:val="00F25D88"/>
    <w:rsid w:val="00F43979"/>
    <w:rsid w:val="00F45C36"/>
    <w:rsid w:val="00F4708D"/>
    <w:rsid w:val="00F52CFA"/>
    <w:rsid w:val="00F52DCB"/>
    <w:rsid w:val="00F546CC"/>
    <w:rsid w:val="00F57CB2"/>
    <w:rsid w:val="00F6039B"/>
    <w:rsid w:val="00F60E29"/>
    <w:rsid w:val="00F6425C"/>
    <w:rsid w:val="00F71FF3"/>
    <w:rsid w:val="00F7247A"/>
    <w:rsid w:val="00F8225D"/>
    <w:rsid w:val="00F87218"/>
    <w:rsid w:val="00F87DB7"/>
    <w:rsid w:val="00F909B1"/>
    <w:rsid w:val="00FA2EC3"/>
    <w:rsid w:val="00FA32A9"/>
    <w:rsid w:val="00FA7597"/>
    <w:rsid w:val="00FB0A9B"/>
    <w:rsid w:val="00FB65E0"/>
    <w:rsid w:val="00FC58D5"/>
    <w:rsid w:val="00FC730D"/>
    <w:rsid w:val="00FC7FB2"/>
    <w:rsid w:val="00FD1B85"/>
    <w:rsid w:val="00FD2125"/>
    <w:rsid w:val="00FE1EC8"/>
    <w:rsid w:val="00FE345A"/>
    <w:rsid w:val="00FE3D1B"/>
    <w:rsid w:val="00FF5BB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692E7"/>
  <w15:chartTrackingRefBased/>
  <w15:docId w15:val="{D1CC245B-96C3-4B85-AB44-788AF9C0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D14"/>
    <w:pPr>
      <w:spacing w:after="200" w:line="276" w:lineRule="auto"/>
    </w:pPr>
    <w:rPr>
      <w:rFonts w:ascii="Arial" w:eastAsia="Calibri" w:hAnsi="Arial" w:cs="Times New Roman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A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A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AB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B62AB"/>
    <w:rPr>
      <w:color w:val="3095B4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78E"/>
    <w:rPr>
      <w:color w:val="605E5C"/>
      <w:shd w:val="clear" w:color="auto" w:fill="E1DFDD"/>
    </w:rPr>
  </w:style>
  <w:style w:type="paragraph" w:customStyle="1" w:styleId="BodyTextFirst">
    <w:name w:val="Body Text First"/>
    <w:basedOn w:val="Corpotesto"/>
    <w:next w:val="Corpotesto"/>
    <w:link w:val="BodyTextFirstChar"/>
    <w:rsid w:val="0068031B"/>
    <w:pPr>
      <w:spacing w:after="180" w:line="240" w:lineRule="auto"/>
    </w:pPr>
    <w:rPr>
      <w:rFonts w:asciiTheme="majorHAnsi" w:hAnsiTheme="majorHAnsi"/>
      <w:sz w:val="21"/>
      <w:lang w:val="en-GB"/>
    </w:rPr>
  </w:style>
  <w:style w:type="character" w:customStyle="1" w:styleId="BodyTextFirstChar">
    <w:name w:val="Body Text First Char"/>
    <w:basedOn w:val="CorpotestoCarattere"/>
    <w:link w:val="BodyTextFirst"/>
    <w:rsid w:val="0068031B"/>
    <w:rPr>
      <w:rFonts w:asciiTheme="majorHAnsi" w:eastAsia="Calibri" w:hAnsiTheme="majorHAnsi" w:cs="Times New Roman"/>
      <w:sz w:val="21"/>
      <w:lang w:val="en-GB"/>
    </w:rPr>
  </w:style>
  <w:style w:type="paragraph" w:styleId="Corpotesto">
    <w:name w:val="Body Text"/>
    <w:basedOn w:val="Normale"/>
    <w:link w:val="CorpotestoCarattere"/>
    <w:uiPriority w:val="99"/>
    <w:unhideWhenUsed/>
    <w:rsid w:val="006803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031B"/>
    <w:rPr>
      <w:rFonts w:ascii="Arial" w:eastAsia="Calibri" w:hAnsi="Arial" w:cs="Times New Roman"/>
      <w:sz w:val="18"/>
      <w:lang w:val="en-US"/>
    </w:rPr>
  </w:style>
  <w:style w:type="paragraph" w:styleId="Paragrafoelenco">
    <w:name w:val="List Paragraph"/>
    <w:basedOn w:val="Normale"/>
    <w:uiPriority w:val="34"/>
    <w:qFormat/>
    <w:rsid w:val="0068031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54A84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4A84"/>
    <w:rPr>
      <w:rFonts w:ascii="Calibri" w:hAnsi="Calibri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C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C08"/>
    <w:rPr>
      <w:rFonts w:ascii="Arial" w:eastAsia="Calibri" w:hAnsi="Arial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C08"/>
    <w:rPr>
      <w:vertAlign w:val="superscript"/>
    </w:rPr>
  </w:style>
  <w:style w:type="paragraph" w:styleId="Revisione">
    <w:name w:val="Revision"/>
    <w:hidden/>
    <w:uiPriority w:val="99"/>
    <w:semiHidden/>
    <w:rsid w:val="00B75F13"/>
    <w:pPr>
      <w:spacing w:after="0" w:line="240" w:lineRule="auto"/>
    </w:pPr>
    <w:rPr>
      <w:rFonts w:ascii="Arial" w:eastAsia="Calibri" w:hAnsi="Arial" w:cs="Times New Roman"/>
      <w:sz w:val="18"/>
      <w:lang w:val="en-US"/>
    </w:rPr>
  </w:style>
  <w:style w:type="character" w:customStyle="1" w:styleId="contentpasted0">
    <w:name w:val="contentpasted0"/>
    <w:basedOn w:val="Carpredefinitoparagrafo"/>
    <w:rsid w:val="00970645"/>
  </w:style>
  <w:style w:type="character" w:styleId="Rimandocommento">
    <w:name w:val="annotation reference"/>
    <w:basedOn w:val="Carpredefinitoparagrafo"/>
    <w:uiPriority w:val="99"/>
    <w:semiHidden/>
    <w:unhideWhenUsed/>
    <w:rsid w:val="00EA1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15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1502"/>
    <w:rPr>
      <w:rFonts w:ascii="Arial" w:eastAsia="Calibri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502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68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68D8"/>
    <w:rPr>
      <w:rFonts w:ascii="Arial" w:eastAsia="Calibri" w:hAnsi="Arial" w:cs="Times New Roman"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68D8"/>
    <w:rPr>
      <w:vertAlign w:val="superscript"/>
    </w:rPr>
  </w:style>
  <w:style w:type="paragraph" w:customStyle="1" w:styleId="xcontentpasted0">
    <w:name w:val="x_contentpasted0"/>
    <w:basedOn w:val="Normale"/>
    <w:rsid w:val="009420A7"/>
    <w:pPr>
      <w:spacing w:after="0" w:line="240" w:lineRule="auto"/>
    </w:pPr>
    <w:rPr>
      <w:rFonts w:ascii="Calibri" w:eastAsiaTheme="minorHAns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me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bosotti@verinieassocia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erla@verinieassociat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26A3-7B3C-49BA-B894-2558EB7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Cagnoni - BC Communication</dc:creator>
  <cp:keywords/>
  <dc:description/>
  <cp:lastModifiedBy>Diana Ferla</cp:lastModifiedBy>
  <cp:revision>9</cp:revision>
  <cp:lastPrinted>2023-05-04T07:54:00Z</cp:lastPrinted>
  <dcterms:created xsi:type="dcterms:W3CDTF">2023-05-12T16:11:00Z</dcterms:created>
  <dcterms:modified xsi:type="dcterms:W3CDTF">2023-05-24T07:08:00Z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2df76ffe815a0e14b83e9cc149ecbc10c2c2514ad167020ab21ee6527f463c9d</vt:lpwstr>
  </property>
</Properties>
</file>