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CFB0" w14:textId="383B5EF0" w:rsidR="00911F48" w:rsidRPr="00911F48" w:rsidRDefault="00911F48" w:rsidP="008038DC">
      <w:pPr>
        <w:pStyle w:val="Nessunaspaziatura"/>
        <w:spacing w:after="120" w:line="264" w:lineRule="auto"/>
        <w:rPr>
          <w:b/>
          <w:bCs/>
          <w:lang w:eastAsia="it-IT"/>
        </w:rPr>
      </w:pPr>
      <w:r w:rsidRPr="008B343C">
        <w:rPr>
          <w:b/>
          <w:bCs/>
          <w:lang w:eastAsia="it-IT"/>
        </w:rPr>
        <w:t>Schroders -</w:t>
      </w:r>
      <w:r w:rsidRPr="008B343C">
        <w:rPr>
          <w:b/>
          <w:bCs/>
          <w:color w:val="FF0000"/>
          <w:lang w:eastAsia="it-IT"/>
        </w:rPr>
        <w:t xml:space="preserve"> </w:t>
      </w:r>
      <w:r w:rsidR="009C10F5">
        <w:rPr>
          <w:b/>
          <w:bCs/>
          <w:lang w:eastAsia="it-IT"/>
        </w:rPr>
        <w:t>Globalizzazione a un bivio</w:t>
      </w:r>
      <w:r w:rsidRPr="00911F48">
        <w:rPr>
          <w:b/>
          <w:bCs/>
          <w:lang w:eastAsia="it-IT"/>
        </w:rPr>
        <w:t>: quali mercati ne trarranno vantaggio?</w:t>
      </w:r>
    </w:p>
    <w:p w14:paraId="100696AD" w14:textId="537665E4" w:rsidR="00911F48" w:rsidRPr="008038DC" w:rsidRDefault="00911F48" w:rsidP="008038DC">
      <w:pPr>
        <w:spacing w:after="120" w:line="264" w:lineRule="auto"/>
        <w:rPr>
          <w:rFonts w:eastAsia="Times New Roman" w:cstheme="minorHAnsi"/>
          <w:kern w:val="0"/>
          <w:lang w:val="en-US" w:eastAsia="it-IT"/>
          <w14:ligatures w14:val="none"/>
        </w:rPr>
      </w:pPr>
      <w:r w:rsidRPr="008038DC">
        <w:rPr>
          <w:rFonts w:eastAsia="Times New Roman" w:cstheme="minorHAnsi"/>
          <w:kern w:val="0"/>
          <w:lang w:val="en-US" w:eastAsia="it-IT"/>
          <w14:ligatures w14:val="none"/>
        </w:rPr>
        <w:t xml:space="preserve">A </w:t>
      </w:r>
      <w:proofErr w:type="spellStart"/>
      <w:r w:rsidRPr="008038DC">
        <w:rPr>
          <w:rFonts w:eastAsia="Times New Roman" w:cstheme="minorHAnsi"/>
          <w:kern w:val="0"/>
          <w:lang w:val="en-US" w:eastAsia="it-IT"/>
          <w14:ligatures w14:val="none"/>
        </w:rPr>
        <w:t>cura</w:t>
      </w:r>
      <w:proofErr w:type="spellEnd"/>
      <w:r w:rsidRPr="008038DC">
        <w:rPr>
          <w:rFonts w:eastAsia="Times New Roman" w:cstheme="minorHAnsi"/>
          <w:kern w:val="0"/>
          <w:lang w:val="en-US" w:eastAsia="it-IT"/>
          <w14:ligatures w14:val="none"/>
        </w:rPr>
        <w:t xml:space="preserve"> di </w:t>
      </w:r>
      <w:r w:rsidRPr="008038DC">
        <w:rPr>
          <w:rFonts w:eastAsia="Times New Roman" w:cstheme="minorHAnsi"/>
          <w:b/>
          <w:bCs/>
          <w:kern w:val="0"/>
          <w:lang w:val="en-US" w:eastAsia="it-IT"/>
          <w14:ligatures w14:val="none"/>
        </w:rPr>
        <w:t xml:space="preserve">Andrew </w:t>
      </w:r>
      <w:proofErr w:type="spellStart"/>
      <w:r w:rsidRPr="008038DC">
        <w:rPr>
          <w:rFonts w:eastAsia="Times New Roman" w:cstheme="minorHAnsi"/>
          <w:b/>
          <w:bCs/>
          <w:kern w:val="0"/>
          <w:lang w:val="en-US" w:eastAsia="it-IT"/>
          <w14:ligatures w14:val="none"/>
        </w:rPr>
        <w:t>Rymer</w:t>
      </w:r>
      <w:proofErr w:type="spellEnd"/>
      <w:r w:rsidRPr="008038DC">
        <w:rPr>
          <w:rFonts w:eastAsia="Times New Roman" w:cstheme="minorHAnsi"/>
          <w:b/>
          <w:bCs/>
          <w:kern w:val="0"/>
          <w:lang w:val="en-US" w:eastAsia="it-IT"/>
          <w14:ligatures w14:val="none"/>
        </w:rPr>
        <w:t>, Senior Strategist, Strategic Research Unit e</w:t>
      </w:r>
      <w:hyperlink r:id="rId5" w:history="1"/>
      <w:r w:rsidRPr="008038DC">
        <w:rPr>
          <w:rFonts w:eastAsia="Times New Roman" w:cstheme="minorHAnsi"/>
          <w:b/>
          <w:bCs/>
          <w:kern w:val="0"/>
          <w:lang w:val="en-US" w:eastAsia="it-IT"/>
          <w14:ligatures w14:val="none"/>
        </w:rPr>
        <w:t xml:space="preserve"> David Rees, Senior Emerging Markets Economist, Schroders </w:t>
      </w:r>
    </w:p>
    <w:p w14:paraId="4A142356" w14:textId="77777777" w:rsidR="00297E26" w:rsidRDefault="00297E26" w:rsidP="008038DC">
      <w:pPr>
        <w:spacing w:after="120" w:line="264" w:lineRule="auto"/>
        <w:rPr>
          <w:rFonts w:eastAsia="Times New Roman" w:cstheme="minorHAnsi"/>
          <w:b/>
          <w:bCs/>
          <w:kern w:val="0"/>
          <w:lang w:eastAsia="it-IT"/>
          <w14:ligatures w14:val="none"/>
        </w:rPr>
      </w:pPr>
    </w:p>
    <w:p w14:paraId="41D2C224" w14:textId="45256BD8" w:rsidR="00911F48" w:rsidRPr="00911F48" w:rsidRDefault="00911F48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Con la fine di questo ciclo economico </w:t>
      </w:r>
      <w:r w:rsidR="0096559E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e il regime shift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,</w:t>
      </w:r>
      <w:r w:rsidR="008811DF" w:rsidRPr="008811DF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</w:t>
      </w:r>
      <w:r w:rsidR="008811DF">
        <w:rPr>
          <w:rFonts w:eastAsia="Times New Roman" w:cstheme="minorHAnsi"/>
          <w:b/>
          <w:bCs/>
          <w:kern w:val="0"/>
          <w:lang w:eastAsia="it-IT"/>
          <w14:ligatures w14:val="none"/>
        </w:rPr>
        <w:t>cioè l’emergere di un nuovo ordine mondiale,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</w:t>
      </w:r>
      <w:r w:rsidR="006939DB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il futuro della globalizzazione</w:t>
      </w:r>
      <w:r w:rsidR="0096559E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ha catturato sempre più l'attenzione dei mercati e degli investitori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. </w:t>
      </w:r>
      <w:proofErr w:type="spellStart"/>
      <w:r w:rsidRPr="00911F48">
        <w:rPr>
          <w:rFonts w:eastAsia="Times New Roman" w:cstheme="minorHAnsi"/>
          <w:kern w:val="0"/>
          <w:lang w:eastAsia="it-IT"/>
          <w14:ligatures w14:val="none"/>
        </w:rPr>
        <w:t>Nearshoring</w:t>
      </w:r>
      <w:proofErr w:type="spellEnd"/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proofErr w:type="spellStart"/>
      <w:r w:rsidRPr="00911F48">
        <w:rPr>
          <w:rFonts w:eastAsia="Times New Roman" w:cstheme="minorHAnsi"/>
          <w:kern w:val="0"/>
          <w:lang w:eastAsia="it-IT"/>
          <w14:ligatures w14:val="none"/>
        </w:rPr>
        <w:t>reshoring</w:t>
      </w:r>
      <w:proofErr w:type="spellEnd"/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proofErr w:type="spellStart"/>
      <w:r w:rsidRPr="00911F48">
        <w:rPr>
          <w:rFonts w:eastAsia="Times New Roman" w:cstheme="minorHAnsi"/>
          <w:kern w:val="0"/>
          <w:lang w:eastAsia="it-IT"/>
          <w14:ligatures w14:val="none"/>
        </w:rPr>
        <w:t>onshoring</w:t>
      </w:r>
      <w:proofErr w:type="spellEnd"/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, diversificazione </w:t>
      </w:r>
      <w:r w:rsidR="0096559E">
        <w:rPr>
          <w:rFonts w:eastAsia="Times New Roman" w:cstheme="minorHAnsi"/>
          <w:kern w:val="0"/>
          <w:lang w:eastAsia="it-IT"/>
          <w14:ligatures w14:val="none"/>
        </w:rPr>
        <w:t>delle supply chain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proofErr w:type="spellStart"/>
      <w:r w:rsidRPr="00911F48">
        <w:rPr>
          <w:rFonts w:eastAsia="Times New Roman" w:cstheme="minorHAnsi"/>
          <w:kern w:val="0"/>
          <w:lang w:eastAsia="it-IT"/>
          <w14:ligatures w14:val="none"/>
        </w:rPr>
        <w:t>friendshoring</w:t>
      </w:r>
      <w:proofErr w:type="spellEnd"/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proofErr w:type="spellStart"/>
      <w:r w:rsidRPr="00911F48">
        <w:rPr>
          <w:rFonts w:eastAsia="Times New Roman" w:cstheme="minorHAnsi"/>
          <w:kern w:val="0"/>
          <w:lang w:eastAsia="it-IT"/>
          <w14:ligatures w14:val="none"/>
        </w:rPr>
        <w:t>slowbalisation</w:t>
      </w:r>
      <w:proofErr w:type="spellEnd"/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, de-globalizzazione, persino </w:t>
      </w:r>
      <w:proofErr w:type="spellStart"/>
      <w:r w:rsidRPr="00911F48">
        <w:rPr>
          <w:rFonts w:eastAsia="Times New Roman" w:cstheme="minorHAnsi"/>
          <w:kern w:val="0"/>
          <w:lang w:eastAsia="it-IT"/>
          <w14:ligatures w14:val="none"/>
        </w:rPr>
        <w:t>ri</w:t>
      </w:r>
      <w:proofErr w:type="spellEnd"/>
      <w:r w:rsidRPr="00911F48">
        <w:rPr>
          <w:rFonts w:eastAsia="Times New Roman" w:cstheme="minorHAnsi"/>
          <w:kern w:val="0"/>
          <w:lang w:eastAsia="it-IT"/>
          <w14:ligatures w14:val="none"/>
        </w:rPr>
        <w:t>-globalizzazione sono termini utilizzati per inquadrare questo tema.</w:t>
      </w:r>
    </w:p>
    <w:p w14:paraId="0DE29E2E" w14:textId="508321C7" w:rsidR="00911F48" w:rsidRPr="00911F48" w:rsidRDefault="00911F48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Qualunque sia il termine, tutti questi elementi racchiudono una qualche forma di potenziale </w:t>
      </w:r>
      <w:r w:rsidR="0096559E">
        <w:rPr>
          <w:rFonts w:eastAsia="Times New Roman" w:cstheme="minorHAnsi"/>
          <w:kern w:val="0"/>
          <w:lang w:eastAsia="it-IT"/>
          <w14:ligatures w14:val="none"/>
        </w:rPr>
        <w:t>disruption</w:t>
      </w:r>
      <w:r w:rsidR="0096559E" w:rsidRPr="00911F48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="0096559E">
        <w:rPr>
          <w:rFonts w:eastAsia="Times New Roman" w:cstheme="minorHAnsi"/>
          <w:kern w:val="0"/>
          <w:lang w:eastAsia="it-IT"/>
          <w14:ligatures w14:val="none"/>
        </w:rPr>
        <w:t>a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ll'era della globalizzazione, iniziata 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>realmente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>n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egli anni Novanta. La suddivisione delle diverse fasi di produzione, spesso localizzate in diverse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 xml:space="preserve"> aree geografiche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, ha offerto vantaggi quali costi inferiori, economie di scala, specializzazione e maggiore efficienza. La globalizzazione ha visto un cambiamento radicale nella produzione manifatturiera, con la Cina che è diventata così dominante da essere spesso definita la fabbrica del mondo.</w:t>
      </w:r>
    </w:p>
    <w:p w14:paraId="5D3B875D" w14:textId="55E2D3CC" w:rsidR="00911F48" w:rsidRPr="00911F48" w:rsidRDefault="00911F48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La pandemia ha messo in luce alcuni dei rischi e delle vulnerabilità di questo approccio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. I </w:t>
      </w:r>
      <w:r w:rsidR="00FA4D64">
        <w:rPr>
          <w:rFonts w:eastAsia="Times New Roman" w:cstheme="minorHAnsi"/>
          <w:kern w:val="0"/>
          <w:lang w:eastAsia="it-IT"/>
          <w14:ligatures w14:val="none"/>
        </w:rPr>
        <w:t>lockdown</w:t>
      </w:r>
      <w:r w:rsidR="00FA4D64" w:rsidRPr="00911F48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in Cina nel 2020 sono stati l'inizio di un periodo pluriennale di </w:t>
      </w:r>
      <w:r w:rsidR="0096559E">
        <w:rPr>
          <w:rFonts w:eastAsia="Times New Roman" w:cstheme="minorHAnsi"/>
          <w:kern w:val="0"/>
          <w:lang w:eastAsia="it-IT"/>
          <w14:ligatures w14:val="none"/>
        </w:rPr>
        <w:t>disruption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, dislocazioni e </w:t>
      </w:r>
      <w:r w:rsidR="00FA4D64">
        <w:rPr>
          <w:rFonts w:eastAsia="Times New Roman" w:cstheme="minorHAnsi"/>
          <w:kern w:val="0"/>
          <w:lang w:eastAsia="it-IT"/>
          <w14:ligatures w14:val="none"/>
        </w:rPr>
        <w:t>colli di bottiglia</w:t>
      </w:r>
      <w:r w:rsidR="00FA4D64" w:rsidRPr="00911F48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a livello globale. Le tensioni geopolitiche tra Stati Uniti e Cina, che hanno preceduto la pandemia, non fanno che accentuare questi rischi.</w:t>
      </w:r>
    </w:p>
    <w:p w14:paraId="4231ACC5" w14:textId="256BEB5B" w:rsidR="00911F48" w:rsidRPr="00911F48" w:rsidRDefault="00FA4D64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La naturale </w:t>
      </w:r>
      <w:r w:rsidR="00911F48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risposta da parte delle multinazionali è quella di diversificare e migliorare la sicurezza delle loro catene di approvvigionamento</w:t>
      </w:r>
      <w:r w:rsidR="00911F48" w:rsidRPr="00911F48">
        <w:rPr>
          <w:rFonts w:eastAsia="Times New Roman" w:cstheme="minorHAnsi"/>
          <w:kern w:val="0"/>
          <w:lang w:eastAsia="it-IT"/>
          <w14:ligatures w14:val="none"/>
        </w:rPr>
        <w:t xml:space="preserve">. Nell'era iniziale della globalizzazione si dava priorità all'efficienza e ai costi. Oggi l'attenzione si sta spostando sulla resilienza e sull'affidabilità. Con la Cina al centro dell'industria manifatturiera mondiale, la domanda </w:t>
      </w:r>
      <w:r>
        <w:rPr>
          <w:rFonts w:eastAsia="Times New Roman" w:cstheme="minorHAnsi"/>
          <w:kern w:val="0"/>
          <w:lang w:eastAsia="it-IT"/>
          <w14:ligatures w14:val="none"/>
        </w:rPr>
        <w:t>logica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="00911F48" w:rsidRPr="00911F48">
        <w:rPr>
          <w:rFonts w:eastAsia="Times New Roman" w:cstheme="minorHAnsi"/>
          <w:kern w:val="0"/>
          <w:lang w:eastAsia="it-IT"/>
          <w14:ligatures w14:val="none"/>
        </w:rPr>
        <w:t xml:space="preserve">per gli investitori è quella di valutare </w:t>
      </w:r>
      <w:r w:rsidR="00911F48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quali economie e quali mercati azionari possano trarre vantaggio dalle potenziali perturbazioni e dal nuovo assetto della globalizzazione</w:t>
      </w:r>
      <w:r w:rsidR="00911F48" w:rsidRPr="00911F48">
        <w:rPr>
          <w:rFonts w:eastAsia="Times New Roman" w:cstheme="minorHAnsi"/>
          <w:kern w:val="0"/>
          <w:lang w:eastAsia="it-IT"/>
          <w14:ligatures w14:val="none"/>
        </w:rPr>
        <w:t>. In definitiva, data la posizione dominante della Cina, è probabile che qualsiasi cambiamento comporti una riallocazione delle catene di approvvigionamento lontano dal Paese.</w:t>
      </w:r>
    </w:p>
    <w:p w14:paraId="5D920F72" w14:textId="66B18E57" w:rsidR="00911F48" w:rsidRPr="008038DC" w:rsidRDefault="00911F48" w:rsidP="008038DC">
      <w:pPr>
        <w:spacing w:after="120" w:line="264" w:lineRule="auto"/>
        <w:rPr>
          <w:rFonts w:eastAsia="Times New Roman" w:cstheme="minorHAnsi"/>
          <w:kern w:val="0"/>
          <w:u w:val="single"/>
          <w:lang w:eastAsia="it-IT"/>
          <w14:ligatures w14:val="none"/>
        </w:rPr>
      </w:pPr>
      <w:r w:rsidRPr="008038DC">
        <w:rPr>
          <w:rFonts w:eastAsia="Times New Roman" w:cstheme="minorHAnsi"/>
          <w:kern w:val="0"/>
          <w:u w:val="single"/>
          <w:lang w:eastAsia="it-IT"/>
          <w14:ligatures w14:val="none"/>
        </w:rPr>
        <w:t>Quali economie potrebbero beneficiare dei cambiamenti delle catene di approvvigionamento?</w:t>
      </w:r>
    </w:p>
    <w:p w14:paraId="5783E5F8" w14:textId="0B48D2D2" w:rsidR="00911F48" w:rsidRPr="00911F48" w:rsidRDefault="00911F48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Secondo la nostra ricerca</w:t>
      </w:r>
      <w:r w:rsidR="005173D1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,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</w:t>
      </w:r>
      <w:r w:rsidR="00A72272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tra le 20 economie che ne beneficerebbero maggiormente, gran parte </w:t>
      </w:r>
      <w:r w:rsidR="006939DB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sono 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emergenti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.</w:t>
      </w:r>
    </w:p>
    <w:p w14:paraId="2E095B74" w14:textId="69ABCBF1" w:rsidR="00911F48" w:rsidRPr="00911F48" w:rsidRDefault="00911F48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911F48">
        <w:rPr>
          <w:rFonts w:eastAsia="Times New Roman" w:cstheme="minorHAnsi"/>
          <w:noProof/>
          <w:kern w:val="0"/>
          <w:lang w:eastAsia="it-IT"/>
          <w14:ligatures w14:val="none"/>
        </w:rPr>
        <w:drawing>
          <wp:inline distT="0" distB="0" distL="0" distR="0" wp14:anchorId="794989D6" wp14:editId="04BE877C">
            <wp:extent cx="3834093" cy="2827020"/>
            <wp:effectExtent l="0" t="0" r="0" b="0"/>
            <wp:docPr id="1648336740" name="Immagine 2" descr="Table showing which economies stand to benefit from deglobal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showing which economies stand to benefit from deglobalis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02" cy="285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F005" w14:textId="52D9322F" w:rsidR="00911F48" w:rsidRPr="00911F48" w:rsidRDefault="00911F48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911F48">
        <w:rPr>
          <w:rFonts w:eastAsia="Times New Roman" w:cstheme="minorHAnsi"/>
          <w:kern w:val="0"/>
          <w:lang w:eastAsia="it-IT"/>
          <w14:ligatures w14:val="none"/>
        </w:rPr>
        <w:lastRenderedPageBreak/>
        <w:t xml:space="preserve">La nostra </w:t>
      </w:r>
      <w:r w:rsidR="0096559E">
        <w:rPr>
          <w:rFonts w:eastAsia="Times New Roman" w:cstheme="minorHAnsi"/>
          <w:kern w:val="0"/>
          <w:lang w:eastAsia="it-IT"/>
          <w14:ligatures w14:val="none"/>
        </w:rPr>
        <w:t>analisi</w:t>
      </w:r>
      <w:r w:rsidR="0096559E" w:rsidRPr="00911F48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>mostra</w:t>
      </w:r>
      <w:r w:rsidR="00A72272" w:rsidRPr="00911F48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che 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l'India è il mercato più interessante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per le multinazionali che vogliono diversificare la loro esposizione produttiva. Si prevede che entro il 2028 offrirà il più grande bacino di manodopera in età lavorativa. Altri fattori a sostegno della sua posizione sono 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>un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costo del lavoro relativamente 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>inferiore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e 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>una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produttività relativamente elevata. Tuttavia, l'India non </w:t>
      </w:r>
      <w:r w:rsidR="0096559E">
        <w:rPr>
          <w:rFonts w:eastAsia="Times New Roman" w:cstheme="minorHAnsi"/>
          <w:kern w:val="0"/>
          <w:lang w:eastAsia="it-IT"/>
          <w14:ligatures w14:val="none"/>
        </w:rPr>
        <w:t xml:space="preserve">ha 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un buon punteggio per quanto riguarda la libertà </w:t>
      </w:r>
      <w:r w:rsidR="0096559E">
        <w:rPr>
          <w:rFonts w:eastAsia="Times New Roman" w:cstheme="minorHAnsi"/>
          <w:kern w:val="0"/>
          <w:lang w:eastAsia="it-IT"/>
          <w14:ligatures w14:val="none"/>
        </w:rPr>
        <w:t>d’impresa.</w:t>
      </w:r>
    </w:p>
    <w:p w14:paraId="495E2CEF" w14:textId="78E034B3" w:rsidR="00911F48" w:rsidRPr="00911F48" w:rsidRDefault="00911F48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Il Vietnam è il secondo classificato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. I costi salariali relativamente bassi, la produttività competitiva e la popolazione in età lavorativa rendono questa economia una destinazione interessante, anche se </w:t>
      </w:r>
      <w:r w:rsidR="0096559E">
        <w:rPr>
          <w:rFonts w:eastAsia="Times New Roman" w:cstheme="minorHAnsi"/>
          <w:kern w:val="0"/>
          <w:lang w:eastAsia="it-IT"/>
          <w14:ligatures w14:val="none"/>
        </w:rPr>
        <w:t xml:space="preserve">il suo punteggio in termini di 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libertà </w:t>
      </w:r>
      <w:r w:rsidR="0096559E">
        <w:rPr>
          <w:rFonts w:eastAsia="Times New Roman" w:cstheme="minorHAnsi"/>
          <w:kern w:val="0"/>
          <w:lang w:eastAsia="it-IT"/>
          <w14:ligatures w14:val="none"/>
        </w:rPr>
        <w:t xml:space="preserve">d’impresa 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è meno 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>positivo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. La Corea del Sud occupa una buona posizione, sostenuta dalla classifica della libertà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 xml:space="preserve"> d’impresa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e da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 xml:space="preserve">lla 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produttività. Anche la T</w:t>
      </w:r>
      <w:r w:rsidR="00FA4D64">
        <w:rPr>
          <w:rFonts w:eastAsia="Times New Roman" w:cstheme="minorHAnsi"/>
          <w:kern w:val="0"/>
          <w:lang w:eastAsia="it-IT"/>
          <w14:ligatures w14:val="none"/>
        </w:rPr>
        <w:t>h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ailandia e l'Indonesia sono tra i 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>P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aesi più competitivi a livello regionale, grazie ai costi salariali e all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>e dinamiche demografiche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.</w:t>
      </w:r>
    </w:p>
    <w:p w14:paraId="5F8958A4" w14:textId="676D562E" w:rsidR="00911F48" w:rsidRPr="00911F48" w:rsidRDefault="00911F48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I mercati di frontiera </w:t>
      </w:r>
      <w:r w:rsidR="00FA4D64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come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Bangladesh, Kenya e Pakistan si posizionano tra i primi 20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, in gran parte grazie a costi salariali più bassi e </w:t>
      </w:r>
      <w:r w:rsidR="007A559B">
        <w:rPr>
          <w:rFonts w:eastAsia="Times New Roman" w:cstheme="minorHAnsi"/>
          <w:kern w:val="0"/>
          <w:lang w:eastAsia="it-IT"/>
          <w14:ligatures w14:val="none"/>
        </w:rPr>
        <w:t xml:space="preserve">a 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 xml:space="preserve">dinamiche demografiche 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favorevol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>i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.</w:t>
      </w:r>
    </w:p>
    <w:p w14:paraId="212880F9" w14:textId="2CBF9E78" w:rsidR="00911F48" w:rsidRPr="00911F48" w:rsidRDefault="00911F48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Anche i mercati dell'Europa centrale e orientale sono presenti nella top 20</w:t>
      </w:r>
      <w:r w:rsidR="00A72272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, guidati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dalla Polonia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>. L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a produttività è un importante 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>fattore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per 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 xml:space="preserve">gran 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parte 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>di essi, così come la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libertà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 xml:space="preserve"> d’impresa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. 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Il Messico, spesso citato in relazione al </w:t>
      </w:r>
      <w:proofErr w:type="spellStart"/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nearshoring</w:t>
      </w:r>
      <w:proofErr w:type="spellEnd"/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, si colloca al </w:t>
      </w:r>
      <w:proofErr w:type="gramStart"/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17°</w:t>
      </w:r>
      <w:proofErr w:type="gramEnd"/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posto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>, grazie soprattutto a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salari competitivi e 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>dinamiche demografiche favorevoli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. 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Anche Germania e Stati Uniti si posizionano relativamente in alto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, con livelli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 xml:space="preserve"> elevati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di libertà imprenditoriale che compensano un 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 xml:space="preserve">maggior 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costo del lavoro. </w:t>
      </w:r>
    </w:p>
    <w:p w14:paraId="4F61FBC7" w14:textId="77777777" w:rsidR="00A72272" w:rsidRDefault="00A72272" w:rsidP="00A72272">
      <w:pPr>
        <w:spacing w:after="120" w:line="264" w:lineRule="auto"/>
        <w:rPr>
          <w:rFonts w:eastAsia="Times New Roman" w:cstheme="minorHAnsi"/>
          <w:kern w:val="0"/>
          <w:u w:val="single"/>
          <w:lang w:eastAsia="it-IT"/>
          <w14:ligatures w14:val="none"/>
        </w:rPr>
      </w:pPr>
      <w:r>
        <w:rPr>
          <w:rFonts w:eastAsia="Times New Roman" w:cstheme="minorHAnsi"/>
          <w:kern w:val="0"/>
          <w:u w:val="single"/>
          <w:lang w:eastAsia="it-IT"/>
          <w14:ligatures w14:val="none"/>
        </w:rPr>
        <w:t>Chi sono i potenziali vincitori?</w:t>
      </w:r>
    </w:p>
    <w:p w14:paraId="27889E1D" w14:textId="580DC6BF" w:rsidR="00911F48" w:rsidRPr="00911F48" w:rsidRDefault="00911F48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Le opportunità variano a seconda del mercato. Nei mercati sviluppati, le opportunità 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>sono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più legate alla produzione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 xml:space="preserve"> ‘smart’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. Al contrario, nei mercati emergenti e in Vietnam le opportunità 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>riguardano più il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 settore manifatturiero ad alta intensità di lavoro.</w:t>
      </w:r>
      <w:r w:rsidR="00A72272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="007A559B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S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e la Cina fosse inclusa in questo diagramma, figurerebbe nel segmento centrale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. 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Ciò </w:t>
      </w:r>
      <w:r w:rsidR="00A72272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evidenzia 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la continua attrattiva d</w:t>
      </w:r>
      <w:r w:rsidR="009C10F5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i Pechino 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come destinazione manifatturiera, anche se alcune multinazionali potrebbero essere motivate a ridurre la loro dipendenza dalla Cina.</w:t>
      </w:r>
    </w:p>
    <w:p w14:paraId="21F8CA87" w14:textId="0E7F305A" w:rsidR="00911F48" w:rsidRPr="008038DC" w:rsidRDefault="00911F48" w:rsidP="008038DC">
      <w:pPr>
        <w:spacing w:after="120" w:line="264" w:lineRule="auto"/>
        <w:rPr>
          <w:rFonts w:eastAsia="Times New Roman" w:cstheme="minorHAnsi"/>
          <w:kern w:val="0"/>
          <w:u w:val="single"/>
          <w:lang w:eastAsia="it-IT"/>
          <w14:ligatures w14:val="none"/>
        </w:rPr>
      </w:pPr>
      <w:r w:rsidRPr="008038DC">
        <w:rPr>
          <w:rFonts w:eastAsia="Times New Roman" w:cstheme="minorHAnsi"/>
          <w:kern w:val="0"/>
          <w:u w:val="single"/>
          <w:lang w:eastAsia="it-IT"/>
          <w14:ligatures w14:val="none"/>
        </w:rPr>
        <w:t>Come cogliere queste opportunità?</w:t>
      </w:r>
    </w:p>
    <w:p w14:paraId="53EBDB7F" w14:textId="02065336" w:rsidR="00911F48" w:rsidRPr="00911F48" w:rsidRDefault="00911F48" w:rsidP="008038DC">
      <w:pPr>
        <w:spacing w:after="120" w:line="264" w:lineRule="auto"/>
        <w:rPr>
          <w:rFonts w:eastAsia="Times New Roman" w:cstheme="minorHAnsi"/>
          <w:kern w:val="0"/>
          <w:lang w:eastAsia="it-IT"/>
          <w14:ligatures w14:val="none"/>
        </w:rPr>
      </w:pP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La riorganizzazione della globalizzazione è un tema che i gestori attivi </w:t>
      </w:r>
      <w:r w:rsidR="009C10F5">
        <w:rPr>
          <w:rFonts w:eastAsia="Times New Roman" w:cstheme="minorHAnsi"/>
          <w:kern w:val="0"/>
          <w:lang w:eastAsia="it-IT"/>
          <w14:ligatures w14:val="none"/>
        </w:rPr>
        <w:t>focalizzati sui</w:t>
      </w:r>
      <w:r w:rsidR="009C10F5" w:rsidRPr="00911F48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>mercati emergenti dovrebbero essere in grado di cogliere. La maggior parte dei mercati segnalati come vincenti sono emergenti e, almeno in teoria, è possibile adottare un approccio attivo per analizzare da vicino e filtrare i titoli legati a questo tema. Se da un lato la mappatura del settore può essere sensata, dall'altro è necessario prestare attenzione anche a fattori e valutazioni specifiche dei titoli. Questo tema ha suscitato un certo clamore e il rischio è che i prezzi di alcuni titoli prezzino già l'opportunità futura.</w:t>
      </w:r>
    </w:p>
    <w:p w14:paraId="676143E6" w14:textId="2B68CCF4" w:rsidR="00911F48" w:rsidRPr="008B343C" w:rsidRDefault="00911F48" w:rsidP="008038DC">
      <w:pPr>
        <w:spacing w:after="120" w:line="264" w:lineRule="auto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Si tratta di un'area in cui lo stock picking attivo </w:t>
      </w:r>
      <w:r w:rsidR="00A72272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può avere 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un </w:t>
      </w:r>
      <w:r w:rsidR="00A72272"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particolare 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valore aggiunto</w:t>
      </w:r>
      <w:r w:rsidRPr="00911F48">
        <w:rPr>
          <w:rFonts w:eastAsia="Times New Roman" w:cstheme="minorHAnsi"/>
          <w:kern w:val="0"/>
          <w:lang w:eastAsia="it-IT"/>
          <w14:ligatures w14:val="none"/>
        </w:rPr>
        <w:t xml:space="preserve">: valutare le società con prospettive favorevoli ovunque siano quotate, e farlo in modo ben diversificato tenendo conto dei vincoli di liquidità e di accesso. Sarà importante anche un'adeguata flessibilità per </w:t>
      </w:r>
      <w:r w:rsidRPr="008B343C">
        <w:rPr>
          <w:rFonts w:eastAsia="Times New Roman" w:cstheme="minorHAnsi"/>
          <w:b/>
          <w:bCs/>
          <w:kern w:val="0"/>
          <w:lang w:eastAsia="it-IT"/>
          <w14:ligatures w14:val="none"/>
        </w:rPr>
        <w:t>guardare al di là del benchmark, ad esempio verso le società di piccole e medie dimensioni e anche verso i mercati di frontiera come il Vietnam.</w:t>
      </w:r>
    </w:p>
    <w:p w14:paraId="7A34C2C0" w14:textId="2232B8BD" w:rsidR="001F50DA" w:rsidRPr="00911F48" w:rsidRDefault="00911F48" w:rsidP="008038DC">
      <w:pPr>
        <w:spacing w:after="120" w:line="264" w:lineRule="auto"/>
        <w:rPr>
          <w:rFonts w:cstheme="minorHAnsi"/>
        </w:rPr>
      </w:pPr>
      <w:r w:rsidRPr="00911F48">
        <w:rPr>
          <w:rFonts w:cstheme="minorHAnsi"/>
        </w:rPr>
        <w:t>La de-globalizzazione</w:t>
      </w:r>
      <w:r w:rsidR="006939DB">
        <w:rPr>
          <w:rFonts w:cstheme="minorHAnsi"/>
        </w:rPr>
        <w:t xml:space="preserve"> </w:t>
      </w:r>
      <w:r w:rsidR="00A72272">
        <w:rPr>
          <w:rFonts w:cstheme="minorHAnsi"/>
        </w:rPr>
        <w:t>sarà un tema importante sul lungo termine</w:t>
      </w:r>
      <w:r w:rsidR="00897F4D">
        <w:rPr>
          <w:rFonts w:cstheme="minorHAnsi"/>
        </w:rPr>
        <w:t xml:space="preserve"> e l</w:t>
      </w:r>
      <w:r w:rsidRPr="00911F48">
        <w:rPr>
          <w:rFonts w:cstheme="minorHAnsi"/>
        </w:rPr>
        <w:t>'impatto su</w:t>
      </w:r>
      <w:r w:rsidR="007A559B">
        <w:rPr>
          <w:rFonts w:cstheme="minorHAnsi"/>
        </w:rPr>
        <w:t xml:space="preserve"> </w:t>
      </w:r>
      <w:r w:rsidRPr="00911F48">
        <w:rPr>
          <w:rFonts w:cstheme="minorHAnsi"/>
        </w:rPr>
        <w:t>Paesi, settori, industrie e azioni sarà molto variabile. Ciò che è chiaro, tuttavia, è che il cambio di regime preannuncia un cambiamento nell'economia globale, con conseguenze per le economie e i mercati.</w:t>
      </w:r>
    </w:p>
    <w:sectPr w:rsidR="001F50DA" w:rsidRPr="00911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C74FD"/>
    <w:multiLevelType w:val="multilevel"/>
    <w:tmpl w:val="AE10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064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DA"/>
    <w:rsid w:val="0004267F"/>
    <w:rsid w:val="001F50DA"/>
    <w:rsid w:val="00297E26"/>
    <w:rsid w:val="005173D1"/>
    <w:rsid w:val="005D296E"/>
    <w:rsid w:val="006939DB"/>
    <w:rsid w:val="007101EC"/>
    <w:rsid w:val="007A559B"/>
    <w:rsid w:val="008038DC"/>
    <w:rsid w:val="008811DF"/>
    <w:rsid w:val="00897F4D"/>
    <w:rsid w:val="008B343C"/>
    <w:rsid w:val="00911F48"/>
    <w:rsid w:val="0096559E"/>
    <w:rsid w:val="009C10F5"/>
    <w:rsid w:val="00A72272"/>
    <w:rsid w:val="00F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7C2E"/>
  <w15:chartTrackingRefBased/>
  <w15:docId w15:val="{3685D61B-BE4A-416E-94A2-6983FAB4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11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911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1F4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1F48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customStyle="1" w:styleId="utilsstyledtypography-sc-1yp2xd1-0">
    <w:name w:val="utils__styledtypography-sc-1yp2xd1-0"/>
    <w:basedOn w:val="Normale"/>
    <w:rsid w:val="0091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utilsstyledtypography-sc-1yp2xd1-01">
    <w:name w:val="utils__styledtypography-sc-1yp2xd1-01"/>
    <w:basedOn w:val="Carpredefinitoparagrafo"/>
    <w:rsid w:val="00911F48"/>
  </w:style>
  <w:style w:type="character" w:customStyle="1" w:styleId="authorstyledauthorname-sc-wzv1n4-6">
    <w:name w:val="authorstyled__authorname-sc-wzv1n4-6"/>
    <w:basedOn w:val="Carpredefinitoparagrafo"/>
    <w:rsid w:val="00911F48"/>
  </w:style>
  <w:style w:type="character" w:styleId="Collegamentoipertestuale">
    <w:name w:val="Hyperlink"/>
    <w:basedOn w:val="Carpredefinitoparagrafo"/>
    <w:uiPriority w:val="99"/>
    <w:semiHidden/>
    <w:unhideWhenUsed/>
    <w:rsid w:val="00911F48"/>
    <w:rPr>
      <w:color w:val="0000FF"/>
      <w:u w:val="single"/>
    </w:rPr>
  </w:style>
  <w:style w:type="paragraph" w:customStyle="1" w:styleId="iconblockiconwrapper-sc-9s9evk-3">
    <w:name w:val="iconblock__iconwrapper-sc-9s9evk-3"/>
    <w:basedOn w:val="Normale"/>
    <w:rsid w:val="0091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typographyparagraph-sc-numijp-1">
    <w:name w:val="typography__paragraph-sc-numijp-1"/>
    <w:basedOn w:val="Normale"/>
    <w:rsid w:val="0091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11F48"/>
    <w:rPr>
      <w:b/>
      <w:bCs/>
    </w:rPr>
  </w:style>
  <w:style w:type="paragraph" w:styleId="Nessunaspaziatura">
    <w:name w:val="No Spacing"/>
    <w:uiPriority w:val="1"/>
    <w:qFormat/>
    <w:rsid w:val="00911F48"/>
    <w:pPr>
      <w:spacing w:after="0" w:line="240" w:lineRule="auto"/>
    </w:pPr>
  </w:style>
  <w:style w:type="paragraph" w:styleId="Revisione">
    <w:name w:val="Revision"/>
    <w:hidden/>
    <w:uiPriority w:val="99"/>
    <w:semiHidden/>
    <w:rsid w:val="00911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59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802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7180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33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4324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34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554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6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303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7483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6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466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9530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1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chroders.com/en-gb/uk/intermediary/insights/globalisation-reset-which-economies-and-markets-stand-to-benefit/?utm_campaign=newsletter_insights&amp;utm_content=global_insights&amp;utm_medium=email&amp;utm_source=pce&amp;utm_term=uk-intermediary_institutional-content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Bogo</dc:creator>
  <cp:keywords/>
  <dc:description/>
  <cp:lastModifiedBy>Diana Ferla</cp:lastModifiedBy>
  <cp:revision>5</cp:revision>
  <dcterms:created xsi:type="dcterms:W3CDTF">2023-05-26T13:08:00Z</dcterms:created>
  <dcterms:modified xsi:type="dcterms:W3CDTF">2023-05-29T07:53:00Z</dcterms:modified>
</cp:coreProperties>
</file>