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1F10" w14:textId="44142A08" w:rsidR="00DF4F42" w:rsidRPr="00006525" w:rsidRDefault="00DF4F42" w:rsidP="00096D6D">
      <w:pPr>
        <w:jc w:val="both"/>
        <w:rPr>
          <w:b/>
          <w:bCs/>
          <w:sz w:val="24"/>
          <w:szCs w:val="24"/>
        </w:rPr>
      </w:pPr>
      <w:r w:rsidRPr="00006525">
        <w:rPr>
          <w:b/>
          <w:bCs/>
          <w:sz w:val="24"/>
          <w:szCs w:val="24"/>
        </w:rPr>
        <w:t xml:space="preserve">AMCHOR IS: </w:t>
      </w:r>
      <w:r w:rsidR="002B5B94" w:rsidRPr="00006525">
        <w:rPr>
          <w:b/>
          <w:bCs/>
          <w:sz w:val="24"/>
          <w:szCs w:val="24"/>
        </w:rPr>
        <w:t>La recessione è sempre più lontana?</w:t>
      </w:r>
    </w:p>
    <w:p w14:paraId="6BA0A052" w14:textId="45EBA42E" w:rsidR="00DF4F42" w:rsidRPr="00015E27" w:rsidRDefault="00DF4F42" w:rsidP="00096D6D">
      <w:pPr>
        <w:jc w:val="both"/>
        <w:rPr>
          <w:color w:val="002E67"/>
          <w:sz w:val="20"/>
          <w:szCs w:val="20"/>
        </w:rPr>
      </w:pPr>
      <w:r>
        <w:t xml:space="preserve">A cura di </w:t>
      </w:r>
      <w:r>
        <w:rPr>
          <w:b/>
          <w:bCs/>
        </w:rPr>
        <w:t>Alvaro Sanmartin, Chief Economist, Amchor</w:t>
      </w:r>
      <w:r w:rsidRPr="00D47CA5">
        <w:rPr>
          <w:b/>
          <w:bCs/>
        </w:rPr>
        <w:t xml:space="preserve"> </w:t>
      </w:r>
      <w:r w:rsidR="00D47CA5" w:rsidRPr="00D47CA5">
        <w:rPr>
          <w:b/>
          <w:bCs/>
        </w:rPr>
        <w:t>IS</w:t>
      </w:r>
    </w:p>
    <w:p w14:paraId="5E3A9055" w14:textId="77777777" w:rsidR="002C1EB2" w:rsidRDefault="00DE793F" w:rsidP="00096D6D">
      <w:pPr>
        <w:jc w:val="both"/>
        <w:rPr>
          <w:b/>
          <w:bCs/>
        </w:rPr>
      </w:pPr>
      <w:r w:rsidRPr="002B5B94">
        <w:rPr>
          <w:b/>
          <w:bCs/>
        </w:rPr>
        <w:t xml:space="preserve">I dati sull'attività economica negli Stati Uniti continuano a essere troppo </w:t>
      </w:r>
      <w:r w:rsidR="000A4462" w:rsidRPr="002B5B94">
        <w:rPr>
          <w:b/>
          <w:bCs/>
        </w:rPr>
        <w:t>solidi</w:t>
      </w:r>
      <w:r w:rsidRPr="002B5B94">
        <w:rPr>
          <w:b/>
          <w:bCs/>
        </w:rPr>
        <w:t xml:space="preserve"> perché sia ragionevole aspettarsi una recessione nella seconda metà dell'anno</w:t>
      </w:r>
      <w:r>
        <w:t>. Allo stesso tempo, gli indicatori più recenti dei salari e dei prezzi sottostanti, anche se ancora provvisoriamente, mostrano segn</w:t>
      </w:r>
      <w:r w:rsidR="00096D6D">
        <w:t>al</w:t>
      </w:r>
      <w:r>
        <w:t xml:space="preserve">i nella giusta direzione. </w:t>
      </w:r>
      <w:r w:rsidR="00096D6D" w:rsidRPr="00096D6D">
        <w:t>Nel caso dell'</w:t>
      </w:r>
      <w:r w:rsidR="00096D6D" w:rsidRPr="002B5B94">
        <w:rPr>
          <w:b/>
          <w:bCs/>
        </w:rPr>
        <w:t>Eurozona</w:t>
      </w:r>
      <w:r w:rsidR="00096D6D" w:rsidRPr="00096D6D">
        <w:t xml:space="preserve">, l'attività del settore dei servizi rimane forte, consentendo alla disoccupazione di raggiungere </w:t>
      </w:r>
      <w:r w:rsidR="00096D6D" w:rsidRPr="002B5B94">
        <w:rPr>
          <w:b/>
          <w:bCs/>
        </w:rPr>
        <w:t>nuovi minimi storici in aprile</w:t>
      </w:r>
      <w:r w:rsidR="00096D6D" w:rsidRPr="00096D6D">
        <w:t>.</w:t>
      </w:r>
      <w:r w:rsidR="00096D6D">
        <w:t xml:space="preserve"> </w:t>
      </w:r>
      <w:r>
        <w:t xml:space="preserve">Sul fronte dei prezzi, tuttavia, la strada da percorrere è ancora più lunga rispetto agli </w:t>
      </w:r>
      <w:r w:rsidR="00096D6D">
        <w:t>Stati Uniti. Infatti,</w:t>
      </w:r>
      <w:r>
        <w:t xml:space="preserve"> </w:t>
      </w:r>
      <w:r w:rsidR="00096D6D" w:rsidRPr="002B5B94">
        <w:rPr>
          <w:b/>
          <w:bCs/>
        </w:rPr>
        <w:t xml:space="preserve">i </w:t>
      </w:r>
      <w:r w:rsidRPr="002B5B94">
        <w:rPr>
          <w:b/>
          <w:bCs/>
        </w:rPr>
        <w:t xml:space="preserve">salari in Europa continuano ad accelerare e non è affatto escluso che, grazie all'enorme forza del settore turistico, si possa assistere a un ulteriore aumento dell'inflazione di fondo nel corso dell'estate. </w:t>
      </w:r>
    </w:p>
    <w:p w14:paraId="6BC8C70F" w14:textId="1089869C" w:rsidR="002C1EB2" w:rsidRDefault="00DE793F" w:rsidP="00096D6D">
      <w:pPr>
        <w:jc w:val="both"/>
      </w:pPr>
      <w:r>
        <w:t xml:space="preserve">Ciò premesso, il nostro scenario </w:t>
      </w:r>
      <w:r w:rsidR="00096D6D">
        <w:t xml:space="preserve">macro </w:t>
      </w:r>
      <w:r>
        <w:t xml:space="preserve">non è cambiato e si può riassumere in quattro elementi. In primo luogo, </w:t>
      </w:r>
      <w:r w:rsidRPr="002B5B94">
        <w:rPr>
          <w:b/>
          <w:bCs/>
        </w:rPr>
        <w:t>la domanda aggregata negli Stati Uniti e in Europa gode di fondamentali solidi</w:t>
      </w:r>
      <w:r>
        <w:t xml:space="preserve">. In secondo luogo, questi buoni fondamentali e gli enormi stimoli fiscali e monetari attuati durante la pandemia hanno contribuito a creare una situazione di </w:t>
      </w:r>
      <w:r w:rsidRPr="002B5B94">
        <w:rPr>
          <w:b/>
          <w:bCs/>
        </w:rPr>
        <w:t>eccesso di domanda</w:t>
      </w:r>
      <w:r w:rsidRPr="000A4462">
        <w:t xml:space="preserve">, che a sua volta </w:t>
      </w:r>
      <w:r w:rsidRPr="002B5B94">
        <w:rPr>
          <w:b/>
          <w:bCs/>
        </w:rPr>
        <w:t>ha portato a significative pressioni inflazionistiche</w:t>
      </w:r>
      <w:r>
        <w:t xml:space="preserve">. In terzo luogo, come conseguenza di quanto sopra, </w:t>
      </w:r>
      <w:r w:rsidRPr="002B5B94">
        <w:rPr>
          <w:b/>
          <w:bCs/>
        </w:rPr>
        <w:t xml:space="preserve">sono ora necessarie politiche monetarie restrittive </w:t>
      </w:r>
      <w:r w:rsidR="00651337">
        <w:t xml:space="preserve">mantenute per un periodo di tempo relativamente lungo per </w:t>
      </w:r>
      <w:r w:rsidR="000A4462">
        <w:t xml:space="preserve">moderare </w:t>
      </w:r>
      <w:r w:rsidR="00651337">
        <w:t xml:space="preserve">sia l'inflazione sia </w:t>
      </w:r>
      <w:r w:rsidR="000A4462">
        <w:t>i</w:t>
      </w:r>
      <w:r w:rsidR="00651337">
        <w:t xml:space="preserve"> salari. In quarto luogo, </w:t>
      </w:r>
      <w:r w:rsidR="00651337" w:rsidRPr="002B5B94">
        <w:rPr>
          <w:b/>
          <w:bCs/>
        </w:rPr>
        <w:t>il fatto che le aspettative di inflazione rimangano ragionevolmente ancorate rende possibile il controllo dell'inflazione senza una recessione</w:t>
      </w:r>
      <w:r w:rsidR="00096D6D">
        <w:t xml:space="preserve">. </w:t>
      </w:r>
    </w:p>
    <w:p w14:paraId="4A1B0A0D" w14:textId="07BFFFE6" w:rsidR="00651337" w:rsidRDefault="000A4462" w:rsidP="00096D6D">
      <w:pPr>
        <w:jc w:val="both"/>
      </w:pPr>
      <w:r w:rsidRPr="002B5B94">
        <w:rPr>
          <w:b/>
          <w:bCs/>
        </w:rPr>
        <w:t>P</w:t>
      </w:r>
      <w:r w:rsidR="00651337" w:rsidRPr="002B5B94">
        <w:rPr>
          <w:b/>
          <w:bCs/>
        </w:rPr>
        <w:t>ensiamo che la Fed possa aver raggiunto il picco dei tassi e che la B</w:t>
      </w:r>
      <w:r w:rsidR="00096D6D" w:rsidRPr="002B5B94">
        <w:rPr>
          <w:b/>
          <w:bCs/>
        </w:rPr>
        <w:t>ce</w:t>
      </w:r>
      <w:r w:rsidR="00651337" w:rsidRPr="002B5B94">
        <w:rPr>
          <w:b/>
          <w:bCs/>
        </w:rPr>
        <w:t>, invece, dovrà probabilmente aumentarli ancora due volte nelle riunioni di giugno e luglio</w:t>
      </w:r>
      <w:r w:rsidR="00651337" w:rsidRPr="00651337">
        <w:t xml:space="preserve">. E, guardando un po' più avanti, </w:t>
      </w:r>
      <w:r w:rsidR="00651337" w:rsidRPr="002B5B94">
        <w:rPr>
          <w:b/>
          <w:bCs/>
        </w:rPr>
        <w:t>pensiamo che dovremo aspettare fino a ben oltre il 2024 per vedere tagli dei tassi di interesse.</w:t>
      </w:r>
      <w:r w:rsidR="00651337" w:rsidRPr="00651337">
        <w:t xml:space="preserve"> Per il resto, in termini di rischi, </w:t>
      </w:r>
      <w:r w:rsidR="00096D6D" w:rsidRPr="00651337">
        <w:t>nel nostro scenario centrale</w:t>
      </w:r>
      <w:r w:rsidR="00096D6D">
        <w:t>,</w:t>
      </w:r>
      <w:r w:rsidR="00096D6D" w:rsidRPr="00651337">
        <w:t xml:space="preserve"> </w:t>
      </w:r>
      <w:r w:rsidR="00651337" w:rsidRPr="002B5B94">
        <w:rPr>
          <w:b/>
          <w:bCs/>
        </w:rPr>
        <w:t>temiamo che l'inflazione impieghi più tempo a scendere di quanto pensiamo</w:t>
      </w:r>
      <w:r w:rsidR="00651337" w:rsidRPr="00651337">
        <w:t>, il che potrebbe disancorare le aspettative sui prezzi e costringere le banche centrali ad alzare i tassi di interesse oltre quanto previsto. Se ciò dovesse accadere, sarebbe difficile evitare una recessione più o meno significativa fino al 2024.</w:t>
      </w:r>
    </w:p>
    <w:p w14:paraId="0F337504" w14:textId="6F1EACBF" w:rsidR="000A4462" w:rsidRDefault="000A4462" w:rsidP="00096D6D">
      <w:pPr>
        <w:jc w:val="both"/>
        <w:rPr>
          <w:b/>
          <w:bCs/>
        </w:rPr>
      </w:pPr>
      <w:r w:rsidRPr="00534D1F">
        <w:rPr>
          <w:u w:val="single"/>
        </w:rPr>
        <w:t xml:space="preserve">Stati Uniti ed Europa: </w:t>
      </w:r>
      <w:r w:rsidR="00E35C5D">
        <w:rPr>
          <w:u w:val="single"/>
        </w:rPr>
        <w:t>gli scenari sono così diversi?</w:t>
      </w:r>
    </w:p>
    <w:p w14:paraId="01E833C1" w14:textId="0C382C24" w:rsidR="00376A3A" w:rsidRDefault="000A4462" w:rsidP="00096D6D">
      <w:pPr>
        <w:jc w:val="both"/>
      </w:pPr>
      <w:r w:rsidRPr="002B5B94">
        <w:rPr>
          <w:b/>
          <w:bCs/>
        </w:rPr>
        <w:t>Negli Stati Uniti</w:t>
      </w:r>
      <w:r w:rsidR="000055C0" w:rsidRPr="000055C0">
        <w:t xml:space="preserve"> </w:t>
      </w:r>
      <w:r w:rsidR="000055C0" w:rsidRPr="002B5B94">
        <w:rPr>
          <w:b/>
          <w:bCs/>
        </w:rPr>
        <w:t>gli ultimi dati sui posti vacanti sono tornati a salire e mostrano valori straordinariamente alti</w:t>
      </w:r>
      <w:r>
        <w:t xml:space="preserve">: </w:t>
      </w:r>
      <w:r w:rsidR="000055C0" w:rsidRPr="000055C0">
        <w:t xml:space="preserve">il rapporto posti vacanti/disoccupazione è di 1,8 contro l'1,2 </w:t>
      </w:r>
      <w:r w:rsidR="002B5B94">
        <w:t>pre-pandemia</w:t>
      </w:r>
      <w:r w:rsidR="000055C0" w:rsidRPr="000055C0">
        <w:t>. Inoltre, il ritmo di creazione di posti di lavoro rimane straordinariamente elevato</w:t>
      </w:r>
      <w:r>
        <w:t>, con una media di</w:t>
      </w:r>
      <w:r w:rsidR="000055C0" w:rsidRPr="000055C0">
        <w:t>314.000 posti di lavoro al mese</w:t>
      </w:r>
      <w:r>
        <w:t>,</w:t>
      </w:r>
      <w:r w:rsidR="000055C0" w:rsidRPr="000055C0">
        <w:t xml:space="preserve"> finora</w:t>
      </w:r>
      <w:r>
        <w:t>,</w:t>
      </w:r>
      <w:r w:rsidR="000055C0" w:rsidRPr="000055C0">
        <w:t xml:space="preserve"> quest'anno.</w:t>
      </w:r>
      <w:r w:rsidR="002B5B94">
        <w:t xml:space="preserve"> </w:t>
      </w:r>
      <w:r w:rsidRPr="002B5B94">
        <w:rPr>
          <w:b/>
          <w:bCs/>
        </w:rPr>
        <w:t xml:space="preserve">In </w:t>
      </w:r>
      <w:r w:rsidRPr="000A4462">
        <w:rPr>
          <w:b/>
          <w:bCs/>
        </w:rPr>
        <w:t>Europa</w:t>
      </w:r>
      <w:r w:rsidRPr="002B5B94">
        <w:rPr>
          <w:b/>
          <w:bCs/>
        </w:rPr>
        <w:t xml:space="preserve"> il mercato del lavoro si sta dimostrando molto forte</w:t>
      </w:r>
      <w:r>
        <w:t xml:space="preserve">, tanto che </w:t>
      </w:r>
      <w:r w:rsidR="000055C0" w:rsidRPr="000055C0">
        <w:t xml:space="preserve">l'Eurozona ha creato posti di lavoro a tassi annualizzati vicini al 2,5% nel </w:t>
      </w:r>
      <w:r w:rsidR="00096D6D">
        <w:t>primo</w:t>
      </w:r>
      <w:r w:rsidR="000055C0" w:rsidRPr="000055C0">
        <w:t xml:space="preserve"> trimestre e ha raggiunto un nuovo minimo nel tasso di disoccupazione in aprile.</w:t>
      </w:r>
      <w:r w:rsidR="002B5B94">
        <w:t xml:space="preserve"> </w:t>
      </w:r>
      <w:r w:rsidRPr="002B5B94">
        <w:t>N</w:t>
      </w:r>
      <w:r w:rsidR="0015392D" w:rsidRPr="0015392D">
        <w:t xml:space="preserve">on crediamo affatto che la relativa debolezza del settore manifatturiero negli Stati Uniti e nell'Eurozona sia un segnale precoce di ciò che potrebbe presto accadere al settore dei servizi. A nostro avviso, tutto ciò che sta accadendo è che, dopo essere stata orientata verso i beni durante la pandemia, </w:t>
      </w:r>
      <w:r w:rsidR="0015392D" w:rsidRPr="002B5B94">
        <w:rPr>
          <w:b/>
          <w:bCs/>
        </w:rPr>
        <w:t>la domanda aggregata globale si è ora spostata verso i servizi</w:t>
      </w:r>
      <w:r w:rsidR="0015392D" w:rsidRPr="0015392D">
        <w:t>.</w:t>
      </w:r>
    </w:p>
    <w:p w14:paraId="3842E908" w14:textId="7992B50E" w:rsidR="00651337" w:rsidRDefault="000A4462" w:rsidP="00096D6D">
      <w:pPr>
        <w:jc w:val="both"/>
      </w:pPr>
      <w:r w:rsidRPr="002B5B94">
        <w:rPr>
          <w:b/>
          <w:bCs/>
        </w:rPr>
        <w:t xml:space="preserve">Molti </w:t>
      </w:r>
      <w:r w:rsidR="0015392D" w:rsidRPr="002B5B94">
        <w:rPr>
          <w:b/>
          <w:bCs/>
        </w:rPr>
        <w:t xml:space="preserve">analisti hanno guardato alla crescita negativa della Germania nel </w:t>
      </w:r>
      <w:r w:rsidR="00096D6D" w:rsidRPr="002B5B94">
        <w:rPr>
          <w:b/>
          <w:bCs/>
        </w:rPr>
        <w:t>primo</w:t>
      </w:r>
      <w:r w:rsidR="0015392D" w:rsidRPr="002B5B94">
        <w:rPr>
          <w:b/>
          <w:bCs/>
        </w:rPr>
        <w:t xml:space="preserve"> trimestre per concludere che l'economia europea è destinata a mostrare uno scarso dinamismo nei prossimi trimestri</w:t>
      </w:r>
      <w:r w:rsidR="0015392D" w:rsidRPr="0015392D">
        <w:t>. Riteniamo possa essere un errore, per almeno due motivi. Il primo è che parte della debolezza mostrata dalla Germania negli ultimi due trimestri è idiosincratica e dovuta alla sua enorme dipendenza dalle forniture energetiche russe</w:t>
      </w:r>
      <w:r>
        <w:t>. U</w:t>
      </w:r>
      <w:r w:rsidRPr="0015392D">
        <w:t xml:space="preserve">n </w:t>
      </w:r>
      <w:r w:rsidR="0015392D" w:rsidRPr="0015392D">
        <w:t xml:space="preserve">esempio del fatto che ciò che accade in Germania non è indicativo di ciò che accade in altri paesi dell'area dell'euro è che </w:t>
      </w:r>
      <w:r w:rsidR="0015392D" w:rsidRPr="002B5B94">
        <w:rPr>
          <w:b/>
          <w:bCs/>
        </w:rPr>
        <w:t>l'Italia, nello stesso primo trimestre, è stata in grado di crescere a tassi annualizzati vicini al 2,5%</w:t>
      </w:r>
      <w:r w:rsidR="0015392D" w:rsidRPr="0015392D">
        <w:t xml:space="preserve">. Il secondo è che la stessa </w:t>
      </w:r>
      <w:r w:rsidR="0015392D" w:rsidRPr="002B5B94">
        <w:rPr>
          <w:b/>
          <w:bCs/>
        </w:rPr>
        <w:t>economia tedesca ha iniziato a dare segni di ripresa all'inizio del secondo trimestre dell'anno</w:t>
      </w:r>
      <w:r w:rsidRPr="002B5B94">
        <w:t>:</w:t>
      </w:r>
      <w:r w:rsidR="0015392D" w:rsidRPr="0015392D">
        <w:t xml:space="preserve"> il settore dei servizi si sta rafforzando, le esportazioni hanno sorpreso in positivo e, soprattutto, il dato sulla creazione di posti di lavoro di aprile è stato ancora una volta molto positivo.</w:t>
      </w:r>
    </w:p>
    <w:p w14:paraId="5FC6DDD0" w14:textId="040FB9BB" w:rsidR="0015392D" w:rsidRDefault="00207A8A" w:rsidP="00207A8A">
      <w:pPr>
        <w:jc w:val="both"/>
      </w:pPr>
      <w:r w:rsidRPr="002B5B94">
        <w:lastRenderedPageBreak/>
        <w:t>Tornando agli</w:t>
      </w:r>
      <w:r>
        <w:rPr>
          <w:b/>
          <w:bCs/>
        </w:rPr>
        <w:t xml:space="preserve"> </w:t>
      </w:r>
      <w:r w:rsidR="0015392D" w:rsidRPr="00207A8A">
        <w:rPr>
          <w:b/>
          <w:bCs/>
        </w:rPr>
        <w:t>Stati Uniti</w:t>
      </w:r>
      <w:r>
        <w:t>,</w:t>
      </w:r>
      <w:r w:rsidR="0015392D" w:rsidRPr="00207A8A">
        <w:t xml:space="preserve"> segnali</w:t>
      </w:r>
      <w:r w:rsidR="0015392D">
        <w:t xml:space="preserve"> di moderazione salariale, accompagnati da una</w:t>
      </w:r>
      <w:r w:rsidR="0015392D" w:rsidRPr="0015392D">
        <w:t xml:space="preserve"> prevedibile evoluzione favorevole della componente degli affitti dell'IPC nei prossimi mesi fa pensare a una </w:t>
      </w:r>
      <w:r w:rsidR="0015392D" w:rsidRPr="002B5B94">
        <w:rPr>
          <w:b/>
          <w:bCs/>
        </w:rPr>
        <w:t>prosecuzione nel breve periodo del processo di (progressiva) disinflazione</w:t>
      </w:r>
      <w:r w:rsidR="0015392D" w:rsidRPr="0015392D">
        <w:t xml:space="preserve"> che sembra già essere iniziato nella prima economia mondiale. </w:t>
      </w:r>
    </w:p>
    <w:p w14:paraId="287511FC" w14:textId="6A54E544" w:rsidR="00207A8A" w:rsidRPr="00534D1F" w:rsidRDefault="00207A8A" w:rsidP="00096D6D">
      <w:pPr>
        <w:jc w:val="both"/>
        <w:rPr>
          <w:u w:val="single"/>
        </w:rPr>
      </w:pPr>
      <w:r w:rsidRPr="00534D1F">
        <w:rPr>
          <w:u w:val="single"/>
        </w:rPr>
        <w:t>Quali r</w:t>
      </w:r>
      <w:r w:rsidR="0015392D" w:rsidRPr="00534D1F">
        <w:rPr>
          <w:u w:val="single"/>
        </w:rPr>
        <w:t>ischi</w:t>
      </w:r>
      <w:r w:rsidRPr="00534D1F">
        <w:rPr>
          <w:u w:val="single"/>
        </w:rPr>
        <w:t xml:space="preserve"> all’orizzonte</w:t>
      </w:r>
    </w:p>
    <w:p w14:paraId="2812AAD7" w14:textId="393B8E6F" w:rsidR="0015392D" w:rsidRDefault="00207A8A" w:rsidP="00096D6D">
      <w:pPr>
        <w:jc w:val="both"/>
      </w:pPr>
      <w:r w:rsidRPr="002B5B94">
        <w:rPr>
          <w:b/>
          <w:bCs/>
        </w:rPr>
        <w:t>È necessario</w:t>
      </w:r>
      <w:r w:rsidR="0015392D" w:rsidRPr="002B5B94">
        <w:rPr>
          <w:b/>
          <w:bCs/>
        </w:rPr>
        <w:t xml:space="preserve"> </w:t>
      </w:r>
      <w:r w:rsidRPr="002B5B94">
        <w:rPr>
          <w:b/>
          <w:bCs/>
        </w:rPr>
        <w:t xml:space="preserve">essere </w:t>
      </w:r>
      <w:r w:rsidR="0015392D" w:rsidRPr="002B5B94">
        <w:rPr>
          <w:b/>
          <w:bCs/>
        </w:rPr>
        <w:t>molto attenti alla possibilità che l'inflazione impieghi più tempo a scendere rispetto alle stime</w:t>
      </w:r>
      <w:r w:rsidR="0015392D" w:rsidRPr="0015392D">
        <w:t xml:space="preserve">, che questo possa smorzare le aspettative di inflazione e che, di conseguenza, le banche centrali possano essere costrette ad attuare politiche monetarie ancora più restrittive di quanto ci aspettiamo. In questo senso, e per capire se questo rischio è destinato a concretizzarsi o meno, da qui alla fine dell'anno monitoreremo da vicino variabili quali: i </w:t>
      </w:r>
      <w:r w:rsidR="0015392D" w:rsidRPr="002B5B94">
        <w:rPr>
          <w:b/>
          <w:bCs/>
        </w:rPr>
        <w:t>prezzi degli affitti negli Stati Uniti</w:t>
      </w:r>
      <w:r w:rsidR="00534D1F">
        <w:t>,</w:t>
      </w:r>
      <w:r w:rsidR="0015392D" w:rsidRPr="0015392D">
        <w:t xml:space="preserve"> la </w:t>
      </w:r>
      <w:r w:rsidR="0015392D" w:rsidRPr="002B5B94">
        <w:rPr>
          <w:b/>
          <w:bCs/>
        </w:rPr>
        <w:t>crescita dei salari</w:t>
      </w:r>
      <w:r w:rsidR="0015392D" w:rsidRPr="0015392D">
        <w:t>, soprattutto nell'Eurozona</w:t>
      </w:r>
      <w:r w:rsidR="00B221F9">
        <w:t xml:space="preserve">, </w:t>
      </w:r>
      <w:r w:rsidR="0015392D" w:rsidRPr="0015392D">
        <w:t xml:space="preserve">per </w:t>
      </w:r>
      <w:r w:rsidR="00B221F9">
        <w:t>monitorare</w:t>
      </w:r>
      <w:r w:rsidR="0015392D" w:rsidRPr="0015392D">
        <w:t xml:space="preserve"> che non superi di molto il 4,5-5%</w:t>
      </w:r>
      <w:r w:rsidR="00534D1F">
        <w:t>,</w:t>
      </w:r>
      <w:r w:rsidR="0015392D">
        <w:t xml:space="preserve"> </w:t>
      </w:r>
      <w:r w:rsidR="00534D1F">
        <w:t xml:space="preserve">i </w:t>
      </w:r>
      <w:r w:rsidR="0015392D" w:rsidRPr="002B5B94">
        <w:rPr>
          <w:b/>
          <w:bCs/>
        </w:rPr>
        <w:t>prezzi dell'energia e dei generi alimentari</w:t>
      </w:r>
      <w:r w:rsidR="00534D1F">
        <w:t>, le</w:t>
      </w:r>
      <w:r w:rsidR="0015392D" w:rsidRPr="0015392D">
        <w:t xml:space="preserve"> </w:t>
      </w:r>
      <w:r w:rsidR="0015392D" w:rsidRPr="002B5B94">
        <w:rPr>
          <w:b/>
          <w:bCs/>
        </w:rPr>
        <w:t>aspettative di inflazione dei consumatori e delle imprese</w:t>
      </w:r>
      <w:r w:rsidR="0015392D" w:rsidRPr="0015392D">
        <w:t xml:space="preserve"> </w:t>
      </w:r>
      <w:r w:rsidR="00534D1F">
        <w:t>e, infine,</w:t>
      </w:r>
      <w:r w:rsidR="0015392D" w:rsidRPr="0015392D">
        <w:t xml:space="preserve"> l'orientamento della </w:t>
      </w:r>
      <w:r w:rsidR="0015392D" w:rsidRPr="002B5B94">
        <w:rPr>
          <w:b/>
          <w:bCs/>
        </w:rPr>
        <w:t>politica fiscale in Europa e negli Stati Uniti</w:t>
      </w:r>
      <w:r w:rsidR="00534D1F">
        <w:t>. S</w:t>
      </w:r>
      <w:r w:rsidR="0015392D" w:rsidRPr="0015392D">
        <w:t xml:space="preserve">arebbe </w:t>
      </w:r>
      <w:r w:rsidR="00B221F9">
        <w:t>positivo</w:t>
      </w:r>
      <w:r w:rsidR="0015392D" w:rsidRPr="0015392D">
        <w:t xml:space="preserve"> che, con l'output gap già positivo e l'inflazione così alta, le politiche fiscali diventassero almeno neutrali, aiutando così le banche centrali nel loro obiettivo di moderare la crescita della domanda aggregata.</w:t>
      </w:r>
    </w:p>
    <w:p w14:paraId="2A64F960" w14:textId="63152DE4" w:rsidR="0015392D" w:rsidRPr="00534D1F" w:rsidRDefault="0015392D" w:rsidP="00096D6D">
      <w:pPr>
        <w:jc w:val="both"/>
        <w:rPr>
          <w:u w:val="single"/>
        </w:rPr>
      </w:pPr>
      <w:r w:rsidRPr="00534D1F">
        <w:rPr>
          <w:u w:val="single"/>
        </w:rPr>
        <w:t>View di mercato</w:t>
      </w:r>
    </w:p>
    <w:p w14:paraId="34313FA9" w14:textId="593D9B5C" w:rsidR="0015392D" w:rsidRDefault="0015392D" w:rsidP="00096D6D">
      <w:pPr>
        <w:jc w:val="both"/>
      </w:pPr>
      <w:r w:rsidRPr="0015392D">
        <w:rPr>
          <w:b/>
          <w:bCs/>
        </w:rPr>
        <w:t>Titoli di Stato</w:t>
      </w:r>
      <w:r w:rsidRPr="0015392D">
        <w:t xml:space="preserve">: sebbene l'ultimo movimento al rialzo abbia portato le curve dei rendimenti a livelli più ragionevoli, continuiamo a ritenere che </w:t>
      </w:r>
      <w:r w:rsidRPr="002B5B94">
        <w:rPr>
          <w:b/>
          <w:bCs/>
        </w:rPr>
        <w:t>i tassi di interesse rimarranno relativamente alti più a lungo di quanto attualmente scontato</w:t>
      </w:r>
      <w:r w:rsidRPr="0015392D">
        <w:t xml:space="preserve">. Inoltre, non escludiamo affatto future revisioni al rialzo delle stime sui tassi neutrali. </w:t>
      </w:r>
    </w:p>
    <w:p w14:paraId="5606745A" w14:textId="7D7B256B" w:rsidR="0015392D" w:rsidRPr="0015392D" w:rsidRDefault="0015392D" w:rsidP="00096D6D">
      <w:pPr>
        <w:jc w:val="both"/>
      </w:pPr>
      <w:r w:rsidRPr="0015392D">
        <w:rPr>
          <w:b/>
          <w:bCs/>
        </w:rPr>
        <w:t>Credito</w:t>
      </w:r>
      <w:r w:rsidRPr="0015392D">
        <w:t xml:space="preserve">: continuiamo a preferire le obbligazioni societarie a bassa duration perché nel nostro scenario macro centrale i tassi di default non dovrebbero aumentare troppo. In ogni caso, continuiamo a combinare questa esposizione al credito con posizioni ben selezionate in </w:t>
      </w:r>
      <w:r w:rsidRPr="002B5B94">
        <w:rPr>
          <w:b/>
          <w:bCs/>
        </w:rPr>
        <w:t>titoli di Stato dei mercati emergenti in valuta locale</w:t>
      </w:r>
      <w:r w:rsidRPr="0015392D">
        <w:t xml:space="preserve">. Quest'ultima asset class ci attrae per due motivi principali: in primo luogo, perché offre ottime prospettive di rendimento, sia in termini di carry che di potenziale apprezzamento del tasso di cambio; in secondo luogo, perché attualmente esiste un gruppo di </w:t>
      </w:r>
      <w:r w:rsidRPr="002B5B94">
        <w:rPr>
          <w:b/>
          <w:bCs/>
        </w:rPr>
        <w:t>Paesi emergenti per i quali prevediamo tassi di crescita economica molto interessanti e che beneficiano anche di una solida governance economica, di deficit pubblici contenuti e di un'inflazione ragionevolmente bassa</w:t>
      </w:r>
      <w:r w:rsidR="00534D1F">
        <w:t>. Q</w:t>
      </w:r>
      <w:r w:rsidR="00534D1F" w:rsidRPr="0015392D">
        <w:t xml:space="preserve">ueste </w:t>
      </w:r>
      <w:r w:rsidRPr="0015392D">
        <w:t>caratteristiche, a nostro avviso, fanno sì che l'esposizione ai titoli di Stato in valuta locale di questi Paesi sia oggi meno rischiosa che in passato.</w:t>
      </w:r>
    </w:p>
    <w:p w14:paraId="3E5607C6" w14:textId="08963BA7" w:rsidR="0015392D" w:rsidRDefault="0015392D" w:rsidP="00096D6D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0015392D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Azioni</w:t>
      </w:r>
      <w:r w:rsidRPr="0015392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: nella misura in cui vediamo una forza di fondo nella domanda aggregata e tassi d'interesse ragionevolmente elevati nel medio termine, </w:t>
      </w:r>
      <w:r w:rsidRPr="002B5B94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riteniamo che il segmento value/ciclico del mercato (comprese le banche) dovrebbe fare meglio del segmento growth/difensivo nella seconda metà dell'anno</w:t>
      </w:r>
      <w:r w:rsidRPr="0015392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. Dal punto di vista geografico, alla luce di quanto sopra e considerando anche i livelli di valutazione relativi, </w:t>
      </w:r>
      <w:r w:rsidRPr="002B5B94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preferiamo il mercato europeo a quello statunitense</w:t>
      </w:r>
      <w:r w:rsidRPr="0015392D">
        <w:rPr>
          <w:rFonts w:asciiTheme="minorHAnsi" w:hAnsiTheme="minorHAnsi" w:cstheme="minorBidi"/>
          <w:color w:val="auto"/>
          <w:kern w:val="2"/>
          <w:sz w:val="22"/>
          <w:szCs w:val="22"/>
        </w:rPr>
        <w:t>. Allo stesso tempo, pur essendo ben consapevoli dei rischi geopolitici presenti in Cina, riteniamo che l'</w:t>
      </w:r>
      <w:r w:rsidRPr="002B5B94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Asia emergente sarà la regione che crescerà più rapidamente a livello globale</w:t>
      </w:r>
      <w:r w:rsidRPr="0015392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sia nel breve che nel medio termine e pertanto continuiamo a privilegiare una certa esposizione alle azioni di questa regione.</w:t>
      </w:r>
    </w:p>
    <w:p w14:paraId="39205B58" w14:textId="77777777" w:rsidR="0015392D" w:rsidRDefault="0015392D" w:rsidP="00096D6D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</w:p>
    <w:p w14:paraId="1E1D7E63" w14:textId="43AF38F5" w:rsidR="00096D6D" w:rsidRPr="0015392D" w:rsidRDefault="00096D6D" w:rsidP="00096D6D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00096D6D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Valute</w:t>
      </w:r>
      <w:r w:rsidRPr="00096D6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: visti i buoni segnali che il Giappone sta generando, e considerando anche che lo yen è piuttosto deprezzato dai fondamentali, </w:t>
      </w:r>
      <w:r w:rsidRPr="002B5B94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riteniamo che la valuta giapponese possa essere una buona posizione di protezione per il resto dell'anno</w:t>
      </w:r>
      <w:r w:rsidRPr="00096D6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. Per il resto, come già detto, continuiamo a preferire le </w:t>
      </w:r>
      <w:r w:rsidRPr="002B5B94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valute emergenti</w:t>
      </w:r>
      <w:r w:rsidRPr="00096D6D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dei Paesi con una buona governance macro e livelli di carry interessanti. Allo stesso tempo, riteniamo che la corona norvegese possa beneficiare nel resto dell'anno di un possibile aumento dei prezzi del petrolio.</w:t>
      </w:r>
    </w:p>
    <w:sectPr w:rsidR="00096D6D" w:rsidRPr="00153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C9"/>
    <w:rsid w:val="000055C0"/>
    <w:rsid w:val="00006525"/>
    <w:rsid w:val="00096D6D"/>
    <w:rsid w:val="000A4462"/>
    <w:rsid w:val="00130AC9"/>
    <w:rsid w:val="0015392D"/>
    <w:rsid w:val="00207A8A"/>
    <w:rsid w:val="002B5B94"/>
    <w:rsid w:val="002C1EB2"/>
    <w:rsid w:val="00376A3A"/>
    <w:rsid w:val="00534D1F"/>
    <w:rsid w:val="00651337"/>
    <w:rsid w:val="007E18BF"/>
    <w:rsid w:val="00B221F9"/>
    <w:rsid w:val="00D47CA5"/>
    <w:rsid w:val="00DE793F"/>
    <w:rsid w:val="00DF4F42"/>
    <w:rsid w:val="00E35C5D"/>
    <w:rsid w:val="00EC03D9"/>
    <w:rsid w:val="00E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9FD4"/>
  <w15:chartTrackingRefBased/>
  <w15:docId w15:val="{2471DD96-8E5F-4707-9163-B6B5F34A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e">
    <w:name w:val="Revision"/>
    <w:hidden/>
    <w:uiPriority w:val="99"/>
    <w:semiHidden/>
    <w:rsid w:val="000A4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Diana Ferla</cp:lastModifiedBy>
  <cp:revision>9</cp:revision>
  <dcterms:created xsi:type="dcterms:W3CDTF">2023-06-07T08:52:00Z</dcterms:created>
  <dcterms:modified xsi:type="dcterms:W3CDTF">2023-06-07T12:31:00Z</dcterms:modified>
</cp:coreProperties>
</file>