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31070" w14:textId="77777777" w:rsidR="00EA20F2" w:rsidRPr="006D3714" w:rsidRDefault="00EA20F2" w:rsidP="006D3714">
      <w:pPr>
        <w:spacing w:after="0" w:line="20" w:lineRule="atLeast"/>
        <w:jc w:val="both"/>
        <w:rPr>
          <w:rFonts w:ascii="Arial" w:hAnsi="Arial" w:cs="Arial"/>
          <w:b/>
          <w:sz w:val="36"/>
          <w:szCs w:val="36"/>
        </w:rPr>
      </w:pPr>
      <w:bookmarkStart w:id="0" w:name="_Hlk83111918"/>
    </w:p>
    <w:p w14:paraId="69EFBA71" w14:textId="09A772CB" w:rsidR="008D7BD7" w:rsidRPr="006D3714" w:rsidRDefault="00A01F38" w:rsidP="006D3714">
      <w:pPr>
        <w:spacing w:after="0" w:line="20" w:lineRule="atLeast"/>
        <w:jc w:val="center"/>
        <w:rPr>
          <w:rFonts w:ascii="Arial" w:hAnsi="Arial" w:cs="Arial"/>
          <w:b/>
          <w:sz w:val="24"/>
          <w:szCs w:val="24"/>
        </w:rPr>
      </w:pPr>
      <w:r w:rsidRPr="00A01F38">
        <w:rPr>
          <w:rFonts w:ascii="Arial" w:hAnsi="Arial" w:cs="Arial"/>
          <w:b/>
          <w:sz w:val="36"/>
          <w:szCs w:val="36"/>
        </w:rPr>
        <w:t xml:space="preserve">FLASH </w:t>
      </w:r>
      <w:r>
        <w:rPr>
          <w:rFonts w:ascii="Arial" w:hAnsi="Arial" w:cs="Arial"/>
          <w:b/>
          <w:sz w:val="36"/>
          <w:szCs w:val="36"/>
        </w:rPr>
        <w:t>-</w:t>
      </w:r>
      <w:r w:rsidRPr="00A01F38">
        <w:rPr>
          <w:rFonts w:ascii="Arial" w:hAnsi="Arial" w:cs="Arial"/>
          <w:b/>
          <w:sz w:val="36"/>
          <w:szCs w:val="36"/>
        </w:rPr>
        <w:t xml:space="preserve"> INFLAZIONE USA: continua il calo, </w:t>
      </w:r>
      <w:r>
        <w:rPr>
          <w:rFonts w:ascii="Arial" w:hAnsi="Arial" w:cs="Arial"/>
          <w:b/>
          <w:sz w:val="36"/>
          <w:szCs w:val="36"/>
        </w:rPr>
        <w:t>nonostante</w:t>
      </w:r>
      <w:r w:rsidRPr="00A01F38">
        <w:rPr>
          <w:rFonts w:ascii="Arial" w:hAnsi="Arial" w:cs="Arial"/>
          <w:b/>
          <w:sz w:val="36"/>
          <w:szCs w:val="36"/>
        </w:rPr>
        <w:t xml:space="preserve"> il ritmo lento di discesa degli affitti</w:t>
      </w:r>
    </w:p>
    <w:p w14:paraId="20580997" w14:textId="77777777" w:rsidR="00A01F38" w:rsidRDefault="00A01F38" w:rsidP="006D3714">
      <w:pPr>
        <w:spacing w:after="0" w:line="20" w:lineRule="atLeast"/>
        <w:jc w:val="center"/>
        <w:rPr>
          <w:rFonts w:ascii="Arial" w:hAnsi="Arial" w:cs="Arial"/>
          <w:bCs/>
          <w:i/>
          <w:iCs/>
          <w:sz w:val="24"/>
          <w:szCs w:val="24"/>
        </w:rPr>
      </w:pPr>
    </w:p>
    <w:p w14:paraId="1199F044" w14:textId="120336BF" w:rsidR="00A76468" w:rsidRPr="006D3714" w:rsidRDefault="00A76468" w:rsidP="006D3714">
      <w:pPr>
        <w:spacing w:after="0" w:line="20" w:lineRule="atLeast"/>
        <w:jc w:val="center"/>
        <w:rPr>
          <w:rFonts w:ascii="Arial" w:hAnsi="Arial" w:cs="Arial"/>
          <w:bCs/>
          <w:i/>
          <w:iCs/>
          <w:sz w:val="24"/>
          <w:szCs w:val="24"/>
        </w:rPr>
      </w:pPr>
      <w:r w:rsidRPr="006D3714">
        <w:rPr>
          <w:rFonts w:ascii="Arial" w:hAnsi="Arial" w:cs="Arial"/>
          <w:bCs/>
          <w:i/>
          <w:iCs/>
          <w:sz w:val="24"/>
          <w:szCs w:val="24"/>
        </w:rPr>
        <w:t>A cura di Antonio Cesarano, Chief Global Strategist, Intermonte</w:t>
      </w:r>
    </w:p>
    <w:bookmarkEnd w:id="0"/>
    <w:p w14:paraId="613A8689" w14:textId="77777777" w:rsidR="00BC43BE" w:rsidRDefault="00BC43BE" w:rsidP="00BC43BE">
      <w:pPr>
        <w:tabs>
          <w:tab w:val="left" w:pos="426"/>
        </w:tabs>
        <w:spacing w:after="0" w:line="20" w:lineRule="atLeast"/>
        <w:ind w:right="-1"/>
        <w:jc w:val="both"/>
        <w:rPr>
          <w:rFonts w:ascii="Arial" w:hAnsi="Arial" w:cs="Arial"/>
          <w:b/>
          <w:bCs/>
          <w:i/>
          <w:iCs/>
          <w:spacing w:val="-2"/>
          <w:sz w:val="20"/>
          <w:szCs w:val="20"/>
          <w:u w:val="single"/>
        </w:rPr>
      </w:pPr>
    </w:p>
    <w:p w14:paraId="71609BDD" w14:textId="3BB9F2AA" w:rsidR="00216645" w:rsidRPr="00216645" w:rsidRDefault="00216645" w:rsidP="00216645">
      <w:pPr>
        <w:rPr>
          <w:rFonts w:eastAsia="Times New Roman"/>
          <w:color w:val="000000"/>
        </w:rPr>
      </w:pPr>
      <w:r w:rsidRPr="00216645">
        <w:rPr>
          <w:rFonts w:eastAsia="Times New Roman"/>
          <w:color w:val="000000"/>
        </w:rPr>
        <w:t xml:space="preserve">Dall'inflazione Usa di maggio </w:t>
      </w:r>
      <w:r>
        <w:rPr>
          <w:rFonts w:eastAsia="Times New Roman"/>
          <w:color w:val="000000"/>
        </w:rPr>
        <w:t xml:space="preserve">arrivano </w:t>
      </w:r>
      <w:r w:rsidRPr="00216645">
        <w:rPr>
          <w:rFonts w:eastAsia="Times New Roman"/>
          <w:color w:val="000000"/>
        </w:rPr>
        <w:t>notizie complessivamente positive nell'ambito di un dato che ha di fatto riflesso il consenso degli analisti di Bloomberg:</w:t>
      </w:r>
    </w:p>
    <w:p w14:paraId="22486699" w14:textId="679F2A6A" w:rsidR="00216645" w:rsidRPr="00216645" w:rsidRDefault="00216645" w:rsidP="00216645">
      <w:pPr>
        <w:numPr>
          <w:ilvl w:val="0"/>
          <w:numId w:val="42"/>
        </w:numPr>
        <w:spacing w:before="100" w:beforeAutospacing="1" w:after="100" w:afterAutospacing="1" w:line="240" w:lineRule="auto"/>
        <w:rPr>
          <w:rFonts w:eastAsia="Times New Roman"/>
          <w:color w:val="000000"/>
        </w:rPr>
      </w:pPr>
      <w:r w:rsidRPr="00216645">
        <w:rPr>
          <w:rFonts w:eastAsia="Times New Roman"/>
          <w:b/>
          <w:bCs/>
          <w:color w:val="000000"/>
        </w:rPr>
        <w:t>indice generale</w:t>
      </w:r>
      <w:r w:rsidRPr="00216645">
        <w:rPr>
          <w:rFonts w:eastAsia="Times New Roman"/>
          <w:color w:val="000000"/>
        </w:rPr>
        <w:t xml:space="preserve"> al 4% da</w:t>
      </w:r>
      <w:r>
        <w:rPr>
          <w:rFonts w:eastAsia="Times New Roman"/>
          <w:color w:val="000000"/>
        </w:rPr>
        <w:t>l</w:t>
      </w:r>
      <w:r w:rsidRPr="00216645">
        <w:rPr>
          <w:rFonts w:eastAsia="Times New Roman"/>
          <w:color w:val="000000"/>
        </w:rPr>
        <w:t xml:space="preserve"> 4,9%</w:t>
      </w:r>
    </w:p>
    <w:p w14:paraId="4E94B20E" w14:textId="77777777" w:rsidR="00216645" w:rsidRPr="00216645" w:rsidRDefault="00216645" w:rsidP="00216645">
      <w:pPr>
        <w:numPr>
          <w:ilvl w:val="0"/>
          <w:numId w:val="42"/>
        </w:numPr>
        <w:spacing w:before="100" w:beforeAutospacing="1" w:after="100" w:afterAutospacing="1" w:line="240" w:lineRule="auto"/>
        <w:rPr>
          <w:rFonts w:eastAsia="Times New Roman"/>
          <w:color w:val="000000"/>
        </w:rPr>
      </w:pPr>
      <w:r w:rsidRPr="00216645">
        <w:rPr>
          <w:rFonts w:eastAsia="Times New Roman"/>
          <w:b/>
          <w:bCs/>
          <w:color w:val="000000"/>
        </w:rPr>
        <w:t xml:space="preserve">indice core </w:t>
      </w:r>
      <w:r w:rsidRPr="00216645">
        <w:rPr>
          <w:rFonts w:eastAsia="Times New Roman"/>
          <w:color w:val="000000"/>
        </w:rPr>
        <w:t>al 5,3% dal 5,5%</w:t>
      </w:r>
    </w:p>
    <w:p w14:paraId="397F9EF3" w14:textId="602B095C" w:rsidR="00216645" w:rsidRPr="00216645" w:rsidRDefault="00216645" w:rsidP="00216645">
      <w:pPr>
        <w:numPr>
          <w:ilvl w:val="0"/>
          <w:numId w:val="42"/>
        </w:numPr>
        <w:spacing w:before="100" w:beforeAutospacing="1" w:after="100" w:afterAutospacing="1" w:line="240" w:lineRule="auto"/>
        <w:rPr>
          <w:rFonts w:eastAsia="Times New Roman"/>
          <w:color w:val="000000"/>
        </w:rPr>
      </w:pPr>
      <w:r w:rsidRPr="00216645">
        <w:rPr>
          <w:rFonts w:eastAsia="Times New Roman"/>
          <w:b/>
          <w:bCs/>
          <w:color w:val="000000"/>
        </w:rPr>
        <w:t>indice supercore</w:t>
      </w:r>
      <w:r w:rsidRPr="00216645">
        <w:rPr>
          <w:rFonts w:eastAsia="Times New Roman"/>
          <w:color w:val="000000"/>
        </w:rPr>
        <w:t xml:space="preserve"> al 4,6% da</w:t>
      </w:r>
      <w:r>
        <w:rPr>
          <w:rFonts w:eastAsia="Times New Roman"/>
          <w:color w:val="000000"/>
        </w:rPr>
        <w:t>l</w:t>
      </w:r>
      <w:r w:rsidRPr="00216645">
        <w:rPr>
          <w:rFonts w:eastAsia="Times New Roman"/>
          <w:color w:val="000000"/>
        </w:rPr>
        <w:t xml:space="preserve"> 5,10%</w:t>
      </w:r>
    </w:p>
    <w:p w14:paraId="0921E702" w14:textId="1110A385" w:rsidR="00216645" w:rsidRDefault="00216645" w:rsidP="00216645">
      <w:pPr>
        <w:rPr>
          <w:rFonts w:eastAsia="Times New Roman"/>
          <w:color w:val="000000"/>
          <w:sz w:val="24"/>
          <w:szCs w:val="24"/>
        </w:rPr>
      </w:pPr>
      <w:r>
        <w:rPr>
          <w:rFonts w:eastAsia="Times New Roman"/>
          <w:noProof/>
          <w:color w:val="000000"/>
          <w:sz w:val="24"/>
          <w:szCs w:val="24"/>
        </w:rPr>
        <w:drawing>
          <wp:inline distT="0" distB="0" distL="0" distR="0" wp14:anchorId="3F27625E" wp14:editId="50C42D74">
            <wp:extent cx="6120130" cy="1767205"/>
            <wp:effectExtent l="0" t="0" r="13970" b="4445"/>
            <wp:docPr id="11202958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elected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120130" cy="1767205"/>
                    </a:xfrm>
                    <a:prstGeom prst="rect">
                      <a:avLst/>
                    </a:prstGeom>
                    <a:noFill/>
                    <a:ln>
                      <a:noFill/>
                    </a:ln>
                  </pic:spPr>
                </pic:pic>
              </a:graphicData>
            </a:graphic>
          </wp:inline>
        </w:drawing>
      </w:r>
    </w:p>
    <w:p w14:paraId="74A7E9B3" w14:textId="77777777" w:rsidR="00216645" w:rsidRDefault="00216645" w:rsidP="00216645">
      <w:pPr>
        <w:rPr>
          <w:rFonts w:eastAsia="Times New Roman"/>
          <w:color w:val="000000"/>
          <w:sz w:val="24"/>
          <w:szCs w:val="24"/>
        </w:rPr>
      </w:pPr>
    </w:p>
    <w:p w14:paraId="68BD7E26" w14:textId="77777777" w:rsidR="00216645" w:rsidRDefault="00216645" w:rsidP="00216645">
      <w:pPr>
        <w:rPr>
          <w:rFonts w:eastAsia="Times New Roman"/>
          <w:color w:val="000000"/>
          <w:sz w:val="24"/>
          <w:szCs w:val="24"/>
        </w:rPr>
      </w:pPr>
    </w:p>
    <w:p w14:paraId="489D570A" w14:textId="77777777" w:rsidR="00216645" w:rsidRDefault="00216645" w:rsidP="00216645">
      <w:pPr>
        <w:pStyle w:val="NormaleWeb"/>
        <w:rPr>
          <w:color w:val="000000"/>
        </w:rPr>
      </w:pPr>
      <w:r>
        <w:rPr>
          <w:color w:val="000000"/>
        </w:rPr>
        <w:t xml:space="preserve">La </w:t>
      </w:r>
      <w:r>
        <w:rPr>
          <w:b/>
          <w:bCs/>
          <w:color w:val="000000"/>
        </w:rPr>
        <w:t>componente energetica</w:t>
      </w:r>
      <w:r>
        <w:rPr>
          <w:color w:val="000000"/>
        </w:rPr>
        <w:t xml:space="preserve"> tra i principali contributori al rallentamento dell'inflazione mentre </w:t>
      </w:r>
      <w:r>
        <w:rPr>
          <w:b/>
          <w:bCs/>
          <w:color w:val="000000"/>
        </w:rPr>
        <w:t>la componente affitti</w:t>
      </w:r>
      <w:r>
        <w:rPr>
          <w:color w:val="000000"/>
        </w:rPr>
        <w:t xml:space="preserve"> ritarda ancora la fase di rallentamento, registrando però almeno un assestamento all'8% a/a</w:t>
      </w:r>
    </w:p>
    <w:p w14:paraId="5720EF4D" w14:textId="77777777" w:rsidR="00216645" w:rsidRDefault="00216645" w:rsidP="00216645">
      <w:pPr>
        <w:pStyle w:val="NormaleWeb"/>
        <w:rPr>
          <w:color w:val="000000"/>
        </w:rPr>
      </w:pPr>
    </w:p>
    <w:p w14:paraId="2589408E" w14:textId="2A67A88B" w:rsidR="00216645" w:rsidRDefault="00216645" w:rsidP="00216645">
      <w:pPr>
        <w:rPr>
          <w:rFonts w:eastAsia="Times New Roman"/>
          <w:color w:val="000000"/>
          <w:sz w:val="24"/>
          <w:szCs w:val="24"/>
        </w:rPr>
      </w:pPr>
      <w:r>
        <w:rPr>
          <w:rFonts w:eastAsia="Times New Roman"/>
          <w:noProof/>
          <w:color w:val="000000"/>
          <w:sz w:val="24"/>
          <w:szCs w:val="24"/>
        </w:rPr>
        <w:drawing>
          <wp:inline distT="0" distB="0" distL="0" distR="0" wp14:anchorId="64F57A7A" wp14:editId="0C62190C">
            <wp:extent cx="3409950" cy="2047875"/>
            <wp:effectExtent l="0" t="0" r="0" b="9525"/>
            <wp:docPr id="21138351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elected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409950" cy="2047875"/>
                    </a:xfrm>
                    <a:prstGeom prst="rect">
                      <a:avLst/>
                    </a:prstGeom>
                    <a:noFill/>
                    <a:ln>
                      <a:noFill/>
                    </a:ln>
                  </pic:spPr>
                </pic:pic>
              </a:graphicData>
            </a:graphic>
          </wp:inline>
        </w:drawing>
      </w:r>
    </w:p>
    <w:p w14:paraId="1D7E4A6D" w14:textId="77777777" w:rsidR="00216645" w:rsidRDefault="00216645" w:rsidP="00216645">
      <w:pPr>
        <w:rPr>
          <w:rFonts w:eastAsia="Times New Roman"/>
          <w:color w:val="000000"/>
          <w:sz w:val="24"/>
          <w:szCs w:val="24"/>
        </w:rPr>
      </w:pPr>
    </w:p>
    <w:p w14:paraId="10F9EBFA" w14:textId="77777777" w:rsidR="00216645" w:rsidRDefault="00216645" w:rsidP="00216645">
      <w:pPr>
        <w:rPr>
          <w:rFonts w:eastAsia="Times New Roman"/>
          <w:color w:val="000000"/>
          <w:sz w:val="24"/>
          <w:szCs w:val="24"/>
        </w:rPr>
      </w:pPr>
    </w:p>
    <w:p w14:paraId="5EDE8805" w14:textId="77777777" w:rsidR="00216645" w:rsidRDefault="00216645" w:rsidP="00216645">
      <w:pPr>
        <w:rPr>
          <w:rFonts w:eastAsia="Times New Roman"/>
          <w:color w:val="000000"/>
          <w:sz w:val="24"/>
          <w:szCs w:val="24"/>
        </w:rPr>
      </w:pPr>
      <w:r>
        <w:rPr>
          <w:rFonts w:eastAsia="Times New Roman"/>
          <w:b/>
          <w:bCs/>
          <w:color w:val="000000"/>
          <w:sz w:val="24"/>
          <w:szCs w:val="24"/>
        </w:rPr>
        <w:lastRenderedPageBreak/>
        <w:t>L'indice Supercore (al netto cioè di alimentari, energia ed affitti)</w:t>
      </w:r>
      <w:r>
        <w:rPr>
          <w:rFonts w:eastAsia="Times New Roman"/>
          <w:color w:val="000000"/>
          <w:sz w:val="24"/>
          <w:szCs w:val="24"/>
        </w:rPr>
        <w:t xml:space="preserve"> si sta avvicinando all'indice generale (4,6% vs 4%), segnale quest'ultimo di possibile rallentamento più marcato dell'inflazione nel secondo semestre</w:t>
      </w:r>
    </w:p>
    <w:p w14:paraId="1A151C7B" w14:textId="77777777" w:rsidR="00216645" w:rsidRDefault="00216645" w:rsidP="00216645">
      <w:pPr>
        <w:rPr>
          <w:rFonts w:eastAsia="Times New Roman"/>
          <w:color w:val="000000"/>
          <w:sz w:val="24"/>
          <w:szCs w:val="24"/>
        </w:rPr>
      </w:pPr>
    </w:p>
    <w:p w14:paraId="36F26D68" w14:textId="0578FCB5" w:rsidR="00216645" w:rsidRDefault="00216645" w:rsidP="00216645">
      <w:pPr>
        <w:rPr>
          <w:rFonts w:eastAsia="Times New Roman"/>
          <w:color w:val="000000"/>
          <w:sz w:val="24"/>
          <w:szCs w:val="24"/>
        </w:rPr>
      </w:pPr>
      <w:r>
        <w:rPr>
          <w:rFonts w:eastAsia="Times New Roman"/>
          <w:noProof/>
          <w:color w:val="000000"/>
          <w:sz w:val="24"/>
          <w:szCs w:val="24"/>
        </w:rPr>
        <w:drawing>
          <wp:inline distT="0" distB="0" distL="0" distR="0" wp14:anchorId="38687B5A" wp14:editId="722B62C4">
            <wp:extent cx="4352925" cy="1685925"/>
            <wp:effectExtent l="0" t="0" r="9525" b="9525"/>
            <wp:docPr id="190068169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elected2"/>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352925" cy="1685925"/>
                    </a:xfrm>
                    <a:prstGeom prst="rect">
                      <a:avLst/>
                    </a:prstGeom>
                    <a:noFill/>
                    <a:ln>
                      <a:noFill/>
                    </a:ln>
                  </pic:spPr>
                </pic:pic>
              </a:graphicData>
            </a:graphic>
          </wp:inline>
        </w:drawing>
      </w:r>
      <w:r>
        <w:rPr>
          <w:rFonts w:eastAsia="Times New Roman"/>
          <w:color w:val="000000"/>
          <w:sz w:val="24"/>
          <w:szCs w:val="24"/>
        </w:rPr>
        <w:t>    </w:t>
      </w:r>
      <w:r>
        <w:rPr>
          <w:rFonts w:eastAsia="Times New Roman"/>
          <w:noProof/>
          <w:color w:val="000000"/>
          <w:sz w:val="24"/>
          <w:szCs w:val="24"/>
        </w:rPr>
        <w:drawing>
          <wp:inline distT="0" distB="0" distL="0" distR="0" wp14:anchorId="1B510E27" wp14:editId="14A4E33E">
            <wp:extent cx="4791075" cy="1809750"/>
            <wp:effectExtent l="0" t="0" r="9525" b="0"/>
            <wp:docPr id="76728774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elected3"/>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4791075" cy="1809750"/>
                    </a:xfrm>
                    <a:prstGeom prst="rect">
                      <a:avLst/>
                    </a:prstGeom>
                    <a:noFill/>
                    <a:ln>
                      <a:noFill/>
                    </a:ln>
                  </pic:spPr>
                </pic:pic>
              </a:graphicData>
            </a:graphic>
          </wp:inline>
        </w:drawing>
      </w:r>
    </w:p>
    <w:p w14:paraId="0D5BF6A4" w14:textId="77777777" w:rsidR="00216645" w:rsidRDefault="00216645" w:rsidP="00216645">
      <w:pPr>
        <w:pStyle w:val="NormaleWeb"/>
        <w:rPr>
          <w:color w:val="000000"/>
        </w:rPr>
      </w:pPr>
    </w:p>
    <w:p w14:paraId="1C11AC79" w14:textId="77777777" w:rsidR="00216645" w:rsidRDefault="00216645" w:rsidP="00216645">
      <w:pPr>
        <w:pStyle w:val="NormaleWeb"/>
        <w:rPr>
          <w:color w:val="000000"/>
        </w:rPr>
      </w:pPr>
    </w:p>
    <w:p w14:paraId="6D126EF4" w14:textId="77777777" w:rsidR="00216645" w:rsidRDefault="00216645" w:rsidP="00216645">
      <w:pPr>
        <w:pStyle w:val="NormaleWeb"/>
        <w:rPr>
          <w:color w:val="000000"/>
        </w:rPr>
      </w:pPr>
    </w:p>
    <w:p w14:paraId="77376E0A" w14:textId="77777777" w:rsidR="00216645" w:rsidRDefault="00216645" w:rsidP="00216645">
      <w:pPr>
        <w:pStyle w:val="NormaleWeb"/>
        <w:rPr>
          <w:color w:val="000000"/>
        </w:rPr>
      </w:pPr>
      <w:r>
        <w:rPr>
          <w:color w:val="000000"/>
        </w:rPr>
        <w:t xml:space="preserve">Anche </w:t>
      </w:r>
      <w:r>
        <w:rPr>
          <w:b/>
          <w:bCs/>
          <w:color w:val="000000"/>
        </w:rPr>
        <w:t>le indicazioni prospettiche dal comparto servizi supportano tale ipotesi</w:t>
      </w:r>
    </w:p>
    <w:p w14:paraId="248568F3" w14:textId="4DBA35FA" w:rsidR="00216645" w:rsidRDefault="00216645" w:rsidP="00216645">
      <w:pPr>
        <w:rPr>
          <w:rFonts w:eastAsia="Times New Roman"/>
          <w:color w:val="000000"/>
          <w:sz w:val="24"/>
          <w:szCs w:val="24"/>
        </w:rPr>
      </w:pPr>
      <w:r>
        <w:rPr>
          <w:rFonts w:eastAsia="Times New Roman"/>
          <w:noProof/>
          <w:color w:val="000000"/>
          <w:sz w:val="24"/>
          <w:szCs w:val="24"/>
        </w:rPr>
        <w:drawing>
          <wp:inline distT="0" distB="0" distL="0" distR="0" wp14:anchorId="0F98BB92" wp14:editId="1ADA8F5A">
            <wp:extent cx="5838825" cy="2314575"/>
            <wp:effectExtent l="0" t="0" r="9525" b="9525"/>
            <wp:docPr id="118068478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elected4"/>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5838825" cy="2314575"/>
                    </a:xfrm>
                    <a:prstGeom prst="rect">
                      <a:avLst/>
                    </a:prstGeom>
                    <a:noFill/>
                    <a:ln>
                      <a:noFill/>
                    </a:ln>
                  </pic:spPr>
                </pic:pic>
              </a:graphicData>
            </a:graphic>
          </wp:inline>
        </w:drawing>
      </w:r>
    </w:p>
    <w:p w14:paraId="2D17FABC" w14:textId="77777777" w:rsidR="00216645" w:rsidRDefault="00216645" w:rsidP="00216645">
      <w:pPr>
        <w:pStyle w:val="NormaleWeb"/>
        <w:rPr>
          <w:color w:val="000000"/>
        </w:rPr>
      </w:pPr>
    </w:p>
    <w:p w14:paraId="0BFACA94" w14:textId="77777777" w:rsidR="00216645" w:rsidRDefault="00216645" w:rsidP="00216645">
      <w:pPr>
        <w:pStyle w:val="NormaleWeb"/>
        <w:rPr>
          <w:color w:val="000000"/>
        </w:rPr>
      </w:pPr>
      <w:r>
        <w:rPr>
          <w:b/>
          <w:bCs/>
          <w:color w:val="000000"/>
        </w:rPr>
        <w:t>In SINTESI</w:t>
      </w:r>
    </w:p>
    <w:p w14:paraId="2F3A3FCC" w14:textId="77777777" w:rsidR="00216645" w:rsidRDefault="00216645" w:rsidP="00216645">
      <w:pPr>
        <w:pStyle w:val="NormaleWeb"/>
        <w:rPr>
          <w:color w:val="000000"/>
        </w:rPr>
      </w:pPr>
    </w:p>
    <w:p w14:paraId="68AE3924" w14:textId="77777777" w:rsidR="00216645" w:rsidRDefault="00216645" w:rsidP="00216645">
      <w:pPr>
        <w:numPr>
          <w:ilvl w:val="0"/>
          <w:numId w:val="43"/>
        </w:numPr>
        <w:spacing w:before="100" w:beforeAutospacing="1" w:after="100" w:afterAutospacing="1" w:line="240" w:lineRule="auto"/>
        <w:rPr>
          <w:rFonts w:eastAsia="Times New Roman"/>
          <w:color w:val="000000"/>
          <w:sz w:val="24"/>
          <w:szCs w:val="24"/>
        </w:rPr>
      </w:pPr>
      <w:r>
        <w:rPr>
          <w:rFonts w:eastAsia="Times New Roman"/>
          <w:color w:val="000000"/>
          <w:sz w:val="24"/>
          <w:szCs w:val="24"/>
        </w:rPr>
        <w:lastRenderedPageBreak/>
        <w:t xml:space="preserve">Il dato di oggi è </w:t>
      </w:r>
      <w:r>
        <w:rPr>
          <w:rFonts w:eastAsia="Times New Roman"/>
          <w:b/>
          <w:bCs/>
          <w:color w:val="000000"/>
          <w:sz w:val="24"/>
          <w:szCs w:val="24"/>
        </w:rPr>
        <w:t>in linea con la possibilità (incoporata già nei prezzi degli OIS) che la Fed arresti temporaneamente la fase di rialzo dei tassi nella riunione del 14 giugno</w:t>
      </w:r>
      <w:r>
        <w:rPr>
          <w:rFonts w:eastAsia="Times New Roman"/>
          <w:color w:val="000000"/>
          <w:sz w:val="24"/>
          <w:szCs w:val="24"/>
        </w:rPr>
        <w:t>, segnalando però al contempo che potrebbe trattarsi di una pausa non definitiva (cosiddetto "hawkish skip")</w:t>
      </w:r>
    </w:p>
    <w:p w14:paraId="7ED31794" w14:textId="77777777" w:rsidR="00216645" w:rsidRDefault="00216645" w:rsidP="00216645">
      <w:pPr>
        <w:numPr>
          <w:ilvl w:val="1"/>
          <w:numId w:val="43"/>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La pausa sarebbe da ricollegare </w:t>
      </w:r>
    </w:p>
    <w:p w14:paraId="033C927D" w14:textId="77777777" w:rsidR="00216645" w:rsidRDefault="00216645" w:rsidP="00216645">
      <w:pPr>
        <w:numPr>
          <w:ilvl w:val="2"/>
          <w:numId w:val="43"/>
        </w:numPr>
        <w:spacing w:before="100" w:beforeAutospacing="1" w:after="100" w:afterAutospacing="1" w:line="240" w:lineRule="auto"/>
        <w:rPr>
          <w:rFonts w:eastAsia="Times New Roman"/>
          <w:color w:val="000000"/>
          <w:sz w:val="24"/>
          <w:szCs w:val="24"/>
        </w:rPr>
      </w:pPr>
      <w:r>
        <w:rPr>
          <w:rFonts w:eastAsia="Times New Roman"/>
          <w:b/>
          <w:bCs/>
          <w:color w:val="000000"/>
          <w:sz w:val="24"/>
          <w:szCs w:val="24"/>
        </w:rPr>
        <w:t>in parte alla necessità di verificare ulteriorment</w:t>
      </w:r>
      <w:r>
        <w:rPr>
          <w:rFonts w:eastAsia="Times New Roman"/>
          <w:color w:val="000000"/>
          <w:sz w:val="24"/>
          <w:szCs w:val="24"/>
        </w:rPr>
        <w:t>e l'impatto dei rialazi già effettuati, e</w:t>
      </w:r>
    </w:p>
    <w:p w14:paraId="45CC737E" w14:textId="77777777" w:rsidR="00216645" w:rsidRDefault="00216645" w:rsidP="00216645">
      <w:pPr>
        <w:numPr>
          <w:ilvl w:val="2"/>
          <w:numId w:val="43"/>
        </w:numPr>
        <w:spacing w:before="100" w:beforeAutospacing="1" w:after="100" w:afterAutospacing="1" w:line="240" w:lineRule="auto"/>
        <w:rPr>
          <w:rFonts w:eastAsia="Times New Roman"/>
          <w:color w:val="000000"/>
          <w:sz w:val="24"/>
          <w:szCs w:val="24"/>
        </w:rPr>
      </w:pPr>
      <w:r>
        <w:rPr>
          <w:rFonts w:eastAsia="Times New Roman"/>
          <w:b/>
          <w:bCs/>
          <w:color w:val="000000"/>
          <w:sz w:val="24"/>
          <w:szCs w:val="24"/>
        </w:rPr>
        <w:t>in parte per evitare un impatto negativo durante la fase di accentuazione del drenaggio di liquidità</w:t>
      </w:r>
      <w:r>
        <w:rPr>
          <w:rFonts w:eastAsia="Times New Roman"/>
          <w:color w:val="000000"/>
          <w:sz w:val="24"/>
          <w:szCs w:val="24"/>
        </w:rPr>
        <w:t xml:space="preserve"> (più evidente dalla seconda parte di giugno ossia dopo la scadenza fiscale del 15 giugno) necessaria per rimpinguare il conto di tesoreria dopo l'accordo sul tetto sul debito raggiungo last minute ad inizio giugno</w:t>
      </w:r>
    </w:p>
    <w:p w14:paraId="4F777773" w14:textId="77777777" w:rsidR="00216645" w:rsidRDefault="00216645" w:rsidP="00216645">
      <w:pPr>
        <w:numPr>
          <w:ilvl w:val="1"/>
          <w:numId w:val="43"/>
        </w:numPr>
        <w:spacing w:before="100" w:beforeAutospacing="1" w:after="100" w:afterAutospacing="1" w:line="240" w:lineRule="auto"/>
        <w:rPr>
          <w:rFonts w:eastAsia="Times New Roman"/>
          <w:color w:val="000000"/>
          <w:sz w:val="24"/>
          <w:szCs w:val="24"/>
        </w:rPr>
      </w:pPr>
      <w:r>
        <w:rPr>
          <w:rFonts w:eastAsia="Times New Roman"/>
          <w:b/>
          <w:bCs/>
          <w:color w:val="000000"/>
          <w:sz w:val="24"/>
          <w:szCs w:val="24"/>
        </w:rPr>
        <w:t>I DOTS che saranno pubblicati dopo la riunione Fed di mercoledì</w:t>
      </w:r>
      <w:r>
        <w:rPr>
          <w:rFonts w:eastAsia="Times New Roman"/>
          <w:color w:val="000000"/>
          <w:sz w:val="24"/>
          <w:szCs w:val="24"/>
        </w:rPr>
        <w:t xml:space="preserve"> (ossia la nuvola dei punti che descrive in forma anonima le attese dei membri Fed fino al 2025) potrebbero registrare un innalzamento in mediana per il 2023, portandosi più vicino al 5,5% dal 5,125% indicato a marzo, per segnlare un possibile ulteriore (ma potenzialmente ultimo) rialzo  di 25pb nella riunione del 26 luglio, ossia dopo il prossimo dato sull'inflazione di giugno in pubblicazione il 12 luglio</w:t>
      </w:r>
    </w:p>
    <w:p w14:paraId="352E5CFB" w14:textId="77777777" w:rsidR="00216645" w:rsidRDefault="00216645" w:rsidP="00216645">
      <w:pPr>
        <w:numPr>
          <w:ilvl w:val="0"/>
          <w:numId w:val="43"/>
        </w:numPr>
        <w:spacing w:before="100" w:beforeAutospacing="1" w:after="100" w:afterAutospacing="1" w:line="240" w:lineRule="auto"/>
        <w:rPr>
          <w:rFonts w:eastAsia="Times New Roman"/>
          <w:color w:val="000000"/>
          <w:sz w:val="24"/>
          <w:szCs w:val="24"/>
        </w:rPr>
      </w:pPr>
      <w:r>
        <w:rPr>
          <w:rFonts w:eastAsia="Times New Roman"/>
          <w:b/>
          <w:bCs/>
          <w:color w:val="000000"/>
          <w:sz w:val="24"/>
          <w:szCs w:val="24"/>
        </w:rPr>
        <w:t>Per il secondo semstre confermato al momento lo scenario di ridimensionamento dei tassi di mercato in attesa di rallentamento dell'inflazione e soprattutto della crescita</w:t>
      </w:r>
      <w:r>
        <w:rPr>
          <w:rFonts w:eastAsia="Times New Roman"/>
          <w:color w:val="000000"/>
          <w:sz w:val="24"/>
          <w:szCs w:val="24"/>
        </w:rPr>
        <w:t>, che insieme comporterebbero un clima di attesa di amomrbidimento/inversione della politica monetaria in ottica 2024.</w:t>
      </w:r>
    </w:p>
    <w:p w14:paraId="4EB1D9BB" w14:textId="77777777" w:rsidR="00216645" w:rsidRDefault="00216645" w:rsidP="00216645">
      <w:pPr>
        <w:numPr>
          <w:ilvl w:val="1"/>
          <w:numId w:val="43"/>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 xml:space="preserve">Il livello importante di supporto in termini di tasso decennale tresury per ipotizzare una seconda fase di calo dei tassi Us è rappresentato </w:t>
      </w:r>
      <w:r>
        <w:rPr>
          <w:rFonts w:eastAsia="Times New Roman"/>
          <w:b/>
          <w:bCs/>
          <w:color w:val="000000"/>
          <w:sz w:val="24"/>
          <w:szCs w:val="24"/>
        </w:rPr>
        <w:t>dall'area 3,30%</w:t>
      </w:r>
    </w:p>
    <w:p w14:paraId="46E41640" w14:textId="77777777" w:rsidR="00216645" w:rsidRDefault="00216645" w:rsidP="00BC43BE">
      <w:pPr>
        <w:tabs>
          <w:tab w:val="left" w:pos="426"/>
        </w:tabs>
        <w:spacing w:after="0" w:line="20" w:lineRule="atLeast"/>
        <w:ind w:right="-1"/>
        <w:jc w:val="both"/>
        <w:rPr>
          <w:rFonts w:ascii="Arial" w:hAnsi="Arial" w:cs="Arial"/>
          <w:b/>
          <w:bCs/>
          <w:i/>
          <w:iCs/>
          <w:spacing w:val="-2"/>
          <w:sz w:val="20"/>
          <w:szCs w:val="20"/>
          <w:u w:val="single"/>
        </w:rPr>
      </w:pPr>
    </w:p>
    <w:p w14:paraId="658F8C65" w14:textId="77777777" w:rsidR="00216645" w:rsidRDefault="00216645" w:rsidP="00BC43BE">
      <w:pPr>
        <w:tabs>
          <w:tab w:val="left" w:pos="426"/>
        </w:tabs>
        <w:spacing w:after="0" w:line="20" w:lineRule="atLeast"/>
        <w:ind w:right="-1"/>
        <w:jc w:val="both"/>
        <w:rPr>
          <w:rFonts w:ascii="Arial" w:hAnsi="Arial" w:cs="Arial"/>
          <w:b/>
          <w:bCs/>
          <w:i/>
          <w:iCs/>
          <w:spacing w:val="-2"/>
          <w:sz w:val="20"/>
          <w:szCs w:val="20"/>
          <w:u w:val="single"/>
        </w:rPr>
      </w:pPr>
    </w:p>
    <w:p w14:paraId="7FCD3608" w14:textId="7AEFEBEB" w:rsidR="00BC43BE" w:rsidRPr="00EA4FCC" w:rsidRDefault="00BC43BE" w:rsidP="00BC43BE">
      <w:pPr>
        <w:tabs>
          <w:tab w:val="left" w:pos="426"/>
        </w:tabs>
        <w:spacing w:after="0" w:line="20" w:lineRule="atLeast"/>
        <w:ind w:right="-1"/>
        <w:jc w:val="both"/>
        <w:rPr>
          <w:rFonts w:ascii="Arial" w:hAnsi="Arial" w:cs="Arial"/>
          <w:b/>
          <w:bCs/>
          <w:i/>
          <w:iCs/>
          <w:spacing w:val="-2"/>
          <w:sz w:val="18"/>
          <w:szCs w:val="18"/>
          <w:u w:val="single"/>
        </w:rPr>
      </w:pPr>
      <w:r w:rsidRPr="00EA4FCC">
        <w:rPr>
          <w:rFonts w:ascii="Arial" w:hAnsi="Arial" w:cs="Arial"/>
          <w:b/>
          <w:bCs/>
          <w:i/>
          <w:iCs/>
          <w:spacing w:val="-2"/>
          <w:sz w:val="18"/>
          <w:szCs w:val="18"/>
          <w:u w:val="single"/>
        </w:rPr>
        <w:t xml:space="preserve">INTERMONTE </w:t>
      </w:r>
    </w:p>
    <w:p w14:paraId="7E9EC2DE" w14:textId="77777777" w:rsidR="00BC43BE" w:rsidRPr="00EA4FCC" w:rsidRDefault="00BC43BE" w:rsidP="00BC43BE">
      <w:pPr>
        <w:pStyle w:val="Paragrafoelenco"/>
        <w:spacing w:after="0" w:line="20" w:lineRule="atLeast"/>
        <w:ind w:left="0"/>
        <w:jc w:val="both"/>
        <w:rPr>
          <w:rFonts w:ascii="Arial" w:hAnsi="Arial" w:cs="Arial"/>
          <w:color w:val="000000"/>
          <w:sz w:val="18"/>
          <w:szCs w:val="18"/>
        </w:rPr>
      </w:pPr>
      <w:r w:rsidRPr="00EA4FCC">
        <w:rPr>
          <w:rFonts w:ascii="Arial" w:hAnsi="Arial" w:cs="Arial"/>
          <w:color w:val="000000"/>
          <w:sz w:val="18"/>
          <w:szCs w:val="18"/>
        </w:rPr>
        <w:t>Intermonte è una Investment bank indipendente leader in Italia e punto di riferimento per gli investitori istituzionali italiani e internazionali nel segmento delle mid &amp; small caps. Quotata sul mercato Euronext Growth Milan di Borsa Italiana, presenta un modello di business diversificato su quattro linee di attività, “Investment Banking”, “Sales &amp; Trading”, Global Markets” e “Digital Division &amp; Advisory”. L’Investment Banking offre servizi rivolti a imprese quotate e non quotate in operazioni straordinarie, incluse operazioni di Equity Capital Markets, M&amp;A e Debt Capital Markets. Le divisioni Sales &amp; Trading e Global Markets supportano le decisioni di oltre 650 investitori istituzionali italiani ed esteri grazie a una ricerca di alto standing di più di 50 operatori professionali specializzati nelle varie asset class, azioni, obbligazioni, derivati, ETF, valute e commodities. L’ufficio studi figura costantemente ai vertici delle classifiche internazionali per qualità della ricerca e offre la più ampia copertura del mercato azionario italiano sulla base di un’elevata specializzazione settoriale. La divisione “Digital Division &amp; Advisory” è attiva nel risparmio gestito e consulenza agli investimenti. Websim è specializzata in produzione di contenuti finanziari destinati a investitori retail. T.I.E. - The Intermonte Eye - è l’area riservata a consulenti finanziari e private banker.</w:t>
      </w:r>
    </w:p>
    <w:p w14:paraId="2BA6C97E" w14:textId="77777777" w:rsidR="00BC43BE" w:rsidRPr="00EA4FCC" w:rsidRDefault="00BC43BE" w:rsidP="00BC43BE">
      <w:pPr>
        <w:pStyle w:val="Paragrafoelenco"/>
        <w:spacing w:after="0" w:line="20" w:lineRule="atLeast"/>
        <w:ind w:left="0"/>
        <w:jc w:val="both"/>
        <w:rPr>
          <w:rFonts w:ascii="Arial" w:hAnsi="Arial" w:cs="Arial"/>
          <w:b/>
          <w:i/>
          <w:sz w:val="18"/>
          <w:szCs w:val="18"/>
        </w:rPr>
      </w:pPr>
    </w:p>
    <w:p w14:paraId="388CB094" w14:textId="77777777" w:rsidR="00BC43BE" w:rsidRPr="00EA4FCC" w:rsidRDefault="00BC43BE" w:rsidP="00BC43BE">
      <w:pPr>
        <w:pStyle w:val="Paragrafoelenco"/>
        <w:spacing w:after="0" w:line="20" w:lineRule="atLeast"/>
        <w:ind w:left="0"/>
        <w:jc w:val="both"/>
        <w:rPr>
          <w:rFonts w:ascii="Arial" w:hAnsi="Arial" w:cs="Arial"/>
          <w:b/>
          <w:i/>
          <w:sz w:val="18"/>
          <w:szCs w:val="18"/>
        </w:rPr>
      </w:pPr>
    </w:p>
    <w:p w14:paraId="085EF463" w14:textId="77777777" w:rsidR="00BC43BE" w:rsidRPr="00EA4FCC" w:rsidRDefault="00BC43BE" w:rsidP="00BC43BE">
      <w:pPr>
        <w:pStyle w:val="Paragrafoelenco"/>
        <w:spacing w:after="0" w:line="20" w:lineRule="atLeast"/>
        <w:ind w:left="0"/>
        <w:jc w:val="both"/>
        <w:rPr>
          <w:rFonts w:ascii="Arial" w:hAnsi="Arial" w:cs="Arial"/>
          <w:b/>
          <w:i/>
          <w:sz w:val="18"/>
          <w:szCs w:val="18"/>
        </w:rPr>
      </w:pPr>
      <w:r w:rsidRPr="00EA4FCC">
        <w:rPr>
          <w:rFonts w:ascii="Arial" w:hAnsi="Arial" w:cs="Arial"/>
          <w:b/>
          <w:i/>
          <w:sz w:val="18"/>
          <w:szCs w:val="18"/>
        </w:rPr>
        <w:t xml:space="preserve">Contatti per la stampa: </w:t>
      </w:r>
    </w:p>
    <w:p w14:paraId="3DD22C8B" w14:textId="77777777" w:rsidR="00BC43BE" w:rsidRPr="00EA4FCC" w:rsidRDefault="00BC43BE" w:rsidP="00BC43BE">
      <w:pPr>
        <w:pStyle w:val="Paragrafoelenco"/>
        <w:spacing w:after="0" w:line="20" w:lineRule="atLeast"/>
        <w:ind w:left="0"/>
        <w:jc w:val="both"/>
        <w:rPr>
          <w:rFonts w:ascii="Arial" w:hAnsi="Arial" w:cs="Arial"/>
          <w:b/>
          <w:i/>
          <w:sz w:val="18"/>
          <w:szCs w:val="18"/>
        </w:rPr>
      </w:pPr>
      <w:r w:rsidRPr="00EA4FCC">
        <w:rPr>
          <w:rFonts w:ascii="Arial" w:hAnsi="Arial" w:cs="Arial"/>
          <w:b/>
          <w:i/>
          <w:sz w:val="18"/>
          <w:szCs w:val="18"/>
        </w:rPr>
        <w:t>BC Communication</w:t>
      </w:r>
    </w:p>
    <w:p w14:paraId="43039B46" w14:textId="77777777" w:rsidR="00BC43BE" w:rsidRPr="00EA4FCC" w:rsidRDefault="00BC43BE" w:rsidP="00BC43BE">
      <w:pPr>
        <w:pStyle w:val="Paragrafoelenco"/>
        <w:spacing w:after="0" w:line="20" w:lineRule="atLeast"/>
        <w:ind w:left="0"/>
        <w:jc w:val="both"/>
        <w:rPr>
          <w:rFonts w:ascii="Arial" w:hAnsi="Arial" w:cs="Arial"/>
          <w:b/>
          <w:i/>
          <w:sz w:val="18"/>
          <w:szCs w:val="18"/>
        </w:rPr>
      </w:pPr>
      <w:r w:rsidRPr="00EA4FCC">
        <w:rPr>
          <w:rFonts w:ascii="Arial" w:hAnsi="Arial" w:cs="Arial"/>
          <w:b/>
          <w:i/>
          <w:sz w:val="18"/>
          <w:szCs w:val="18"/>
        </w:rPr>
        <w:t xml:space="preserve">Beatrice Cagnoni </w:t>
      </w:r>
      <w:r w:rsidRPr="00EA4FCC">
        <w:rPr>
          <w:rFonts w:ascii="Arial" w:hAnsi="Arial" w:cs="Arial"/>
          <w:bCs/>
          <w:i/>
          <w:sz w:val="18"/>
          <w:szCs w:val="18"/>
        </w:rPr>
        <w:t xml:space="preserve">– </w:t>
      </w:r>
      <w:hyperlink r:id="rId18" w:history="1">
        <w:r w:rsidRPr="00EA4FCC">
          <w:rPr>
            <w:rStyle w:val="Collegamentoipertestuale"/>
            <w:rFonts w:ascii="Arial" w:hAnsi="Arial" w:cs="Arial"/>
            <w:i/>
            <w:sz w:val="18"/>
            <w:szCs w:val="18"/>
          </w:rPr>
          <w:t>beatrice.cagnoni@bc-communication.it</w:t>
        </w:r>
      </w:hyperlink>
      <w:r w:rsidRPr="00EA4FCC">
        <w:rPr>
          <w:rStyle w:val="Collegamentoipertestuale"/>
          <w:rFonts w:ascii="Arial" w:hAnsi="Arial" w:cs="Arial"/>
          <w:i/>
          <w:sz w:val="18"/>
          <w:szCs w:val="18"/>
          <w:u w:val="none"/>
        </w:rPr>
        <w:t xml:space="preserve"> </w:t>
      </w:r>
      <w:r w:rsidRPr="00EA4FCC">
        <w:rPr>
          <w:rFonts w:ascii="Arial" w:hAnsi="Arial" w:cs="Arial"/>
          <w:bCs/>
          <w:i/>
          <w:sz w:val="18"/>
          <w:szCs w:val="18"/>
        </w:rPr>
        <w:t xml:space="preserve">– </w:t>
      </w:r>
      <w:r w:rsidRPr="00EA4FCC">
        <w:rPr>
          <w:rFonts w:ascii="Arial" w:hAnsi="Arial" w:cs="Arial"/>
          <w:b/>
          <w:i/>
          <w:sz w:val="18"/>
          <w:szCs w:val="18"/>
        </w:rPr>
        <w:t>+39 335 5635111</w:t>
      </w:r>
    </w:p>
    <w:p w14:paraId="7C68B0E8" w14:textId="77777777" w:rsidR="00BC43BE" w:rsidRPr="00EA4FCC" w:rsidRDefault="00BC43BE" w:rsidP="00BC43BE">
      <w:pPr>
        <w:pStyle w:val="Paragrafoelenco"/>
        <w:spacing w:after="0" w:line="20" w:lineRule="atLeast"/>
        <w:ind w:left="0"/>
        <w:jc w:val="both"/>
        <w:rPr>
          <w:rFonts w:ascii="Arial" w:hAnsi="Arial" w:cs="Arial"/>
          <w:b/>
          <w:i/>
          <w:sz w:val="18"/>
          <w:szCs w:val="18"/>
        </w:rPr>
      </w:pPr>
      <w:r w:rsidRPr="00EA4FCC">
        <w:rPr>
          <w:rFonts w:ascii="Arial" w:hAnsi="Arial" w:cs="Arial"/>
          <w:b/>
          <w:i/>
          <w:sz w:val="18"/>
          <w:szCs w:val="18"/>
        </w:rPr>
        <w:t xml:space="preserve">Federica Guerrini </w:t>
      </w:r>
      <w:r w:rsidRPr="00EA4FCC">
        <w:rPr>
          <w:rFonts w:ascii="Arial" w:hAnsi="Arial" w:cs="Arial"/>
          <w:bCs/>
          <w:i/>
          <w:sz w:val="18"/>
          <w:szCs w:val="18"/>
        </w:rPr>
        <w:t xml:space="preserve">– </w:t>
      </w:r>
      <w:hyperlink r:id="rId19" w:history="1">
        <w:r w:rsidRPr="00EA4FCC">
          <w:rPr>
            <w:rStyle w:val="Collegamentoipertestuale"/>
            <w:rFonts w:ascii="Arial" w:hAnsi="Arial" w:cs="Arial"/>
            <w:bCs/>
            <w:i/>
            <w:sz w:val="18"/>
            <w:szCs w:val="18"/>
          </w:rPr>
          <w:t>federica.guerrini@bc-communication.it</w:t>
        </w:r>
      </w:hyperlink>
      <w:r w:rsidRPr="00EA4FCC">
        <w:rPr>
          <w:rFonts w:ascii="Arial" w:hAnsi="Arial" w:cs="Arial"/>
          <w:bCs/>
          <w:i/>
          <w:sz w:val="18"/>
          <w:szCs w:val="18"/>
        </w:rPr>
        <w:t xml:space="preserve"> - </w:t>
      </w:r>
      <w:r w:rsidRPr="00EA4FCC">
        <w:rPr>
          <w:rFonts w:ascii="Arial" w:hAnsi="Arial" w:cs="Arial"/>
          <w:b/>
          <w:i/>
          <w:sz w:val="18"/>
          <w:szCs w:val="18"/>
        </w:rPr>
        <w:t>+39 340 7500862</w:t>
      </w:r>
    </w:p>
    <w:p w14:paraId="7F81618D" w14:textId="77777777" w:rsidR="00A76468" w:rsidRPr="00EA4FCC" w:rsidRDefault="00A76468" w:rsidP="006D3714">
      <w:pPr>
        <w:pStyle w:val="notaintermonte"/>
        <w:spacing w:line="20" w:lineRule="atLeast"/>
        <w:rPr>
          <w:rFonts w:ascii="Arial" w:hAnsi="Arial" w:cs="Arial"/>
          <w:b/>
          <w:bCs/>
          <w:spacing w:val="-2"/>
          <w:u w:val="single"/>
        </w:rPr>
      </w:pPr>
    </w:p>
    <w:sectPr w:rsidR="00A76468" w:rsidRPr="00EA4FCC" w:rsidSect="00BC43BE">
      <w:footerReference w:type="default" r:id="rId20"/>
      <w:headerReference w:type="first" r:id="rId21"/>
      <w:pgSz w:w="11906" w:h="16838" w:code="9"/>
      <w:pgMar w:top="1417" w:right="1134" w:bottom="1134"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F08D0" w14:textId="77777777" w:rsidR="00D02367" w:rsidRDefault="00D02367" w:rsidP="00652E76">
      <w:pPr>
        <w:spacing w:after="0" w:line="240" w:lineRule="auto"/>
      </w:pPr>
      <w:r>
        <w:separator/>
      </w:r>
    </w:p>
  </w:endnote>
  <w:endnote w:type="continuationSeparator" w:id="0">
    <w:p w14:paraId="7F69C1C6" w14:textId="77777777" w:rsidR="00D02367" w:rsidRDefault="00D02367" w:rsidP="00652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470120"/>
      <w:docPartObj>
        <w:docPartGallery w:val="Page Numbers (Bottom of Page)"/>
        <w:docPartUnique/>
      </w:docPartObj>
    </w:sdtPr>
    <w:sdtContent>
      <w:p w14:paraId="4A5CDA46" w14:textId="1D010531" w:rsidR="00EA4FCC" w:rsidRDefault="00EA4FCC">
        <w:pPr>
          <w:pStyle w:val="Pidipagina"/>
          <w:jc w:val="center"/>
        </w:pPr>
        <w:r>
          <w:fldChar w:fldCharType="begin"/>
        </w:r>
        <w:r>
          <w:instrText>PAGE   \* MERGEFORMAT</w:instrText>
        </w:r>
        <w:r>
          <w:fldChar w:fldCharType="separate"/>
        </w:r>
        <w:r>
          <w:t>2</w:t>
        </w:r>
        <w:r>
          <w:fldChar w:fldCharType="end"/>
        </w:r>
      </w:p>
    </w:sdtContent>
  </w:sdt>
  <w:p w14:paraId="2676B4DF" w14:textId="77777777" w:rsidR="00EA4FCC" w:rsidRDefault="00EA4FC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4B733" w14:textId="77777777" w:rsidR="00D02367" w:rsidRDefault="00D02367" w:rsidP="00652E76">
      <w:pPr>
        <w:spacing w:after="0" w:line="240" w:lineRule="auto"/>
      </w:pPr>
      <w:r>
        <w:separator/>
      </w:r>
    </w:p>
  </w:footnote>
  <w:footnote w:type="continuationSeparator" w:id="0">
    <w:p w14:paraId="65685DDA" w14:textId="77777777" w:rsidR="00D02367" w:rsidRDefault="00D02367" w:rsidP="00652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E6F26" w14:textId="7F0DACD1" w:rsidR="0000155C" w:rsidRDefault="0000155C" w:rsidP="0000155C">
    <w:pPr>
      <w:pStyle w:val="Intestazione"/>
      <w:jc w:val="center"/>
    </w:pPr>
    <w:r>
      <w:rPr>
        <w:noProof/>
        <w:lang w:eastAsia="it-IT"/>
      </w:rPr>
      <w:drawing>
        <wp:inline distT="0" distB="0" distL="0" distR="0" wp14:anchorId="4AABBA7F" wp14:editId="391E7B9F">
          <wp:extent cx="2160000" cy="53607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TERMONTE.png"/>
                  <pic:cNvPicPr/>
                </pic:nvPicPr>
                <pic:blipFill>
                  <a:blip r:embed="rId1">
                    <a:extLst>
                      <a:ext uri="{28A0092B-C50C-407E-A947-70E740481C1C}">
                        <a14:useLocalDpi xmlns:a14="http://schemas.microsoft.com/office/drawing/2010/main" val="0"/>
                      </a:ext>
                    </a:extLst>
                  </a:blip>
                  <a:stretch>
                    <a:fillRect/>
                  </a:stretch>
                </pic:blipFill>
                <pic:spPr>
                  <a:xfrm>
                    <a:off x="0" y="0"/>
                    <a:ext cx="2160000" cy="536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A108080"/>
    <w:lvl w:ilvl="0">
      <w:start w:val="1"/>
      <w:numFmt w:val="decimal"/>
      <w:pStyle w:val="Numeroelenco"/>
      <w:lvlText w:val="%1."/>
      <w:lvlJc w:val="left"/>
      <w:pPr>
        <w:tabs>
          <w:tab w:val="num" w:pos="360"/>
        </w:tabs>
        <w:ind w:left="360" w:hanging="360"/>
      </w:pPr>
    </w:lvl>
  </w:abstractNum>
  <w:abstractNum w:abstractNumId="1" w15:restartNumberingAfterBreak="0">
    <w:nsid w:val="FFFFFF89"/>
    <w:multiLevelType w:val="singleLevel"/>
    <w:tmpl w:val="D5688E88"/>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cs="Symbol"/>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decimal"/>
      <w:pStyle w:val="Bullet"/>
      <w:lvlText w:val="%6."/>
      <w:lvlJc w:val="left"/>
      <w:pPr>
        <w:tabs>
          <w:tab w:val="num" w:pos="2520"/>
        </w:tabs>
        <w:ind w:left="2520" w:hanging="36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9"/>
    <w:multiLevelType w:val="singleLevel"/>
    <w:tmpl w:val="00000009"/>
    <w:name w:val="WW8Num9"/>
    <w:lvl w:ilvl="0">
      <w:start w:val="1"/>
      <w:numFmt w:val="decimal"/>
      <w:pStyle w:val="Numeroelenco1"/>
      <w:lvlText w:val="%1."/>
      <w:lvlJc w:val="left"/>
      <w:pPr>
        <w:tabs>
          <w:tab w:val="num" w:pos="360"/>
        </w:tabs>
        <w:ind w:left="360" w:hanging="360"/>
      </w:pPr>
    </w:lvl>
  </w:abstractNum>
  <w:abstractNum w:abstractNumId="4" w15:restartNumberingAfterBreak="0">
    <w:nsid w:val="0000000A"/>
    <w:multiLevelType w:val="singleLevel"/>
    <w:tmpl w:val="0000000A"/>
    <w:name w:val="WW8Num10"/>
    <w:lvl w:ilvl="0">
      <w:start w:val="1"/>
      <w:numFmt w:val="bullet"/>
      <w:pStyle w:val="Puntoelenco1"/>
      <w:lvlText w:val=""/>
      <w:lvlJc w:val="left"/>
      <w:pPr>
        <w:tabs>
          <w:tab w:val="num" w:pos="360"/>
        </w:tabs>
        <w:ind w:left="360" w:hanging="360"/>
      </w:pPr>
      <w:rPr>
        <w:rFonts w:ascii="Symbol" w:hAnsi="Symbol" w:cs="Symbol"/>
      </w:rPr>
    </w:lvl>
  </w:abstractNum>
  <w:abstractNum w:abstractNumId="5"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6" w15:restartNumberingAfterBreak="0">
    <w:nsid w:val="00000017"/>
    <w:multiLevelType w:val="singleLevel"/>
    <w:tmpl w:val="00000017"/>
    <w:name w:val="WW8Num23"/>
    <w:lvl w:ilvl="0">
      <w:numFmt w:val="bullet"/>
      <w:lvlText w:val="•"/>
      <w:lvlJc w:val="left"/>
      <w:pPr>
        <w:tabs>
          <w:tab w:val="num" w:pos="0"/>
        </w:tabs>
        <w:ind w:left="756" w:hanging="396"/>
      </w:pPr>
      <w:rPr>
        <w:rFonts w:ascii="Calibri" w:hAnsi="Calibri" w:cs="Symbol"/>
        <w:color w:val="000000"/>
      </w:rPr>
    </w:lvl>
  </w:abstractNum>
  <w:abstractNum w:abstractNumId="7" w15:restartNumberingAfterBreak="0">
    <w:nsid w:val="00B54CE3"/>
    <w:multiLevelType w:val="multilevel"/>
    <w:tmpl w:val="E61C4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C82D29"/>
    <w:multiLevelType w:val="multilevel"/>
    <w:tmpl w:val="74C06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5A3FA8"/>
    <w:multiLevelType w:val="multilevel"/>
    <w:tmpl w:val="ABD20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5F37E4"/>
    <w:multiLevelType w:val="multilevel"/>
    <w:tmpl w:val="D7CE7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4F6D54"/>
    <w:multiLevelType w:val="multilevel"/>
    <w:tmpl w:val="10248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AC3EE0"/>
    <w:multiLevelType w:val="multilevel"/>
    <w:tmpl w:val="BAC23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1E65B8"/>
    <w:multiLevelType w:val="multilevel"/>
    <w:tmpl w:val="FCA01F0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B519B0"/>
    <w:multiLevelType w:val="multilevel"/>
    <w:tmpl w:val="460CD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4C0802"/>
    <w:multiLevelType w:val="multilevel"/>
    <w:tmpl w:val="E536D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776E2C"/>
    <w:multiLevelType w:val="multilevel"/>
    <w:tmpl w:val="99389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452740"/>
    <w:multiLevelType w:val="multilevel"/>
    <w:tmpl w:val="1436A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756D24"/>
    <w:multiLevelType w:val="multilevel"/>
    <w:tmpl w:val="80CED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543B7C"/>
    <w:multiLevelType w:val="multilevel"/>
    <w:tmpl w:val="793EB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C94B27"/>
    <w:multiLevelType w:val="multilevel"/>
    <w:tmpl w:val="9BC09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F75791"/>
    <w:multiLevelType w:val="multilevel"/>
    <w:tmpl w:val="43A43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3E6734"/>
    <w:multiLevelType w:val="multilevel"/>
    <w:tmpl w:val="063EC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FD0374"/>
    <w:multiLevelType w:val="multilevel"/>
    <w:tmpl w:val="35AC9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710E0A"/>
    <w:multiLevelType w:val="multilevel"/>
    <w:tmpl w:val="8C923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68156A"/>
    <w:multiLevelType w:val="multilevel"/>
    <w:tmpl w:val="6F241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9036FB"/>
    <w:multiLevelType w:val="multilevel"/>
    <w:tmpl w:val="E26A9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7D6EC7"/>
    <w:multiLevelType w:val="multilevel"/>
    <w:tmpl w:val="4EA80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8861E5"/>
    <w:multiLevelType w:val="multilevel"/>
    <w:tmpl w:val="9AECF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586D97"/>
    <w:multiLevelType w:val="multilevel"/>
    <w:tmpl w:val="FFB0C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99438E"/>
    <w:multiLevelType w:val="multilevel"/>
    <w:tmpl w:val="E2AC9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A46956"/>
    <w:multiLevelType w:val="multilevel"/>
    <w:tmpl w:val="933E3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617174"/>
    <w:multiLevelType w:val="multilevel"/>
    <w:tmpl w:val="9DDC7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833C39"/>
    <w:multiLevelType w:val="multilevel"/>
    <w:tmpl w:val="1C844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050046"/>
    <w:multiLevelType w:val="multilevel"/>
    <w:tmpl w:val="447EE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9C2C5F"/>
    <w:multiLevelType w:val="multilevel"/>
    <w:tmpl w:val="F2E85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403FD4"/>
    <w:multiLevelType w:val="multilevel"/>
    <w:tmpl w:val="B72EE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1167C5"/>
    <w:multiLevelType w:val="multilevel"/>
    <w:tmpl w:val="63448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B24E8C"/>
    <w:multiLevelType w:val="multilevel"/>
    <w:tmpl w:val="41526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424F9A"/>
    <w:multiLevelType w:val="multilevel"/>
    <w:tmpl w:val="1D0CC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20105C"/>
    <w:multiLevelType w:val="multilevel"/>
    <w:tmpl w:val="B1CEB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2D4468"/>
    <w:multiLevelType w:val="multilevel"/>
    <w:tmpl w:val="09B6E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2153DD"/>
    <w:multiLevelType w:val="multilevel"/>
    <w:tmpl w:val="090C7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123BB1"/>
    <w:multiLevelType w:val="multilevel"/>
    <w:tmpl w:val="8EE2D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1166122">
    <w:abstractNumId w:val="2"/>
  </w:num>
  <w:num w:numId="2" w16cid:durableId="1846629177">
    <w:abstractNumId w:val="3"/>
  </w:num>
  <w:num w:numId="3" w16cid:durableId="1015426339">
    <w:abstractNumId w:val="4"/>
  </w:num>
  <w:num w:numId="4" w16cid:durableId="1520700158">
    <w:abstractNumId w:val="1"/>
  </w:num>
  <w:num w:numId="5" w16cid:durableId="1866602473">
    <w:abstractNumId w:val="0"/>
  </w:num>
  <w:num w:numId="6" w16cid:durableId="1912425940">
    <w:abstractNumId w:val="9"/>
  </w:num>
  <w:num w:numId="7" w16cid:durableId="75442133">
    <w:abstractNumId w:val="33"/>
  </w:num>
  <w:num w:numId="8" w16cid:durableId="1502354731">
    <w:abstractNumId w:val="28"/>
  </w:num>
  <w:num w:numId="9" w16cid:durableId="1159007046">
    <w:abstractNumId w:val="40"/>
  </w:num>
  <w:num w:numId="10" w16cid:durableId="1071583816">
    <w:abstractNumId w:val="12"/>
  </w:num>
  <w:num w:numId="11" w16cid:durableId="1773238840">
    <w:abstractNumId w:val="34"/>
  </w:num>
  <w:num w:numId="12" w16cid:durableId="1475416074">
    <w:abstractNumId w:val="21"/>
  </w:num>
  <w:num w:numId="13" w16cid:durableId="1911310375">
    <w:abstractNumId w:val="17"/>
  </w:num>
  <w:num w:numId="14" w16cid:durableId="562133050">
    <w:abstractNumId w:val="24"/>
  </w:num>
  <w:num w:numId="15" w16cid:durableId="911350417">
    <w:abstractNumId w:val="39"/>
  </w:num>
  <w:num w:numId="16" w16cid:durableId="211770006">
    <w:abstractNumId w:val="16"/>
  </w:num>
  <w:num w:numId="17" w16cid:durableId="1675844259">
    <w:abstractNumId w:val="27"/>
  </w:num>
  <w:num w:numId="18" w16cid:durableId="1945729841">
    <w:abstractNumId w:val="14"/>
  </w:num>
  <w:num w:numId="19" w16cid:durableId="1849246288">
    <w:abstractNumId w:val="22"/>
  </w:num>
  <w:num w:numId="20" w16cid:durableId="1664627395">
    <w:abstractNumId w:val="32"/>
  </w:num>
  <w:num w:numId="21" w16cid:durableId="1930195021">
    <w:abstractNumId w:val="15"/>
  </w:num>
  <w:num w:numId="22" w16cid:durableId="1230382549">
    <w:abstractNumId w:val="20"/>
  </w:num>
  <w:num w:numId="23" w16cid:durableId="1602834213">
    <w:abstractNumId w:val="23"/>
  </w:num>
  <w:num w:numId="24" w16cid:durableId="236979604">
    <w:abstractNumId w:val="25"/>
  </w:num>
  <w:num w:numId="25" w16cid:durableId="1730954519">
    <w:abstractNumId w:val="18"/>
  </w:num>
  <w:num w:numId="26" w16cid:durableId="832911448">
    <w:abstractNumId w:val="26"/>
  </w:num>
  <w:num w:numId="27" w16cid:durableId="1350520802">
    <w:abstractNumId w:val="37"/>
  </w:num>
  <w:num w:numId="28" w16cid:durableId="2033845447">
    <w:abstractNumId w:val="8"/>
  </w:num>
  <w:num w:numId="29" w16cid:durableId="294414855">
    <w:abstractNumId w:val="29"/>
  </w:num>
  <w:num w:numId="30" w16cid:durableId="556012639">
    <w:abstractNumId w:val="41"/>
  </w:num>
  <w:num w:numId="31" w16cid:durableId="1600408554">
    <w:abstractNumId w:val="30"/>
  </w:num>
  <w:num w:numId="32" w16cid:durableId="1904828800">
    <w:abstractNumId w:val="7"/>
  </w:num>
  <w:num w:numId="33" w16cid:durableId="348222447">
    <w:abstractNumId w:val="43"/>
  </w:num>
  <w:num w:numId="34" w16cid:durableId="1788115590">
    <w:abstractNumId w:val="19"/>
  </w:num>
  <w:num w:numId="35" w16cid:durableId="354310954">
    <w:abstractNumId w:val="35"/>
  </w:num>
  <w:num w:numId="36" w16cid:durableId="135339046">
    <w:abstractNumId w:val="42"/>
  </w:num>
  <w:num w:numId="37" w16cid:durableId="1060129259">
    <w:abstractNumId w:val="11"/>
  </w:num>
  <w:num w:numId="38" w16cid:durableId="441917527">
    <w:abstractNumId w:val="10"/>
  </w:num>
  <w:num w:numId="39" w16cid:durableId="454492761">
    <w:abstractNumId w:val="31"/>
  </w:num>
  <w:num w:numId="40" w16cid:durableId="1477141141">
    <w:abstractNumId w:val="31"/>
  </w:num>
  <w:num w:numId="41" w16cid:durableId="1286542535">
    <w:abstractNumId w:val="13"/>
  </w:num>
  <w:num w:numId="42" w16cid:durableId="907417395">
    <w:abstractNumId w:val="38"/>
    <w:lvlOverride w:ilvl="0"/>
    <w:lvlOverride w:ilvl="1"/>
    <w:lvlOverride w:ilvl="2"/>
    <w:lvlOverride w:ilvl="3"/>
    <w:lvlOverride w:ilvl="4"/>
    <w:lvlOverride w:ilvl="5"/>
    <w:lvlOverride w:ilvl="6"/>
    <w:lvlOverride w:ilvl="7"/>
    <w:lvlOverride w:ilvl="8"/>
  </w:num>
  <w:num w:numId="43" w16cid:durableId="237640234">
    <w:abstractNumId w:val="36"/>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47C9E"/>
    <w:rsid w:val="0000083D"/>
    <w:rsid w:val="00000E27"/>
    <w:rsid w:val="0000155C"/>
    <w:rsid w:val="0000310B"/>
    <w:rsid w:val="00004334"/>
    <w:rsid w:val="00005043"/>
    <w:rsid w:val="000058B5"/>
    <w:rsid w:val="00005950"/>
    <w:rsid w:val="00005BB6"/>
    <w:rsid w:val="00005C08"/>
    <w:rsid w:val="0000613A"/>
    <w:rsid w:val="000063DC"/>
    <w:rsid w:val="0000696A"/>
    <w:rsid w:val="00007C99"/>
    <w:rsid w:val="00012BEA"/>
    <w:rsid w:val="00015719"/>
    <w:rsid w:val="00016917"/>
    <w:rsid w:val="000171B7"/>
    <w:rsid w:val="00017286"/>
    <w:rsid w:val="0001741D"/>
    <w:rsid w:val="000201D3"/>
    <w:rsid w:val="00020390"/>
    <w:rsid w:val="000221B3"/>
    <w:rsid w:val="00022218"/>
    <w:rsid w:val="0002460F"/>
    <w:rsid w:val="00024DA5"/>
    <w:rsid w:val="00024F22"/>
    <w:rsid w:val="000257B3"/>
    <w:rsid w:val="00030899"/>
    <w:rsid w:val="00030FCF"/>
    <w:rsid w:val="00031C27"/>
    <w:rsid w:val="000328E2"/>
    <w:rsid w:val="000343B4"/>
    <w:rsid w:val="0003465F"/>
    <w:rsid w:val="000349F1"/>
    <w:rsid w:val="00034E3A"/>
    <w:rsid w:val="00034F8E"/>
    <w:rsid w:val="0003578D"/>
    <w:rsid w:val="000373E5"/>
    <w:rsid w:val="00043461"/>
    <w:rsid w:val="00044534"/>
    <w:rsid w:val="000445E4"/>
    <w:rsid w:val="00044B44"/>
    <w:rsid w:val="00045130"/>
    <w:rsid w:val="00046C67"/>
    <w:rsid w:val="0004711E"/>
    <w:rsid w:val="00047484"/>
    <w:rsid w:val="00052756"/>
    <w:rsid w:val="0005289D"/>
    <w:rsid w:val="0005452D"/>
    <w:rsid w:val="00055536"/>
    <w:rsid w:val="0005714F"/>
    <w:rsid w:val="000578A5"/>
    <w:rsid w:val="00057C91"/>
    <w:rsid w:val="00057E9C"/>
    <w:rsid w:val="000629BF"/>
    <w:rsid w:val="0006313D"/>
    <w:rsid w:val="0006429A"/>
    <w:rsid w:val="000648D1"/>
    <w:rsid w:val="000668D0"/>
    <w:rsid w:val="00067A12"/>
    <w:rsid w:val="0007061A"/>
    <w:rsid w:val="00070DBE"/>
    <w:rsid w:val="00072A6C"/>
    <w:rsid w:val="00072A8C"/>
    <w:rsid w:val="0007319A"/>
    <w:rsid w:val="00073FC5"/>
    <w:rsid w:val="000744FD"/>
    <w:rsid w:val="00074BDA"/>
    <w:rsid w:val="00075ECD"/>
    <w:rsid w:val="00076F2B"/>
    <w:rsid w:val="0007772F"/>
    <w:rsid w:val="00082526"/>
    <w:rsid w:val="00082845"/>
    <w:rsid w:val="0008358B"/>
    <w:rsid w:val="00083A1B"/>
    <w:rsid w:val="00084D9A"/>
    <w:rsid w:val="00085FF7"/>
    <w:rsid w:val="00092F60"/>
    <w:rsid w:val="00093B7F"/>
    <w:rsid w:val="00095032"/>
    <w:rsid w:val="000A015F"/>
    <w:rsid w:val="000A098C"/>
    <w:rsid w:val="000A241A"/>
    <w:rsid w:val="000A2805"/>
    <w:rsid w:val="000A2F97"/>
    <w:rsid w:val="000A4BF1"/>
    <w:rsid w:val="000A5ABB"/>
    <w:rsid w:val="000A5D81"/>
    <w:rsid w:val="000A73E8"/>
    <w:rsid w:val="000A76B5"/>
    <w:rsid w:val="000B1F85"/>
    <w:rsid w:val="000B546F"/>
    <w:rsid w:val="000B5872"/>
    <w:rsid w:val="000B6671"/>
    <w:rsid w:val="000B7841"/>
    <w:rsid w:val="000B79A5"/>
    <w:rsid w:val="000B7C48"/>
    <w:rsid w:val="000B7E51"/>
    <w:rsid w:val="000C0DD4"/>
    <w:rsid w:val="000C10F0"/>
    <w:rsid w:val="000C14D0"/>
    <w:rsid w:val="000C16F0"/>
    <w:rsid w:val="000C1A93"/>
    <w:rsid w:val="000C1D2E"/>
    <w:rsid w:val="000C29B3"/>
    <w:rsid w:val="000C3B7B"/>
    <w:rsid w:val="000C5572"/>
    <w:rsid w:val="000C6C01"/>
    <w:rsid w:val="000D0DB9"/>
    <w:rsid w:val="000D1EB9"/>
    <w:rsid w:val="000D278C"/>
    <w:rsid w:val="000D45F6"/>
    <w:rsid w:val="000D46FC"/>
    <w:rsid w:val="000D4DC4"/>
    <w:rsid w:val="000D75DB"/>
    <w:rsid w:val="000D7A05"/>
    <w:rsid w:val="000E0AA5"/>
    <w:rsid w:val="000E1369"/>
    <w:rsid w:val="000E1782"/>
    <w:rsid w:val="000E2668"/>
    <w:rsid w:val="000E46AD"/>
    <w:rsid w:val="000E4F3F"/>
    <w:rsid w:val="000E55AE"/>
    <w:rsid w:val="000E6385"/>
    <w:rsid w:val="000E7DDB"/>
    <w:rsid w:val="000F1F74"/>
    <w:rsid w:val="000F4C05"/>
    <w:rsid w:val="000F6B53"/>
    <w:rsid w:val="000F6DD5"/>
    <w:rsid w:val="00100546"/>
    <w:rsid w:val="00102622"/>
    <w:rsid w:val="00102DFC"/>
    <w:rsid w:val="0010342B"/>
    <w:rsid w:val="00104A31"/>
    <w:rsid w:val="001050CB"/>
    <w:rsid w:val="00107694"/>
    <w:rsid w:val="00111B9E"/>
    <w:rsid w:val="00113EA5"/>
    <w:rsid w:val="00113FBF"/>
    <w:rsid w:val="001168AD"/>
    <w:rsid w:val="00116D8B"/>
    <w:rsid w:val="00120F8A"/>
    <w:rsid w:val="00121470"/>
    <w:rsid w:val="00122523"/>
    <w:rsid w:val="001232C9"/>
    <w:rsid w:val="00124217"/>
    <w:rsid w:val="00126CFE"/>
    <w:rsid w:val="00130804"/>
    <w:rsid w:val="00130D1C"/>
    <w:rsid w:val="00133B9C"/>
    <w:rsid w:val="0013435C"/>
    <w:rsid w:val="00136A35"/>
    <w:rsid w:val="001370BA"/>
    <w:rsid w:val="00137668"/>
    <w:rsid w:val="00141B5E"/>
    <w:rsid w:val="00142699"/>
    <w:rsid w:val="00144429"/>
    <w:rsid w:val="00145B72"/>
    <w:rsid w:val="00147769"/>
    <w:rsid w:val="001510A6"/>
    <w:rsid w:val="00151B79"/>
    <w:rsid w:val="00153EE6"/>
    <w:rsid w:val="00154ABA"/>
    <w:rsid w:val="00155356"/>
    <w:rsid w:val="001608B6"/>
    <w:rsid w:val="001609E2"/>
    <w:rsid w:val="00161428"/>
    <w:rsid w:val="00161561"/>
    <w:rsid w:val="00161DBD"/>
    <w:rsid w:val="00164DB9"/>
    <w:rsid w:val="0016679E"/>
    <w:rsid w:val="00170604"/>
    <w:rsid w:val="0017242B"/>
    <w:rsid w:val="001748AB"/>
    <w:rsid w:val="00174FF5"/>
    <w:rsid w:val="001763A2"/>
    <w:rsid w:val="0017657F"/>
    <w:rsid w:val="001805A3"/>
    <w:rsid w:val="00180DBF"/>
    <w:rsid w:val="00181486"/>
    <w:rsid w:val="001820B1"/>
    <w:rsid w:val="0018272A"/>
    <w:rsid w:val="00182951"/>
    <w:rsid w:val="00183096"/>
    <w:rsid w:val="0018336E"/>
    <w:rsid w:val="00183D3F"/>
    <w:rsid w:val="001842EE"/>
    <w:rsid w:val="00184632"/>
    <w:rsid w:val="001846CA"/>
    <w:rsid w:val="001847FB"/>
    <w:rsid w:val="00186517"/>
    <w:rsid w:val="00186E69"/>
    <w:rsid w:val="00187BBA"/>
    <w:rsid w:val="00190082"/>
    <w:rsid w:val="00190904"/>
    <w:rsid w:val="00190D3D"/>
    <w:rsid w:val="0019156E"/>
    <w:rsid w:val="00191A66"/>
    <w:rsid w:val="00193C2C"/>
    <w:rsid w:val="001947B2"/>
    <w:rsid w:val="001A066D"/>
    <w:rsid w:val="001A3537"/>
    <w:rsid w:val="001A4887"/>
    <w:rsid w:val="001A4A32"/>
    <w:rsid w:val="001A559E"/>
    <w:rsid w:val="001A5F18"/>
    <w:rsid w:val="001B0802"/>
    <w:rsid w:val="001B19BC"/>
    <w:rsid w:val="001B2512"/>
    <w:rsid w:val="001B2977"/>
    <w:rsid w:val="001B31DE"/>
    <w:rsid w:val="001B3288"/>
    <w:rsid w:val="001B4422"/>
    <w:rsid w:val="001B595B"/>
    <w:rsid w:val="001B59AA"/>
    <w:rsid w:val="001B776E"/>
    <w:rsid w:val="001C0F58"/>
    <w:rsid w:val="001C12F7"/>
    <w:rsid w:val="001C1624"/>
    <w:rsid w:val="001C3E55"/>
    <w:rsid w:val="001C5D3D"/>
    <w:rsid w:val="001C6319"/>
    <w:rsid w:val="001C71C0"/>
    <w:rsid w:val="001D123A"/>
    <w:rsid w:val="001D158B"/>
    <w:rsid w:val="001D1E9B"/>
    <w:rsid w:val="001D56C0"/>
    <w:rsid w:val="001D5977"/>
    <w:rsid w:val="001D788F"/>
    <w:rsid w:val="001D7A2D"/>
    <w:rsid w:val="001E06D5"/>
    <w:rsid w:val="001E14CD"/>
    <w:rsid w:val="001E25D1"/>
    <w:rsid w:val="001E470A"/>
    <w:rsid w:val="001E4AD1"/>
    <w:rsid w:val="001E564A"/>
    <w:rsid w:val="001E5701"/>
    <w:rsid w:val="001E6442"/>
    <w:rsid w:val="001E6F88"/>
    <w:rsid w:val="001E6FC3"/>
    <w:rsid w:val="001E7B72"/>
    <w:rsid w:val="001F0654"/>
    <w:rsid w:val="001F1FD7"/>
    <w:rsid w:val="001F2498"/>
    <w:rsid w:val="001F346F"/>
    <w:rsid w:val="001F3D83"/>
    <w:rsid w:val="001F5217"/>
    <w:rsid w:val="001F595B"/>
    <w:rsid w:val="001F65BF"/>
    <w:rsid w:val="00200262"/>
    <w:rsid w:val="002025DC"/>
    <w:rsid w:val="002048BD"/>
    <w:rsid w:val="0021277C"/>
    <w:rsid w:val="00214796"/>
    <w:rsid w:val="00215699"/>
    <w:rsid w:val="00216645"/>
    <w:rsid w:val="00217006"/>
    <w:rsid w:val="00221AAE"/>
    <w:rsid w:val="00221C58"/>
    <w:rsid w:val="002220FF"/>
    <w:rsid w:val="002224EE"/>
    <w:rsid w:val="00225A08"/>
    <w:rsid w:val="002300BF"/>
    <w:rsid w:val="002322C9"/>
    <w:rsid w:val="00234867"/>
    <w:rsid w:val="00235263"/>
    <w:rsid w:val="00235885"/>
    <w:rsid w:val="002408C8"/>
    <w:rsid w:val="00242FCD"/>
    <w:rsid w:val="002461B4"/>
    <w:rsid w:val="002467BE"/>
    <w:rsid w:val="00247B0D"/>
    <w:rsid w:val="0025003E"/>
    <w:rsid w:val="00251A91"/>
    <w:rsid w:val="00251D9B"/>
    <w:rsid w:val="00252B0F"/>
    <w:rsid w:val="00253364"/>
    <w:rsid w:val="00253A97"/>
    <w:rsid w:val="00253B02"/>
    <w:rsid w:val="0025403B"/>
    <w:rsid w:val="002568F6"/>
    <w:rsid w:val="002572C6"/>
    <w:rsid w:val="0026048B"/>
    <w:rsid w:val="002605BE"/>
    <w:rsid w:val="00260C7B"/>
    <w:rsid w:val="0026532D"/>
    <w:rsid w:val="00265602"/>
    <w:rsid w:val="002660CE"/>
    <w:rsid w:val="002664FC"/>
    <w:rsid w:val="0026705E"/>
    <w:rsid w:val="002719FF"/>
    <w:rsid w:val="002735A1"/>
    <w:rsid w:val="002747C7"/>
    <w:rsid w:val="0027617E"/>
    <w:rsid w:val="00276C3B"/>
    <w:rsid w:val="00281559"/>
    <w:rsid w:val="00282942"/>
    <w:rsid w:val="00295CC2"/>
    <w:rsid w:val="00295E59"/>
    <w:rsid w:val="0029665A"/>
    <w:rsid w:val="00296BC5"/>
    <w:rsid w:val="00297BB4"/>
    <w:rsid w:val="002A0E82"/>
    <w:rsid w:val="002A19DC"/>
    <w:rsid w:val="002A60AA"/>
    <w:rsid w:val="002A6A13"/>
    <w:rsid w:val="002A6F82"/>
    <w:rsid w:val="002A76A2"/>
    <w:rsid w:val="002B3415"/>
    <w:rsid w:val="002B5132"/>
    <w:rsid w:val="002B620D"/>
    <w:rsid w:val="002B650E"/>
    <w:rsid w:val="002C0668"/>
    <w:rsid w:val="002C4A24"/>
    <w:rsid w:val="002C657E"/>
    <w:rsid w:val="002C6801"/>
    <w:rsid w:val="002C6D98"/>
    <w:rsid w:val="002D0E4C"/>
    <w:rsid w:val="002D1502"/>
    <w:rsid w:val="002D1B92"/>
    <w:rsid w:val="002D4580"/>
    <w:rsid w:val="002D5DA1"/>
    <w:rsid w:val="002D6FA0"/>
    <w:rsid w:val="002D701D"/>
    <w:rsid w:val="002E1421"/>
    <w:rsid w:val="002E1564"/>
    <w:rsid w:val="002E2104"/>
    <w:rsid w:val="002E50B7"/>
    <w:rsid w:val="002E723F"/>
    <w:rsid w:val="002F10E3"/>
    <w:rsid w:val="002F123E"/>
    <w:rsid w:val="002F269F"/>
    <w:rsid w:val="002F3304"/>
    <w:rsid w:val="002F3EE6"/>
    <w:rsid w:val="002F65A6"/>
    <w:rsid w:val="002F684C"/>
    <w:rsid w:val="002F7277"/>
    <w:rsid w:val="002F73F5"/>
    <w:rsid w:val="003008EE"/>
    <w:rsid w:val="00301718"/>
    <w:rsid w:val="00301D0B"/>
    <w:rsid w:val="0030249A"/>
    <w:rsid w:val="00304640"/>
    <w:rsid w:val="00305161"/>
    <w:rsid w:val="003051F2"/>
    <w:rsid w:val="00305E16"/>
    <w:rsid w:val="00306D53"/>
    <w:rsid w:val="00307063"/>
    <w:rsid w:val="00312ADA"/>
    <w:rsid w:val="00314B42"/>
    <w:rsid w:val="00314FE7"/>
    <w:rsid w:val="00315530"/>
    <w:rsid w:val="00315A8D"/>
    <w:rsid w:val="0031627F"/>
    <w:rsid w:val="003173F6"/>
    <w:rsid w:val="003175B7"/>
    <w:rsid w:val="00317974"/>
    <w:rsid w:val="003203AD"/>
    <w:rsid w:val="003205D4"/>
    <w:rsid w:val="0032288F"/>
    <w:rsid w:val="00323C82"/>
    <w:rsid w:val="00324419"/>
    <w:rsid w:val="00324544"/>
    <w:rsid w:val="00324A7A"/>
    <w:rsid w:val="00324AF5"/>
    <w:rsid w:val="003257DF"/>
    <w:rsid w:val="00326798"/>
    <w:rsid w:val="00326C2B"/>
    <w:rsid w:val="003303D0"/>
    <w:rsid w:val="0033043A"/>
    <w:rsid w:val="00330B71"/>
    <w:rsid w:val="00331330"/>
    <w:rsid w:val="00331EBD"/>
    <w:rsid w:val="0033216D"/>
    <w:rsid w:val="00333D86"/>
    <w:rsid w:val="0033410B"/>
    <w:rsid w:val="00337023"/>
    <w:rsid w:val="003374AC"/>
    <w:rsid w:val="00337A66"/>
    <w:rsid w:val="00340151"/>
    <w:rsid w:val="00340CC2"/>
    <w:rsid w:val="0034161E"/>
    <w:rsid w:val="00342042"/>
    <w:rsid w:val="00343AEB"/>
    <w:rsid w:val="00343E2F"/>
    <w:rsid w:val="0034413A"/>
    <w:rsid w:val="00344548"/>
    <w:rsid w:val="003445B9"/>
    <w:rsid w:val="003446FA"/>
    <w:rsid w:val="0034548E"/>
    <w:rsid w:val="0034582D"/>
    <w:rsid w:val="003458CC"/>
    <w:rsid w:val="00345FE2"/>
    <w:rsid w:val="0035013F"/>
    <w:rsid w:val="003505FA"/>
    <w:rsid w:val="00350F2E"/>
    <w:rsid w:val="00352842"/>
    <w:rsid w:val="00353833"/>
    <w:rsid w:val="003539DF"/>
    <w:rsid w:val="00353D89"/>
    <w:rsid w:val="0035557D"/>
    <w:rsid w:val="0035625A"/>
    <w:rsid w:val="0035715B"/>
    <w:rsid w:val="00357225"/>
    <w:rsid w:val="0036031C"/>
    <w:rsid w:val="00360E37"/>
    <w:rsid w:val="00360EA6"/>
    <w:rsid w:val="00361A4A"/>
    <w:rsid w:val="00363760"/>
    <w:rsid w:val="00363FD7"/>
    <w:rsid w:val="00365190"/>
    <w:rsid w:val="00365923"/>
    <w:rsid w:val="00366041"/>
    <w:rsid w:val="00366AD8"/>
    <w:rsid w:val="00367B3C"/>
    <w:rsid w:val="00370214"/>
    <w:rsid w:val="003719CB"/>
    <w:rsid w:val="00373919"/>
    <w:rsid w:val="00375523"/>
    <w:rsid w:val="00376669"/>
    <w:rsid w:val="00377425"/>
    <w:rsid w:val="003774BC"/>
    <w:rsid w:val="00377719"/>
    <w:rsid w:val="00377926"/>
    <w:rsid w:val="00377B01"/>
    <w:rsid w:val="0038088E"/>
    <w:rsid w:val="003808C5"/>
    <w:rsid w:val="00383742"/>
    <w:rsid w:val="00384EF3"/>
    <w:rsid w:val="003869BD"/>
    <w:rsid w:val="003879E0"/>
    <w:rsid w:val="00387E6B"/>
    <w:rsid w:val="0039075A"/>
    <w:rsid w:val="003907EC"/>
    <w:rsid w:val="00390A8E"/>
    <w:rsid w:val="00390DD2"/>
    <w:rsid w:val="0039190F"/>
    <w:rsid w:val="00394960"/>
    <w:rsid w:val="00394F6F"/>
    <w:rsid w:val="00395B70"/>
    <w:rsid w:val="003965E1"/>
    <w:rsid w:val="0039754D"/>
    <w:rsid w:val="003A1CC2"/>
    <w:rsid w:val="003A2DCC"/>
    <w:rsid w:val="003A487D"/>
    <w:rsid w:val="003A5650"/>
    <w:rsid w:val="003A644E"/>
    <w:rsid w:val="003A6891"/>
    <w:rsid w:val="003A6D67"/>
    <w:rsid w:val="003A75B3"/>
    <w:rsid w:val="003A7721"/>
    <w:rsid w:val="003A78D5"/>
    <w:rsid w:val="003B084E"/>
    <w:rsid w:val="003B32BE"/>
    <w:rsid w:val="003B4654"/>
    <w:rsid w:val="003B4669"/>
    <w:rsid w:val="003B4B09"/>
    <w:rsid w:val="003B5412"/>
    <w:rsid w:val="003B6162"/>
    <w:rsid w:val="003B6528"/>
    <w:rsid w:val="003C2A21"/>
    <w:rsid w:val="003C3138"/>
    <w:rsid w:val="003C4A09"/>
    <w:rsid w:val="003C4C59"/>
    <w:rsid w:val="003C6051"/>
    <w:rsid w:val="003D00A1"/>
    <w:rsid w:val="003D04C2"/>
    <w:rsid w:val="003D06D5"/>
    <w:rsid w:val="003D1131"/>
    <w:rsid w:val="003D2053"/>
    <w:rsid w:val="003D419D"/>
    <w:rsid w:val="003E2105"/>
    <w:rsid w:val="003E2846"/>
    <w:rsid w:val="003E5041"/>
    <w:rsid w:val="003E5073"/>
    <w:rsid w:val="003E551E"/>
    <w:rsid w:val="003E7592"/>
    <w:rsid w:val="003E7803"/>
    <w:rsid w:val="003E7BB5"/>
    <w:rsid w:val="003F1411"/>
    <w:rsid w:val="003F151F"/>
    <w:rsid w:val="003F287A"/>
    <w:rsid w:val="003F3442"/>
    <w:rsid w:val="003F3F89"/>
    <w:rsid w:val="003F421C"/>
    <w:rsid w:val="004002AD"/>
    <w:rsid w:val="0040036D"/>
    <w:rsid w:val="0040040C"/>
    <w:rsid w:val="00401031"/>
    <w:rsid w:val="00403D20"/>
    <w:rsid w:val="004051DD"/>
    <w:rsid w:val="004062F2"/>
    <w:rsid w:val="00407643"/>
    <w:rsid w:val="00410264"/>
    <w:rsid w:val="0041090F"/>
    <w:rsid w:val="0041159B"/>
    <w:rsid w:val="00411B7B"/>
    <w:rsid w:val="00413BCD"/>
    <w:rsid w:val="00414EB4"/>
    <w:rsid w:val="00415393"/>
    <w:rsid w:val="0041562A"/>
    <w:rsid w:val="00415DBD"/>
    <w:rsid w:val="00416100"/>
    <w:rsid w:val="00416160"/>
    <w:rsid w:val="00417E6F"/>
    <w:rsid w:val="00420F96"/>
    <w:rsid w:val="00422728"/>
    <w:rsid w:val="00422A02"/>
    <w:rsid w:val="00422AB7"/>
    <w:rsid w:val="00422C92"/>
    <w:rsid w:val="00422CF7"/>
    <w:rsid w:val="004230F9"/>
    <w:rsid w:val="00423D1C"/>
    <w:rsid w:val="00424FB6"/>
    <w:rsid w:val="004253F0"/>
    <w:rsid w:val="00425590"/>
    <w:rsid w:val="0042692E"/>
    <w:rsid w:val="00427EA8"/>
    <w:rsid w:val="00430402"/>
    <w:rsid w:val="004309D8"/>
    <w:rsid w:val="00430C17"/>
    <w:rsid w:val="0043198B"/>
    <w:rsid w:val="0043250B"/>
    <w:rsid w:val="00432688"/>
    <w:rsid w:val="00432AF7"/>
    <w:rsid w:val="00433C71"/>
    <w:rsid w:val="00434C01"/>
    <w:rsid w:val="00434D91"/>
    <w:rsid w:val="00434FFA"/>
    <w:rsid w:val="00436428"/>
    <w:rsid w:val="0044110E"/>
    <w:rsid w:val="004425AC"/>
    <w:rsid w:val="00442C43"/>
    <w:rsid w:val="00442D15"/>
    <w:rsid w:val="0044366A"/>
    <w:rsid w:val="00443C43"/>
    <w:rsid w:val="00443EDE"/>
    <w:rsid w:val="00444834"/>
    <w:rsid w:val="00445110"/>
    <w:rsid w:val="00446336"/>
    <w:rsid w:val="004504A7"/>
    <w:rsid w:val="0045236C"/>
    <w:rsid w:val="00452C3B"/>
    <w:rsid w:val="004534E5"/>
    <w:rsid w:val="00453734"/>
    <w:rsid w:val="00454778"/>
    <w:rsid w:val="00454D4E"/>
    <w:rsid w:val="004550E9"/>
    <w:rsid w:val="004566CD"/>
    <w:rsid w:val="00456A2B"/>
    <w:rsid w:val="00457F3A"/>
    <w:rsid w:val="00460AFC"/>
    <w:rsid w:val="00461BC8"/>
    <w:rsid w:val="00462137"/>
    <w:rsid w:val="00462F71"/>
    <w:rsid w:val="00463D34"/>
    <w:rsid w:val="0046458D"/>
    <w:rsid w:val="00464B71"/>
    <w:rsid w:val="00464C80"/>
    <w:rsid w:val="00465C03"/>
    <w:rsid w:val="00471A7B"/>
    <w:rsid w:val="0047241E"/>
    <w:rsid w:val="004727D6"/>
    <w:rsid w:val="00477579"/>
    <w:rsid w:val="00477D17"/>
    <w:rsid w:val="00477E5C"/>
    <w:rsid w:val="00482192"/>
    <w:rsid w:val="004835CA"/>
    <w:rsid w:val="004864B7"/>
    <w:rsid w:val="00487433"/>
    <w:rsid w:val="00487D87"/>
    <w:rsid w:val="00490867"/>
    <w:rsid w:val="00490DA3"/>
    <w:rsid w:val="004912AE"/>
    <w:rsid w:val="00492384"/>
    <w:rsid w:val="00492E8C"/>
    <w:rsid w:val="004931BF"/>
    <w:rsid w:val="0049443B"/>
    <w:rsid w:val="00494632"/>
    <w:rsid w:val="004A0338"/>
    <w:rsid w:val="004A0DA2"/>
    <w:rsid w:val="004A34D6"/>
    <w:rsid w:val="004A4CA1"/>
    <w:rsid w:val="004A5228"/>
    <w:rsid w:val="004A594D"/>
    <w:rsid w:val="004A7E7E"/>
    <w:rsid w:val="004B0D1B"/>
    <w:rsid w:val="004B18A4"/>
    <w:rsid w:val="004B1C38"/>
    <w:rsid w:val="004B5C4E"/>
    <w:rsid w:val="004B5E30"/>
    <w:rsid w:val="004B7A4F"/>
    <w:rsid w:val="004B7D2B"/>
    <w:rsid w:val="004C0AEF"/>
    <w:rsid w:val="004C174A"/>
    <w:rsid w:val="004C2CF6"/>
    <w:rsid w:val="004C3E42"/>
    <w:rsid w:val="004C5270"/>
    <w:rsid w:val="004C656E"/>
    <w:rsid w:val="004C7286"/>
    <w:rsid w:val="004C7E5C"/>
    <w:rsid w:val="004D0642"/>
    <w:rsid w:val="004D072A"/>
    <w:rsid w:val="004D202F"/>
    <w:rsid w:val="004D3E20"/>
    <w:rsid w:val="004D509B"/>
    <w:rsid w:val="004D5890"/>
    <w:rsid w:val="004D60EA"/>
    <w:rsid w:val="004D621B"/>
    <w:rsid w:val="004E0D9B"/>
    <w:rsid w:val="004E16EE"/>
    <w:rsid w:val="004E1EFC"/>
    <w:rsid w:val="004E2204"/>
    <w:rsid w:val="004E553F"/>
    <w:rsid w:val="004E6972"/>
    <w:rsid w:val="004E6B84"/>
    <w:rsid w:val="004F0F4B"/>
    <w:rsid w:val="004F1196"/>
    <w:rsid w:val="004F130C"/>
    <w:rsid w:val="004F34E1"/>
    <w:rsid w:val="004F4680"/>
    <w:rsid w:val="004F61FC"/>
    <w:rsid w:val="004F738A"/>
    <w:rsid w:val="004F7A08"/>
    <w:rsid w:val="00500790"/>
    <w:rsid w:val="005011AB"/>
    <w:rsid w:val="00503854"/>
    <w:rsid w:val="00503954"/>
    <w:rsid w:val="005048E5"/>
    <w:rsid w:val="00506AD2"/>
    <w:rsid w:val="00507F39"/>
    <w:rsid w:val="005102A9"/>
    <w:rsid w:val="00510650"/>
    <w:rsid w:val="0051068B"/>
    <w:rsid w:val="005119FB"/>
    <w:rsid w:val="00512CD4"/>
    <w:rsid w:val="005152EB"/>
    <w:rsid w:val="00515A70"/>
    <w:rsid w:val="00515DEB"/>
    <w:rsid w:val="00516083"/>
    <w:rsid w:val="00516ACB"/>
    <w:rsid w:val="005222B8"/>
    <w:rsid w:val="0052399C"/>
    <w:rsid w:val="00524087"/>
    <w:rsid w:val="00524111"/>
    <w:rsid w:val="00525FB7"/>
    <w:rsid w:val="0052683D"/>
    <w:rsid w:val="0052716F"/>
    <w:rsid w:val="00532187"/>
    <w:rsid w:val="00532B10"/>
    <w:rsid w:val="005333A4"/>
    <w:rsid w:val="00534EEE"/>
    <w:rsid w:val="0053526A"/>
    <w:rsid w:val="00535670"/>
    <w:rsid w:val="005358F4"/>
    <w:rsid w:val="0053648B"/>
    <w:rsid w:val="00537425"/>
    <w:rsid w:val="00542796"/>
    <w:rsid w:val="00542BD1"/>
    <w:rsid w:val="00544C2E"/>
    <w:rsid w:val="00545F64"/>
    <w:rsid w:val="00546CC7"/>
    <w:rsid w:val="00547094"/>
    <w:rsid w:val="0054726C"/>
    <w:rsid w:val="005513A9"/>
    <w:rsid w:val="005519EF"/>
    <w:rsid w:val="005528DE"/>
    <w:rsid w:val="00553463"/>
    <w:rsid w:val="00555BAC"/>
    <w:rsid w:val="00555DBF"/>
    <w:rsid w:val="00556456"/>
    <w:rsid w:val="00557C25"/>
    <w:rsid w:val="005617FD"/>
    <w:rsid w:val="00561992"/>
    <w:rsid w:val="005622E5"/>
    <w:rsid w:val="00562D37"/>
    <w:rsid w:val="00563D67"/>
    <w:rsid w:val="00566EAC"/>
    <w:rsid w:val="00573DB3"/>
    <w:rsid w:val="00573F3C"/>
    <w:rsid w:val="00574548"/>
    <w:rsid w:val="00574A15"/>
    <w:rsid w:val="00581A54"/>
    <w:rsid w:val="005829AC"/>
    <w:rsid w:val="005834E1"/>
    <w:rsid w:val="00583ADC"/>
    <w:rsid w:val="0058678A"/>
    <w:rsid w:val="00586C6C"/>
    <w:rsid w:val="005876DA"/>
    <w:rsid w:val="00587F1A"/>
    <w:rsid w:val="00592F68"/>
    <w:rsid w:val="005956ED"/>
    <w:rsid w:val="005957B7"/>
    <w:rsid w:val="00597DE4"/>
    <w:rsid w:val="00597ED3"/>
    <w:rsid w:val="005A0E7C"/>
    <w:rsid w:val="005A4A51"/>
    <w:rsid w:val="005A4DC4"/>
    <w:rsid w:val="005A5552"/>
    <w:rsid w:val="005A5E68"/>
    <w:rsid w:val="005A6440"/>
    <w:rsid w:val="005A6DEA"/>
    <w:rsid w:val="005A79C3"/>
    <w:rsid w:val="005A7AB0"/>
    <w:rsid w:val="005A7CA0"/>
    <w:rsid w:val="005A7CD6"/>
    <w:rsid w:val="005B50D0"/>
    <w:rsid w:val="005B5E20"/>
    <w:rsid w:val="005B7369"/>
    <w:rsid w:val="005B7E0D"/>
    <w:rsid w:val="005C1198"/>
    <w:rsid w:val="005C16FD"/>
    <w:rsid w:val="005C1A8D"/>
    <w:rsid w:val="005C40B9"/>
    <w:rsid w:val="005C4F9B"/>
    <w:rsid w:val="005C6373"/>
    <w:rsid w:val="005D22C2"/>
    <w:rsid w:val="005D24C1"/>
    <w:rsid w:val="005D2F35"/>
    <w:rsid w:val="005D470E"/>
    <w:rsid w:val="005D4883"/>
    <w:rsid w:val="005D5E9A"/>
    <w:rsid w:val="005E04F3"/>
    <w:rsid w:val="005E10F8"/>
    <w:rsid w:val="005E1D3B"/>
    <w:rsid w:val="005E3B33"/>
    <w:rsid w:val="005E44A3"/>
    <w:rsid w:val="005E49BF"/>
    <w:rsid w:val="005E51FA"/>
    <w:rsid w:val="005E5A15"/>
    <w:rsid w:val="005E5CEF"/>
    <w:rsid w:val="005E620B"/>
    <w:rsid w:val="005E6766"/>
    <w:rsid w:val="005F20BA"/>
    <w:rsid w:val="005F2D0E"/>
    <w:rsid w:val="005F450B"/>
    <w:rsid w:val="005F51CC"/>
    <w:rsid w:val="005F60EB"/>
    <w:rsid w:val="005F68B1"/>
    <w:rsid w:val="00603008"/>
    <w:rsid w:val="00604316"/>
    <w:rsid w:val="00604D0A"/>
    <w:rsid w:val="0060622E"/>
    <w:rsid w:val="00606369"/>
    <w:rsid w:val="00607D4B"/>
    <w:rsid w:val="006115A1"/>
    <w:rsid w:val="00613274"/>
    <w:rsid w:val="00613AE6"/>
    <w:rsid w:val="0061539F"/>
    <w:rsid w:val="00617819"/>
    <w:rsid w:val="00620D9B"/>
    <w:rsid w:val="00620DB6"/>
    <w:rsid w:val="0062102C"/>
    <w:rsid w:val="0062286B"/>
    <w:rsid w:val="00622A53"/>
    <w:rsid w:val="00625700"/>
    <w:rsid w:val="00625EEA"/>
    <w:rsid w:val="00626288"/>
    <w:rsid w:val="006265E6"/>
    <w:rsid w:val="00626A23"/>
    <w:rsid w:val="00627449"/>
    <w:rsid w:val="00627EE9"/>
    <w:rsid w:val="006303E9"/>
    <w:rsid w:val="006319B9"/>
    <w:rsid w:val="00632892"/>
    <w:rsid w:val="006331EC"/>
    <w:rsid w:val="006343BD"/>
    <w:rsid w:val="0063476C"/>
    <w:rsid w:val="00635A19"/>
    <w:rsid w:val="006363E0"/>
    <w:rsid w:val="00636F8A"/>
    <w:rsid w:val="00637406"/>
    <w:rsid w:val="00640067"/>
    <w:rsid w:val="0064009F"/>
    <w:rsid w:val="00641026"/>
    <w:rsid w:val="00642A85"/>
    <w:rsid w:val="00646A94"/>
    <w:rsid w:val="00646B6D"/>
    <w:rsid w:val="00646E43"/>
    <w:rsid w:val="00651BEC"/>
    <w:rsid w:val="00651D02"/>
    <w:rsid w:val="0065261A"/>
    <w:rsid w:val="00652E76"/>
    <w:rsid w:val="00653121"/>
    <w:rsid w:val="00655A61"/>
    <w:rsid w:val="00655C50"/>
    <w:rsid w:val="00656641"/>
    <w:rsid w:val="00660B9E"/>
    <w:rsid w:val="00660D15"/>
    <w:rsid w:val="0066250D"/>
    <w:rsid w:val="006637B3"/>
    <w:rsid w:val="00664111"/>
    <w:rsid w:val="006642AD"/>
    <w:rsid w:val="006646E5"/>
    <w:rsid w:val="00666824"/>
    <w:rsid w:val="00667581"/>
    <w:rsid w:val="006720E5"/>
    <w:rsid w:val="006726E0"/>
    <w:rsid w:val="00672DC9"/>
    <w:rsid w:val="00674C4D"/>
    <w:rsid w:val="0067510C"/>
    <w:rsid w:val="0067629A"/>
    <w:rsid w:val="00682562"/>
    <w:rsid w:val="00686DD3"/>
    <w:rsid w:val="00691F24"/>
    <w:rsid w:val="00694383"/>
    <w:rsid w:val="00694582"/>
    <w:rsid w:val="00694E2E"/>
    <w:rsid w:val="006959B8"/>
    <w:rsid w:val="00696DA8"/>
    <w:rsid w:val="00697057"/>
    <w:rsid w:val="006A0384"/>
    <w:rsid w:val="006A0C2E"/>
    <w:rsid w:val="006A10A1"/>
    <w:rsid w:val="006A3BF6"/>
    <w:rsid w:val="006A503A"/>
    <w:rsid w:val="006A59F8"/>
    <w:rsid w:val="006A6277"/>
    <w:rsid w:val="006A753E"/>
    <w:rsid w:val="006B05F8"/>
    <w:rsid w:val="006B0942"/>
    <w:rsid w:val="006B0CC7"/>
    <w:rsid w:val="006B18C2"/>
    <w:rsid w:val="006B52A4"/>
    <w:rsid w:val="006B6C72"/>
    <w:rsid w:val="006B7458"/>
    <w:rsid w:val="006C3E04"/>
    <w:rsid w:val="006C539E"/>
    <w:rsid w:val="006C5CAD"/>
    <w:rsid w:val="006C602E"/>
    <w:rsid w:val="006C63D0"/>
    <w:rsid w:val="006C7896"/>
    <w:rsid w:val="006C7C89"/>
    <w:rsid w:val="006D0682"/>
    <w:rsid w:val="006D0A5D"/>
    <w:rsid w:val="006D3714"/>
    <w:rsid w:val="006D3DDD"/>
    <w:rsid w:val="006D511A"/>
    <w:rsid w:val="006D5DC5"/>
    <w:rsid w:val="006D6593"/>
    <w:rsid w:val="006E117C"/>
    <w:rsid w:val="006E3049"/>
    <w:rsid w:val="006E32F6"/>
    <w:rsid w:val="006E3B0F"/>
    <w:rsid w:val="006E5487"/>
    <w:rsid w:val="006E5816"/>
    <w:rsid w:val="006E6C7B"/>
    <w:rsid w:val="006E7FCE"/>
    <w:rsid w:val="006F2CF4"/>
    <w:rsid w:val="006F338C"/>
    <w:rsid w:val="006F3EB9"/>
    <w:rsid w:val="006F430C"/>
    <w:rsid w:val="006F570B"/>
    <w:rsid w:val="006F65AA"/>
    <w:rsid w:val="006F6E09"/>
    <w:rsid w:val="006F799E"/>
    <w:rsid w:val="006F7AAF"/>
    <w:rsid w:val="00701B19"/>
    <w:rsid w:val="00702AC0"/>
    <w:rsid w:val="007039F9"/>
    <w:rsid w:val="00704CD0"/>
    <w:rsid w:val="00705246"/>
    <w:rsid w:val="007070FF"/>
    <w:rsid w:val="00707AC7"/>
    <w:rsid w:val="00707B83"/>
    <w:rsid w:val="007120DA"/>
    <w:rsid w:val="00714492"/>
    <w:rsid w:val="007171BC"/>
    <w:rsid w:val="00717373"/>
    <w:rsid w:val="007176D2"/>
    <w:rsid w:val="00717F2C"/>
    <w:rsid w:val="0072069B"/>
    <w:rsid w:val="007216DD"/>
    <w:rsid w:val="00722E3D"/>
    <w:rsid w:val="00722F8A"/>
    <w:rsid w:val="00723D98"/>
    <w:rsid w:val="0072423B"/>
    <w:rsid w:val="00724E93"/>
    <w:rsid w:val="007269E4"/>
    <w:rsid w:val="00733116"/>
    <w:rsid w:val="007336EF"/>
    <w:rsid w:val="007341E5"/>
    <w:rsid w:val="00735282"/>
    <w:rsid w:val="00735B7A"/>
    <w:rsid w:val="00736853"/>
    <w:rsid w:val="00736CFB"/>
    <w:rsid w:val="00737AF2"/>
    <w:rsid w:val="00737C11"/>
    <w:rsid w:val="0074047A"/>
    <w:rsid w:val="00742059"/>
    <w:rsid w:val="007447BF"/>
    <w:rsid w:val="00745B16"/>
    <w:rsid w:val="00746095"/>
    <w:rsid w:val="00746906"/>
    <w:rsid w:val="00746F0C"/>
    <w:rsid w:val="00747193"/>
    <w:rsid w:val="007502F7"/>
    <w:rsid w:val="00751DE5"/>
    <w:rsid w:val="007539AF"/>
    <w:rsid w:val="00753F64"/>
    <w:rsid w:val="00754551"/>
    <w:rsid w:val="00754C28"/>
    <w:rsid w:val="00756158"/>
    <w:rsid w:val="0075679C"/>
    <w:rsid w:val="007574E9"/>
    <w:rsid w:val="0076132D"/>
    <w:rsid w:val="007646C6"/>
    <w:rsid w:val="007647FC"/>
    <w:rsid w:val="00771D5C"/>
    <w:rsid w:val="007725A8"/>
    <w:rsid w:val="00772704"/>
    <w:rsid w:val="007731CD"/>
    <w:rsid w:val="00773932"/>
    <w:rsid w:val="00774B5A"/>
    <w:rsid w:val="00775C98"/>
    <w:rsid w:val="00776D48"/>
    <w:rsid w:val="007802AF"/>
    <w:rsid w:val="007807E9"/>
    <w:rsid w:val="00780F71"/>
    <w:rsid w:val="00781059"/>
    <w:rsid w:val="0078215A"/>
    <w:rsid w:val="007828C8"/>
    <w:rsid w:val="00782AF2"/>
    <w:rsid w:val="00782B97"/>
    <w:rsid w:val="007852F4"/>
    <w:rsid w:val="00785318"/>
    <w:rsid w:val="00786239"/>
    <w:rsid w:val="00786A1F"/>
    <w:rsid w:val="0078738D"/>
    <w:rsid w:val="00787F79"/>
    <w:rsid w:val="00790328"/>
    <w:rsid w:val="00791821"/>
    <w:rsid w:val="00792D51"/>
    <w:rsid w:val="0079407E"/>
    <w:rsid w:val="00794608"/>
    <w:rsid w:val="00794987"/>
    <w:rsid w:val="00794A99"/>
    <w:rsid w:val="00795922"/>
    <w:rsid w:val="00796B4B"/>
    <w:rsid w:val="00797984"/>
    <w:rsid w:val="007A0883"/>
    <w:rsid w:val="007A3617"/>
    <w:rsid w:val="007A4F59"/>
    <w:rsid w:val="007A7701"/>
    <w:rsid w:val="007A7D67"/>
    <w:rsid w:val="007B0B8B"/>
    <w:rsid w:val="007B0E95"/>
    <w:rsid w:val="007B1A69"/>
    <w:rsid w:val="007B20CE"/>
    <w:rsid w:val="007B4FEF"/>
    <w:rsid w:val="007B5486"/>
    <w:rsid w:val="007B5A19"/>
    <w:rsid w:val="007C083B"/>
    <w:rsid w:val="007C16C5"/>
    <w:rsid w:val="007C2397"/>
    <w:rsid w:val="007C5BF2"/>
    <w:rsid w:val="007C6382"/>
    <w:rsid w:val="007D049B"/>
    <w:rsid w:val="007D0992"/>
    <w:rsid w:val="007D1306"/>
    <w:rsid w:val="007D241D"/>
    <w:rsid w:val="007D4DAB"/>
    <w:rsid w:val="007D4E73"/>
    <w:rsid w:val="007D70BC"/>
    <w:rsid w:val="007E0B16"/>
    <w:rsid w:val="007E0E2D"/>
    <w:rsid w:val="007E2217"/>
    <w:rsid w:val="007E38D2"/>
    <w:rsid w:val="007E45C0"/>
    <w:rsid w:val="007E5B5C"/>
    <w:rsid w:val="007E5C90"/>
    <w:rsid w:val="007E7977"/>
    <w:rsid w:val="007F138E"/>
    <w:rsid w:val="007F4718"/>
    <w:rsid w:val="007F6BD4"/>
    <w:rsid w:val="007F7745"/>
    <w:rsid w:val="007F7AEF"/>
    <w:rsid w:val="00801118"/>
    <w:rsid w:val="008044CF"/>
    <w:rsid w:val="00804A64"/>
    <w:rsid w:val="0080538E"/>
    <w:rsid w:val="00805872"/>
    <w:rsid w:val="00807CA8"/>
    <w:rsid w:val="00810BBC"/>
    <w:rsid w:val="00810EFD"/>
    <w:rsid w:val="00812F8C"/>
    <w:rsid w:val="008132FF"/>
    <w:rsid w:val="0081443B"/>
    <w:rsid w:val="00814E79"/>
    <w:rsid w:val="0081607F"/>
    <w:rsid w:val="00817FA0"/>
    <w:rsid w:val="00820FB5"/>
    <w:rsid w:val="00821613"/>
    <w:rsid w:val="00822669"/>
    <w:rsid w:val="00823056"/>
    <w:rsid w:val="008233E9"/>
    <w:rsid w:val="00823520"/>
    <w:rsid w:val="00824475"/>
    <w:rsid w:val="008246C6"/>
    <w:rsid w:val="00824F15"/>
    <w:rsid w:val="00825A8E"/>
    <w:rsid w:val="00826A3B"/>
    <w:rsid w:val="00827D21"/>
    <w:rsid w:val="00827E7B"/>
    <w:rsid w:val="008309FA"/>
    <w:rsid w:val="00830D81"/>
    <w:rsid w:val="00831260"/>
    <w:rsid w:val="00831B7C"/>
    <w:rsid w:val="008327F4"/>
    <w:rsid w:val="008328C2"/>
    <w:rsid w:val="00833E51"/>
    <w:rsid w:val="008343C8"/>
    <w:rsid w:val="00834B65"/>
    <w:rsid w:val="00834EDF"/>
    <w:rsid w:val="008353BC"/>
    <w:rsid w:val="00835772"/>
    <w:rsid w:val="0083738C"/>
    <w:rsid w:val="00844B02"/>
    <w:rsid w:val="008456E6"/>
    <w:rsid w:val="00850E7E"/>
    <w:rsid w:val="00850E8D"/>
    <w:rsid w:val="00851549"/>
    <w:rsid w:val="008521C3"/>
    <w:rsid w:val="00853136"/>
    <w:rsid w:val="00853873"/>
    <w:rsid w:val="008546A3"/>
    <w:rsid w:val="00854CFE"/>
    <w:rsid w:val="008561E6"/>
    <w:rsid w:val="00857CF3"/>
    <w:rsid w:val="0086024E"/>
    <w:rsid w:val="00860317"/>
    <w:rsid w:val="0086106F"/>
    <w:rsid w:val="00861542"/>
    <w:rsid w:val="00861AFA"/>
    <w:rsid w:val="0086204B"/>
    <w:rsid w:val="008642FE"/>
    <w:rsid w:val="008654E9"/>
    <w:rsid w:val="00867290"/>
    <w:rsid w:val="00870E38"/>
    <w:rsid w:val="00870FC0"/>
    <w:rsid w:val="008718CE"/>
    <w:rsid w:val="00871F58"/>
    <w:rsid w:val="00872E99"/>
    <w:rsid w:val="008739C7"/>
    <w:rsid w:val="0087401B"/>
    <w:rsid w:val="00875403"/>
    <w:rsid w:val="00880124"/>
    <w:rsid w:val="00880341"/>
    <w:rsid w:val="0088101E"/>
    <w:rsid w:val="0088185B"/>
    <w:rsid w:val="00881EB7"/>
    <w:rsid w:val="00883177"/>
    <w:rsid w:val="00885380"/>
    <w:rsid w:val="00886694"/>
    <w:rsid w:val="00887739"/>
    <w:rsid w:val="00891868"/>
    <w:rsid w:val="008919BF"/>
    <w:rsid w:val="00892B13"/>
    <w:rsid w:val="00892EE4"/>
    <w:rsid w:val="0089378A"/>
    <w:rsid w:val="00896023"/>
    <w:rsid w:val="008963F3"/>
    <w:rsid w:val="00896791"/>
    <w:rsid w:val="00897181"/>
    <w:rsid w:val="00897A3A"/>
    <w:rsid w:val="008A0643"/>
    <w:rsid w:val="008A090A"/>
    <w:rsid w:val="008A0EF7"/>
    <w:rsid w:val="008A16F9"/>
    <w:rsid w:val="008A33D9"/>
    <w:rsid w:val="008A4E0D"/>
    <w:rsid w:val="008A6426"/>
    <w:rsid w:val="008A6DA8"/>
    <w:rsid w:val="008A7260"/>
    <w:rsid w:val="008A77B4"/>
    <w:rsid w:val="008B070C"/>
    <w:rsid w:val="008B0C35"/>
    <w:rsid w:val="008B1D76"/>
    <w:rsid w:val="008B4AEF"/>
    <w:rsid w:val="008B6B77"/>
    <w:rsid w:val="008B7B89"/>
    <w:rsid w:val="008C1583"/>
    <w:rsid w:val="008C1E93"/>
    <w:rsid w:val="008C305E"/>
    <w:rsid w:val="008C3E6E"/>
    <w:rsid w:val="008C425D"/>
    <w:rsid w:val="008C494A"/>
    <w:rsid w:val="008C4E23"/>
    <w:rsid w:val="008C4F92"/>
    <w:rsid w:val="008C5109"/>
    <w:rsid w:val="008C57A6"/>
    <w:rsid w:val="008C59E5"/>
    <w:rsid w:val="008D0418"/>
    <w:rsid w:val="008D0C5E"/>
    <w:rsid w:val="008D12D5"/>
    <w:rsid w:val="008D1C48"/>
    <w:rsid w:val="008D2060"/>
    <w:rsid w:val="008D3EA4"/>
    <w:rsid w:val="008D4477"/>
    <w:rsid w:val="008D50C3"/>
    <w:rsid w:val="008D54DF"/>
    <w:rsid w:val="008D55D0"/>
    <w:rsid w:val="008D5693"/>
    <w:rsid w:val="008D7AE5"/>
    <w:rsid w:val="008D7BA5"/>
    <w:rsid w:val="008D7BD7"/>
    <w:rsid w:val="008D7DF8"/>
    <w:rsid w:val="008E16FA"/>
    <w:rsid w:val="008E1C05"/>
    <w:rsid w:val="008E3767"/>
    <w:rsid w:val="008E3B14"/>
    <w:rsid w:val="008E499E"/>
    <w:rsid w:val="008E4A50"/>
    <w:rsid w:val="008E6E54"/>
    <w:rsid w:val="008E7D7D"/>
    <w:rsid w:val="008F07E9"/>
    <w:rsid w:val="008F08A9"/>
    <w:rsid w:val="008F0B10"/>
    <w:rsid w:val="008F2E09"/>
    <w:rsid w:val="008F31B3"/>
    <w:rsid w:val="008F3689"/>
    <w:rsid w:val="008F4152"/>
    <w:rsid w:val="008F5171"/>
    <w:rsid w:val="008F5B3A"/>
    <w:rsid w:val="008F7277"/>
    <w:rsid w:val="00900BA4"/>
    <w:rsid w:val="00903C5A"/>
    <w:rsid w:val="009048C4"/>
    <w:rsid w:val="0090532F"/>
    <w:rsid w:val="00905339"/>
    <w:rsid w:val="00906AE2"/>
    <w:rsid w:val="00906D96"/>
    <w:rsid w:val="00907DB6"/>
    <w:rsid w:val="009101A9"/>
    <w:rsid w:val="00910F5D"/>
    <w:rsid w:val="00911279"/>
    <w:rsid w:val="00911E44"/>
    <w:rsid w:val="009121B3"/>
    <w:rsid w:val="009121D6"/>
    <w:rsid w:val="009122F9"/>
    <w:rsid w:val="00913179"/>
    <w:rsid w:val="009133C5"/>
    <w:rsid w:val="00913C99"/>
    <w:rsid w:val="009172ED"/>
    <w:rsid w:val="00917981"/>
    <w:rsid w:val="00922526"/>
    <w:rsid w:val="0092431F"/>
    <w:rsid w:val="00924CBE"/>
    <w:rsid w:val="00925875"/>
    <w:rsid w:val="00926BF2"/>
    <w:rsid w:val="0092719B"/>
    <w:rsid w:val="00927A03"/>
    <w:rsid w:val="00931577"/>
    <w:rsid w:val="00931F63"/>
    <w:rsid w:val="00934A15"/>
    <w:rsid w:val="00934E31"/>
    <w:rsid w:val="00935052"/>
    <w:rsid w:val="009355C2"/>
    <w:rsid w:val="00937D57"/>
    <w:rsid w:val="009460FF"/>
    <w:rsid w:val="00947DC8"/>
    <w:rsid w:val="009500FF"/>
    <w:rsid w:val="00950A24"/>
    <w:rsid w:val="009537BF"/>
    <w:rsid w:val="00954BD5"/>
    <w:rsid w:val="00957CD2"/>
    <w:rsid w:val="009605E8"/>
    <w:rsid w:val="00961283"/>
    <w:rsid w:val="00962996"/>
    <w:rsid w:val="00962F72"/>
    <w:rsid w:val="009635A3"/>
    <w:rsid w:val="00964CF3"/>
    <w:rsid w:val="0096538B"/>
    <w:rsid w:val="009677D9"/>
    <w:rsid w:val="00972038"/>
    <w:rsid w:val="00972A84"/>
    <w:rsid w:val="00972BCA"/>
    <w:rsid w:val="0097533F"/>
    <w:rsid w:val="00976500"/>
    <w:rsid w:val="00980C7C"/>
    <w:rsid w:val="0098212A"/>
    <w:rsid w:val="00983EB3"/>
    <w:rsid w:val="00984010"/>
    <w:rsid w:val="00984B3D"/>
    <w:rsid w:val="00986CC7"/>
    <w:rsid w:val="009901D8"/>
    <w:rsid w:val="0099030B"/>
    <w:rsid w:val="009904E9"/>
    <w:rsid w:val="00991007"/>
    <w:rsid w:val="009911DE"/>
    <w:rsid w:val="00991303"/>
    <w:rsid w:val="00991F26"/>
    <w:rsid w:val="009950EE"/>
    <w:rsid w:val="009A07B2"/>
    <w:rsid w:val="009A31F8"/>
    <w:rsid w:val="009A3286"/>
    <w:rsid w:val="009A3780"/>
    <w:rsid w:val="009A4F25"/>
    <w:rsid w:val="009A5E9C"/>
    <w:rsid w:val="009B10A6"/>
    <w:rsid w:val="009B11FD"/>
    <w:rsid w:val="009B14DC"/>
    <w:rsid w:val="009B1FCE"/>
    <w:rsid w:val="009B54A9"/>
    <w:rsid w:val="009B5C58"/>
    <w:rsid w:val="009B68F2"/>
    <w:rsid w:val="009B6942"/>
    <w:rsid w:val="009B6EBE"/>
    <w:rsid w:val="009B7291"/>
    <w:rsid w:val="009B766B"/>
    <w:rsid w:val="009B76E3"/>
    <w:rsid w:val="009C59D7"/>
    <w:rsid w:val="009C6751"/>
    <w:rsid w:val="009C67E4"/>
    <w:rsid w:val="009C760E"/>
    <w:rsid w:val="009D1047"/>
    <w:rsid w:val="009D141F"/>
    <w:rsid w:val="009D1634"/>
    <w:rsid w:val="009D2639"/>
    <w:rsid w:val="009D34EA"/>
    <w:rsid w:val="009D3A37"/>
    <w:rsid w:val="009D5EC1"/>
    <w:rsid w:val="009D691F"/>
    <w:rsid w:val="009D6922"/>
    <w:rsid w:val="009E0BB0"/>
    <w:rsid w:val="009E14B8"/>
    <w:rsid w:val="009E215F"/>
    <w:rsid w:val="009F0F55"/>
    <w:rsid w:val="009F1FEB"/>
    <w:rsid w:val="009F29F2"/>
    <w:rsid w:val="009F2F68"/>
    <w:rsid w:val="009F3148"/>
    <w:rsid w:val="009F3DE0"/>
    <w:rsid w:val="009F5177"/>
    <w:rsid w:val="009F6490"/>
    <w:rsid w:val="009F6D21"/>
    <w:rsid w:val="009F6DE3"/>
    <w:rsid w:val="00A00B47"/>
    <w:rsid w:val="00A01F38"/>
    <w:rsid w:val="00A0394C"/>
    <w:rsid w:val="00A0396D"/>
    <w:rsid w:val="00A03D44"/>
    <w:rsid w:val="00A04167"/>
    <w:rsid w:val="00A07447"/>
    <w:rsid w:val="00A07EBA"/>
    <w:rsid w:val="00A10760"/>
    <w:rsid w:val="00A141AB"/>
    <w:rsid w:val="00A14E9A"/>
    <w:rsid w:val="00A159B9"/>
    <w:rsid w:val="00A17A3E"/>
    <w:rsid w:val="00A17A95"/>
    <w:rsid w:val="00A2120D"/>
    <w:rsid w:val="00A22FF1"/>
    <w:rsid w:val="00A231C8"/>
    <w:rsid w:val="00A23C2E"/>
    <w:rsid w:val="00A246AE"/>
    <w:rsid w:val="00A24958"/>
    <w:rsid w:val="00A24A1C"/>
    <w:rsid w:val="00A25F84"/>
    <w:rsid w:val="00A26BF8"/>
    <w:rsid w:val="00A27E7C"/>
    <w:rsid w:val="00A308A4"/>
    <w:rsid w:val="00A31458"/>
    <w:rsid w:val="00A3162A"/>
    <w:rsid w:val="00A31F6F"/>
    <w:rsid w:val="00A3283B"/>
    <w:rsid w:val="00A34461"/>
    <w:rsid w:val="00A354E1"/>
    <w:rsid w:val="00A41A54"/>
    <w:rsid w:val="00A45D9F"/>
    <w:rsid w:val="00A47B00"/>
    <w:rsid w:val="00A51B84"/>
    <w:rsid w:val="00A576D6"/>
    <w:rsid w:val="00A57A78"/>
    <w:rsid w:val="00A64472"/>
    <w:rsid w:val="00A6589D"/>
    <w:rsid w:val="00A67013"/>
    <w:rsid w:val="00A672DC"/>
    <w:rsid w:val="00A71EEB"/>
    <w:rsid w:val="00A72ED5"/>
    <w:rsid w:val="00A72FC9"/>
    <w:rsid w:val="00A7368D"/>
    <w:rsid w:val="00A738A5"/>
    <w:rsid w:val="00A73DB7"/>
    <w:rsid w:val="00A73F8B"/>
    <w:rsid w:val="00A745E3"/>
    <w:rsid w:val="00A76468"/>
    <w:rsid w:val="00A800C1"/>
    <w:rsid w:val="00A849DE"/>
    <w:rsid w:val="00A84C88"/>
    <w:rsid w:val="00A8507D"/>
    <w:rsid w:val="00A85DC1"/>
    <w:rsid w:val="00A8621E"/>
    <w:rsid w:val="00A87C3C"/>
    <w:rsid w:val="00A9053B"/>
    <w:rsid w:val="00A91163"/>
    <w:rsid w:val="00A91D1D"/>
    <w:rsid w:val="00A92933"/>
    <w:rsid w:val="00A94A19"/>
    <w:rsid w:val="00A94F78"/>
    <w:rsid w:val="00A95410"/>
    <w:rsid w:val="00A9580A"/>
    <w:rsid w:val="00A95B3B"/>
    <w:rsid w:val="00A97311"/>
    <w:rsid w:val="00A97D8A"/>
    <w:rsid w:val="00AA08A9"/>
    <w:rsid w:val="00AA0A45"/>
    <w:rsid w:val="00AA379F"/>
    <w:rsid w:val="00AA4C8D"/>
    <w:rsid w:val="00AA7C28"/>
    <w:rsid w:val="00AA7E57"/>
    <w:rsid w:val="00AA7F84"/>
    <w:rsid w:val="00AB089E"/>
    <w:rsid w:val="00AB090E"/>
    <w:rsid w:val="00AB27E1"/>
    <w:rsid w:val="00AB34DE"/>
    <w:rsid w:val="00AB5BAD"/>
    <w:rsid w:val="00AB772C"/>
    <w:rsid w:val="00AB791D"/>
    <w:rsid w:val="00AB7A28"/>
    <w:rsid w:val="00AC01B1"/>
    <w:rsid w:val="00AC426C"/>
    <w:rsid w:val="00AC42EF"/>
    <w:rsid w:val="00AC6EEE"/>
    <w:rsid w:val="00AD0782"/>
    <w:rsid w:val="00AD1A2B"/>
    <w:rsid w:val="00AD1EB5"/>
    <w:rsid w:val="00AD3194"/>
    <w:rsid w:val="00AD49C8"/>
    <w:rsid w:val="00AD50DD"/>
    <w:rsid w:val="00AD529C"/>
    <w:rsid w:val="00AD5531"/>
    <w:rsid w:val="00AD6322"/>
    <w:rsid w:val="00AD6517"/>
    <w:rsid w:val="00AD656B"/>
    <w:rsid w:val="00AD6CC7"/>
    <w:rsid w:val="00AD76D8"/>
    <w:rsid w:val="00AE0196"/>
    <w:rsid w:val="00AE4E19"/>
    <w:rsid w:val="00AE4F0D"/>
    <w:rsid w:val="00AE7826"/>
    <w:rsid w:val="00AF1024"/>
    <w:rsid w:val="00AF30DA"/>
    <w:rsid w:val="00AF3901"/>
    <w:rsid w:val="00AF3F99"/>
    <w:rsid w:val="00AF4418"/>
    <w:rsid w:val="00AF51C9"/>
    <w:rsid w:val="00AF5639"/>
    <w:rsid w:val="00AF5A90"/>
    <w:rsid w:val="00AF5B80"/>
    <w:rsid w:val="00AF5BC5"/>
    <w:rsid w:val="00AF632F"/>
    <w:rsid w:val="00AF76EC"/>
    <w:rsid w:val="00AF7CF4"/>
    <w:rsid w:val="00B00098"/>
    <w:rsid w:val="00B00448"/>
    <w:rsid w:val="00B0068F"/>
    <w:rsid w:val="00B0143A"/>
    <w:rsid w:val="00B01D5E"/>
    <w:rsid w:val="00B023FB"/>
    <w:rsid w:val="00B0316F"/>
    <w:rsid w:val="00B0353F"/>
    <w:rsid w:val="00B050BD"/>
    <w:rsid w:val="00B06489"/>
    <w:rsid w:val="00B102E8"/>
    <w:rsid w:val="00B11CD0"/>
    <w:rsid w:val="00B1257F"/>
    <w:rsid w:val="00B131EB"/>
    <w:rsid w:val="00B14274"/>
    <w:rsid w:val="00B15991"/>
    <w:rsid w:val="00B16DC1"/>
    <w:rsid w:val="00B203D3"/>
    <w:rsid w:val="00B204FA"/>
    <w:rsid w:val="00B2114D"/>
    <w:rsid w:val="00B21CD5"/>
    <w:rsid w:val="00B21F2A"/>
    <w:rsid w:val="00B224D8"/>
    <w:rsid w:val="00B22AD9"/>
    <w:rsid w:val="00B22B42"/>
    <w:rsid w:val="00B23916"/>
    <w:rsid w:val="00B25164"/>
    <w:rsid w:val="00B25F98"/>
    <w:rsid w:val="00B260DF"/>
    <w:rsid w:val="00B26CD4"/>
    <w:rsid w:val="00B27B9F"/>
    <w:rsid w:val="00B303B7"/>
    <w:rsid w:val="00B326EB"/>
    <w:rsid w:val="00B337EB"/>
    <w:rsid w:val="00B36134"/>
    <w:rsid w:val="00B36F96"/>
    <w:rsid w:val="00B37B98"/>
    <w:rsid w:val="00B405AA"/>
    <w:rsid w:val="00B4085C"/>
    <w:rsid w:val="00B40DF0"/>
    <w:rsid w:val="00B4385E"/>
    <w:rsid w:val="00B46FA4"/>
    <w:rsid w:val="00B47488"/>
    <w:rsid w:val="00B51323"/>
    <w:rsid w:val="00B515BB"/>
    <w:rsid w:val="00B52B6B"/>
    <w:rsid w:val="00B54460"/>
    <w:rsid w:val="00B546E0"/>
    <w:rsid w:val="00B5583C"/>
    <w:rsid w:val="00B561F8"/>
    <w:rsid w:val="00B60FA4"/>
    <w:rsid w:val="00B61EB8"/>
    <w:rsid w:val="00B6327A"/>
    <w:rsid w:val="00B63E25"/>
    <w:rsid w:val="00B63FB7"/>
    <w:rsid w:val="00B644B5"/>
    <w:rsid w:val="00B658B4"/>
    <w:rsid w:val="00B662FC"/>
    <w:rsid w:val="00B6675F"/>
    <w:rsid w:val="00B679CA"/>
    <w:rsid w:val="00B67D37"/>
    <w:rsid w:val="00B709C3"/>
    <w:rsid w:val="00B71C87"/>
    <w:rsid w:val="00B7343B"/>
    <w:rsid w:val="00B73C38"/>
    <w:rsid w:val="00B741CF"/>
    <w:rsid w:val="00B77A0C"/>
    <w:rsid w:val="00B800C4"/>
    <w:rsid w:val="00B81B75"/>
    <w:rsid w:val="00B83930"/>
    <w:rsid w:val="00B84FB3"/>
    <w:rsid w:val="00B8696E"/>
    <w:rsid w:val="00B905F3"/>
    <w:rsid w:val="00B92260"/>
    <w:rsid w:val="00B93231"/>
    <w:rsid w:val="00B93425"/>
    <w:rsid w:val="00B9614F"/>
    <w:rsid w:val="00BA2C73"/>
    <w:rsid w:val="00BA3E33"/>
    <w:rsid w:val="00BA4D43"/>
    <w:rsid w:val="00BA556D"/>
    <w:rsid w:val="00BA64F7"/>
    <w:rsid w:val="00BB2DF3"/>
    <w:rsid w:val="00BB3A45"/>
    <w:rsid w:val="00BB41C4"/>
    <w:rsid w:val="00BB4BB2"/>
    <w:rsid w:val="00BB609A"/>
    <w:rsid w:val="00BB7699"/>
    <w:rsid w:val="00BC0682"/>
    <w:rsid w:val="00BC0D35"/>
    <w:rsid w:val="00BC43BE"/>
    <w:rsid w:val="00BC4838"/>
    <w:rsid w:val="00BC58C4"/>
    <w:rsid w:val="00BC5EC1"/>
    <w:rsid w:val="00BC60FB"/>
    <w:rsid w:val="00BD01FC"/>
    <w:rsid w:val="00BD3196"/>
    <w:rsid w:val="00BD5A28"/>
    <w:rsid w:val="00BE0B16"/>
    <w:rsid w:val="00BE2394"/>
    <w:rsid w:val="00BE33F1"/>
    <w:rsid w:val="00BE462B"/>
    <w:rsid w:val="00BE4FFF"/>
    <w:rsid w:val="00BE62DA"/>
    <w:rsid w:val="00BF0534"/>
    <w:rsid w:val="00BF0FD0"/>
    <w:rsid w:val="00BF28A1"/>
    <w:rsid w:val="00BF7CD4"/>
    <w:rsid w:val="00C02E7B"/>
    <w:rsid w:val="00C06301"/>
    <w:rsid w:val="00C0700B"/>
    <w:rsid w:val="00C10805"/>
    <w:rsid w:val="00C115C0"/>
    <w:rsid w:val="00C1282E"/>
    <w:rsid w:val="00C13DBC"/>
    <w:rsid w:val="00C1481D"/>
    <w:rsid w:val="00C14852"/>
    <w:rsid w:val="00C14B64"/>
    <w:rsid w:val="00C15372"/>
    <w:rsid w:val="00C16CE5"/>
    <w:rsid w:val="00C17B4C"/>
    <w:rsid w:val="00C17EA5"/>
    <w:rsid w:val="00C201DA"/>
    <w:rsid w:val="00C20598"/>
    <w:rsid w:val="00C229ED"/>
    <w:rsid w:val="00C2335A"/>
    <w:rsid w:val="00C23D4E"/>
    <w:rsid w:val="00C2403E"/>
    <w:rsid w:val="00C26246"/>
    <w:rsid w:val="00C26C76"/>
    <w:rsid w:val="00C2738B"/>
    <w:rsid w:val="00C27D34"/>
    <w:rsid w:val="00C30654"/>
    <w:rsid w:val="00C30A74"/>
    <w:rsid w:val="00C324BE"/>
    <w:rsid w:val="00C328CF"/>
    <w:rsid w:val="00C342B3"/>
    <w:rsid w:val="00C34858"/>
    <w:rsid w:val="00C34E0D"/>
    <w:rsid w:val="00C34E37"/>
    <w:rsid w:val="00C35779"/>
    <w:rsid w:val="00C36D3C"/>
    <w:rsid w:val="00C3709F"/>
    <w:rsid w:val="00C37385"/>
    <w:rsid w:val="00C378AA"/>
    <w:rsid w:val="00C37BB4"/>
    <w:rsid w:val="00C41A65"/>
    <w:rsid w:val="00C442B3"/>
    <w:rsid w:val="00C446E8"/>
    <w:rsid w:val="00C458C4"/>
    <w:rsid w:val="00C45F25"/>
    <w:rsid w:val="00C50052"/>
    <w:rsid w:val="00C516A7"/>
    <w:rsid w:val="00C540B8"/>
    <w:rsid w:val="00C568F5"/>
    <w:rsid w:val="00C572A2"/>
    <w:rsid w:val="00C57C3C"/>
    <w:rsid w:val="00C57E59"/>
    <w:rsid w:val="00C6070B"/>
    <w:rsid w:val="00C63B59"/>
    <w:rsid w:val="00C6793E"/>
    <w:rsid w:val="00C70898"/>
    <w:rsid w:val="00C70C6B"/>
    <w:rsid w:val="00C71E14"/>
    <w:rsid w:val="00C735CD"/>
    <w:rsid w:val="00C74401"/>
    <w:rsid w:val="00C74F74"/>
    <w:rsid w:val="00C75186"/>
    <w:rsid w:val="00C75C42"/>
    <w:rsid w:val="00C76151"/>
    <w:rsid w:val="00C764AE"/>
    <w:rsid w:val="00C7675B"/>
    <w:rsid w:val="00C772CF"/>
    <w:rsid w:val="00C77BE6"/>
    <w:rsid w:val="00C813FB"/>
    <w:rsid w:val="00C83069"/>
    <w:rsid w:val="00C83580"/>
    <w:rsid w:val="00C83B2D"/>
    <w:rsid w:val="00C83E35"/>
    <w:rsid w:val="00C840C2"/>
    <w:rsid w:val="00C85CBD"/>
    <w:rsid w:val="00C85DF6"/>
    <w:rsid w:val="00C868A0"/>
    <w:rsid w:val="00C91EB7"/>
    <w:rsid w:val="00C92B37"/>
    <w:rsid w:val="00C932CC"/>
    <w:rsid w:val="00C938B5"/>
    <w:rsid w:val="00C956A6"/>
    <w:rsid w:val="00C96E00"/>
    <w:rsid w:val="00CA1157"/>
    <w:rsid w:val="00CA23CE"/>
    <w:rsid w:val="00CA258B"/>
    <w:rsid w:val="00CA2ACC"/>
    <w:rsid w:val="00CA3AD1"/>
    <w:rsid w:val="00CA3C79"/>
    <w:rsid w:val="00CA425B"/>
    <w:rsid w:val="00CA47CA"/>
    <w:rsid w:val="00CA48AF"/>
    <w:rsid w:val="00CA6058"/>
    <w:rsid w:val="00CB00A6"/>
    <w:rsid w:val="00CB079C"/>
    <w:rsid w:val="00CB0B2B"/>
    <w:rsid w:val="00CB3B34"/>
    <w:rsid w:val="00CB4007"/>
    <w:rsid w:val="00CB4DDD"/>
    <w:rsid w:val="00CB55CE"/>
    <w:rsid w:val="00CB5948"/>
    <w:rsid w:val="00CB6136"/>
    <w:rsid w:val="00CC00E1"/>
    <w:rsid w:val="00CC0DDC"/>
    <w:rsid w:val="00CC0FCE"/>
    <w:rsid w:val="00CC1184"/>
    <w:rsid w:val="00CC1545"/>
    <w:rsid w:val="00CC2065"/>
    <w:rsid w:val="00CC25EC"/>
    <w:rsid w:val="00CC2BDC"/>
    <w:rsid w:val="00CC3776"/>
    <w:rsid w:val="00CC38C7"/>
    <w:rsid w:val="00CC3CC1"/>
    <w:rsid w:val="00CD139F"/>
    <w:rsid w:val="00CD1B25"/>
    <w:rsid w:val="00CD2BE8"/>
    <w:rsid w:val="00CD3384"/>
    <w:rsid w:val="00CD6355"/>
    <w:rsid w:val="00CE0612"/>
    <w:rsid w:val="00CE203F"/>
    <w:rsid w:val="00CE3A68"/>
    <w:rsid w:val="00CE3F35"/>
    <w:rsid w:val="00CE3FAA"/>
    <w:rsid w:val="00CE434D"/>
    <w:rsid w:val="00CE485C"/>
    <w:rsid w:val="00CE4C33"/>
    <w:rsid w:val="00CE52D2"/>
    <w:rsid w:val="00CE53F7"/>
    <w:rsid w:val="00CE57BA"/>
    <w:rsid w:val="00CE5ABC"/>
    <w:rsid w:val="00CE690B"/>
    <w:rsid w:val="00CF05A0"/>
    <w:rsid w:val="00CF06F4"/>
    <w:rsid w:val="00CF376C"/>
    <w:rsid w:val="00CF4701"/>
    <w:rsid w:val="00CF558D"/>
    <w:rsid w:val="00CF74E7"/>
    <w:rsid w:val="00CF7B28"/>
    <w:rsid w:val="00CF7DA4"/>
    <w:rsid w:val="00D00FCD"/>
    <w:rsid w:val="00D01984"/>
    <w:rsid w:val="00D02367"/>
    <w:rsid w:val="00D02490"/>
    <w:rsid w:val="00D0263D"/>
    <w:rsid w:val="00D02EDB"/>
    <w:rsid w:val="00D05CB3"/>
    <w:rsid w:val="00D10F52"/>
    <w:rsid w:val="00D14A1D"/>
    <w:rsid w:val="00D17A36"/>
    <w:rsid w:val="00D2007C"/>
    <w:rsid w:val="00D2172B"/>
    <w:rsid w:val="00D21733"/>
    <w:rsid w:val="00D22F4E"/>
    <w:rsid w:val="00D239AF"/>
    <w:rsid w:val="00D253A4"/>
    <w:rsid w:val="00D258E7"/>
    <w:rsid w:val="00D25DE5"/>
    <w:rsid w:val="00D25EB2"/>
    <w:rsid w:val="00D26F05"/>
    <w:rsid w:val="00D30DEB"/>
    <w:rsid w:val="00D315C0"/>
    <w:rsid w:val="00D32ED4"/>
    <w:rsid w:val="00D34C0F"/>
    <w:rsid w:val="00D370C3"/>
    <w:rsid w:val="00D40BED"/>
    <w:rsid w:val="00D411F5"/>
    <w:rsid w:val="00D41E63"/>
    <w:rsid w:val="00D43309"/>
    <w:rsid w:val="00D461BD"/>
    <w:rsid w:val="00D4688C"/>
    <w:rsid w:val="00D47C9E"/>
    <w:rsid w:val="00D50211"/>
    <w:rsid w:val="00D50850"/>
    <w:rsid w:val="00D5403A"/>
    <w:rsid w:val="00D568B7"/>
    <w:rsid w:val="00D57508"/>
    <w:rsid w:val="00D57F44"/>
    <w:rsid w:val="00D60AE7"/>
    <w:rsid w:val="00D6173F"/>
    <w:rsid w:val="00D624CB"/>
    <w:rsid w:val="00D641A9"/>
    <w:rsid w:val="00D66D23"/>
    <w:rsid w:val="00D67537"/>
    <w:rsid w:val="00D709A3"/>
    <w:rsid w:val="00D70B0C"/>
    <w:rsid w:val="00D7237B"/>
    <w:rsid w:val="00D733CD"/>
    <w:rsid w:val="00D73E0F"/>
    <w:rsid w:val="00D7475E"/>
    <w:rsid w:val="00D75C94"/>
    <w:rsid w:val="00D7680D"/>
    <w:rsid w:val="00D7727E"/>
    <w:rsid w:val="00D849E1"/>
    <w:rsid w:val="00D873A5"/>
    <w:rsid w:val="00D94258"/>
    <w:rsid w:val="00D95A90"/>
    <w:rsid w:val="00DA36BB"/>
    <w:rsid w:val="00DA5416"/>
    <w:rsid w:val="00DB00DE"/>
    <w:rsid w:val="00DB1D1A"/>
    <w:rsid w:val="00DB1F83"/>
    <w:rsid w:val="00DB22B7"/>
    <w:rsid w:val="00DB24D8"/>
    <w:rsid w:val="00DB523F"/>
    <w:rsid w:val="00DB5AC2"/>
    <w:rsid w:val="00DB62CA"/>
    <w:rsid w:val="00DB644A"/>
    <w:rsid w:val="00DB6EB7"/>
    <w:rsid w:val="00DB758E"/>
    <w:rsid w:val="00DC1055"/>
    <w:rsid w:val="00DC10A1"/>
    <w:rsid w:val="00DC3440"/>
    <w:rsid w:val="00DC64A0"/>
    <w:rsid w:val="00DC784B"/>
    <w:rsid w:val="00DD1406"/>
    <w:rsid w:val="00DD1858"/>
    <w:rsid w:val="00DD1BB2"/>
    <w:rsid w:val="00DD42EC"/>
    <w:rsid w:val="00DD4D60"/>
    <w:rsid w:val="00DD7FDA"/>
    <w:rsid w:val="00DE056B"/>
    <w:rsid w:val="00DE1563"/>
    <w:rsid w:val="00DE1DF1"/>
    <w:rsid w:val="00DE2983"/>
    <w:rsid w:val="00DE4BED"/>
    <w:rsid w:val="00DE50C2"/>
    <w:rsid w:val="00DE54C3"/>
    <w:rsid w:val="00DE6C42"/>
    <w:rsid w:val="00DE72B9"/>
    <w:rsid w:val="00DF2470"/>
    <w:rsid w:val="00DF2DA4"/>
    <w:rsid w:val="00DF3E1D"/>
    <w:rsid w:val="00DF45F5"/>
    <w:rsid w:val="00DF5B25"/>
    <w:rsid w:val="00DF5BA0"/>
    <w:rsid w:val="00DF5E2D"/>
    <w:rsid w:val="00DF698C"/>
    <w:rsid w:val="00DF70C1"/>
    <w:rsid w:val="00DF7314"/>
    <w:rsid w:val="00E00AF2"/>
    <w:rsid w:val="00E01281"/>
    <w:rsid w:val="00E012AC"/>
    <w:rsid w:val="00E01A5A"/>
    <w:rsid w:val="00E02315"/>
    <w:rsid w:val="00E0544C"/>
    <w:rsid w:val="00E076B8"/>
    <w:rsid w:val="00E077CA"/>
    <w:rsid w:val="00E10E7E"/>
    <w:rsid w:val="00E12B61"/>
    <w:rsid w:val="00E14195"/>
    <w:rsid w:val="00E167D5"/>
    <w:rsid w:val="00E16E5C"/>
    <w:rsid w:val="00E17D0C"/>
    <w:rsid w:val="00E221B3"/>
    <w:rsid w:val="00E2243A"/>
    <w:rsid w:val="00E22F71"/>
    <w:rsid w:val="00E23828"/>
    <w:rsid w:val="00E2397D"/>
    <w:rsid w:val="00E24CBB"/>
    <w:rsid w:val="00E25287"/>
    <w:rsid w:val="00E25698"/>
    <w:rsid w:val="00E33EE3"/>
    <w:rsid w:val="00E35385"/>
    <w:rsid w:val="00E36648"/>
    <w:rsid w:val="00E37ED9"/>
    <w:rsid w:val="00E41051"/>
    <w:rsid w:val="00E41B61"/>
    <w:rsid w:val="00E42140"/>
    <w:rsid w:val="00E42909"/>
    <w:rsid w:val="00E429A2"/>
    <w:rsid w:val="00E43AA7"/>
    <w:rsid w:val="00E53373"/>
    <w:rsid w:val="00E549F2"/>
    <w:rsid w:val="00E617AA"/>
    <w:rsid w:val="00E628D9"/>
    <w:rsid w:val="00E64771"/>
    <w:rsid w:val="00E65430"/>
    <w:rsid w:val="00E6644C"/>
    <w:rsid w:val="00E66C0F"/>
    <w:rsid w:val="00E70BDE"/>
    <w:rsid w:val="00E73735"/>
    <w:rsid w:val="00E750E9"/>
    <w:rsid w:val="00E770D3"/>
    <w:rsid w:val="00E7773C"/>
    <w:rsid w:val="00E80C5E"/>
    <w:rsid w:val="00E82A01"/>
    <w:rsid w:val="00E83245"/>
    <w:rsid w:val="00E8361B"/>
    <w:rsid w:val="00E85B51"/>
    <w:rsid w:val="00E85DC5"/>
    <w:rsid w:val="00E908E1"/>
    <w:rsid w:val="00E90EEE"/>
    <w:rsid w:val="00E90F81"/>
    <w:rsid w:val="00E91135"/>
    <w:rsid w:val="00E91DE7"/>
    <w:rsid w:val="00E92FC3"/>
    <w:rsid w:val="00E94B61"/>
    <w:rsid w:val="00E95068"/>
    <w:rsid w:val="00E95272"/>
    <w:rsid w:val="00E95478"/>
    <w:rsid w:val="00E96222"/>
    <w:rsid w:val="00EA0EAF"/>
    <w:rsid w:val="00EA1435"/>
    <w:rsid w:val="00EA16D4"/>
    <w:rsid w:val="00EA1FF4"/>
    <w:rsid w:val="00EA20F2"/>
    <w:rsid w:val="00EA2281"/>
    <w:rsid w:val="00EA2531"/>
    <w:rsid w:val="00EA2953"/>
    <w:rsid w:val="00EA4FCC"/>
    <w:rsid w:val="00EA54F2"/>
    <w:rsid w:val="00EA6A71"/>
    <w:rsid w:val="00EA7581"/>
    <w:rsid w:val="00EA7BB4"/>
    <w:rsid w:val="00EB0AFE"/>
    <w:rsid w:val="00EB2047"/>
    <w:rsid w:val="00EB4BD3"/>
    <w:rsid w:val="00EC2410"/>
    <w:rsid w:val="00EC34C3"/>
    <w:rsid w:val="00EC352C"/>
    <w:rsid w:val="00EC412E"/>
    <w:rsid w:val="00ED10CD"/>
    <w:rsid w:val="00ED30C2"/>
    <w:rsid w:val="00ED3CAE"/>
    <w:rsid w:val="00ED4F28"/>
    <w:rsid w:val="00ED526B"/>
    <w:rsid w:val="00ED795A"/>
    <w:rsid w:val="00EE05EC"/>
    <w:rsid w:val="00EE27D3"/>
    <w:rsid w:val="00EE39D8"/>
    <w:rsid w:val="00EE4181"/>
    <w:rsid w:val="00EE62B6"/>
    <w:rsid w:val="00EE6739"/>
    <w:rsid w:val="00EF0E45"/>
    <w:rsid w:val="00EF1174"/>
    <w:rsid w:val="00EF20FA"/>
    <w:rsid w:val="00EF26BD"/>
    <w:rsid w:val="00EF3B36"/>
    <w:rsid w:val="00EF5811"/>
    <w:rsid w:val="00F01B3F"/>
    <w:rsid w:val="00F03CBF"/>
    <w:rsid w:val="00F03F2D"/>
    <w:rsid w:val="00F05B05"/>
    <w:rsid w:val="00F05DBA"/>
    <w:rsid w:val="00F06614"/>
    <w:rsid w:val="00F1064A"/>
    <w:rsid w:val="00F106D6"/>
    <w:rsid w:val="00F1319D"/>
    <w:rsid w:val="00F13288"/>
    <w:rsid w:val="00F143EB"/>
    <w:rsid w:val="00F149B9"/>
    <w:rsid w:val="00F15168"/>
    <w:rsid w:val="00F1632C"/>
    <w:rsid w:val="00F206B4"/>
    <w:rsid w:val="00F2095C"/>
    <w:rsid w:val="00F224AD"/>
    <w:rsid w:val="00F22893"/>
    <w:rsid w:val="00F238F7"/>
    <w:rsid w:val="00F23DF6"/>
    <w:rsid w:val="00F252B9"/>
    <w:rsid w:val="00F2599A"/>
    <w:rsid w:val="00F26710"/>
    <w:rsid w:val="00F26F84"/>
    <w:rsid w:val="00F2723E"/>
    <w:rsid w:val="00F305CA"/>
    <w:rsid w:val="00F31E76"/>
    <w:rsid w:val="00F32776"/>
    <w:rsid w:val="00F32D6B"/>
    <w:rsid w:val="00F33406"/>
    <w:rsid w:val="00F3351E"/>
    <w:rsid w:val="00F35594"/>
    <w:rsid w:val="00F35774"/>
    <w:rsid w:val="00F37F20"/>
    <w:rsid w:val="00F402FA"/>
    <w:rsid w:val="00F40911"/>
    <w:rsid w:val="00F40981"/>
    <w:rsid w:val="00F40A74"/>
    <w:rsid w:val="00F41BE1"/>
    <w:rsid w:val="00F44542"/>
    <w:rsid w:val="00F44CD8"/>
    <w:rsid w:val="00F473F2"/>
    <w:rsid w:val="00F475FC"/>
    <w:rsid w:val="00F47F64"/>
    <w:rsid w:val="00F50B5D"/>
    <w:rsid w:val="00F611ED"/>
    <w:rsid w:val="00F61EE1"/>
    <w:rsid w:val="00F62CB6"/>
    <w:rsid w:val="00F632CF"/>
    <w:rsid w:val="00F641AA"/>
    <w:rsid w:val="00F65407"/>
    <w:rsid w:val="00F66A93"/>
    <w:rsid w:val="00F672C0"/>
    <w:rsid w:val="00F67B86"/>
    <w:rsid w:val="00F67DA8"/>
    <w:rsid w:val="00F70093"/>
    <w:rsid w:val="00F719C2"/>
    <w:rsid w:val="00F7233C"/>
    <w:rsid w:val="00F727AB"/>
    <w:rsid w:val="00F7287A"/>
    <w:rsid w:val="00F74094"/>
    <w:rsid w:val="00F77CB0"/>
    <w:rsid w:val="00F8092E"/>
    <w:rsid w:val="00F82185"/>
    <w:rsid w:val="00F8341C"/>
    <w:rsid w:val="00F839D1"/>
    <w:rsid w:val="00F83EEF"/>
    <w:rsid w:val="00F84370"/>
    <w:rsid w:val="00F870BB"/>
    <w:rsid w:val="00F87452"/>
    <w:rsid w:val="00F876E6"/>
    <w:rsid w:val="00F90249"/>
    <w:rsid w:val="00F92A45"/>
    <w:rsid w:val="00F936D1"/>
    <w:rsid w:val="00F94868"/>
    <w:rsid w:val="00FA020B"/>
    <w:rsid w:val="00FA22E1"/>
    <w:rsid w:val="00FA2D9D"/>
    <w:rsid w:val="00FA2FFB"/>
    <w:rsid w:val="00FA6A4E"/>
    <w:rsid w:val="00FA6C21"/>
    <w:rsid w:val="00FA720E"/>
    <w:rsid w:val="00FB0200"/>
    <w:rsid w:val="00FB0483"/>
    <w:rsid w:val="00FB07DD"/>
    <w:rsid w:val="00FB11E6"/>
    <w:rsid w:val="00FB2575"/>
    <w:rsid w:val="00FC09B0"/>
    <w:rsid w:val="00FC0DB1"/>
    <w:rsid w:val="00FC1C60"/>
    <w:rsid w:val="00FC2200"/>
    <w:rsid w:val="00FC25C4"/>
    <w:rsid w:val="00FC28E3"/>
    <w:rsid w:val="00FC51FA"/>
    <w:rsid w:val="00FC52F8"/>
    <w:rsid w:val="00FC59F5"/>
    <w:rsid w:val="00FC5D79"/>
    <w:rsid w:val="00FC695F"/>
    <w:rsid w:val="00FC7C16"/>
    <w:rsid w:val="00FD045E"/>
    <w:rsid w:val="00FD2019"/>
    <w:rsid w:val="00FD3AA2"/>
    <w:rsid w:val="00FD5F3F"/>
    <w:rsid w:val="00FD7F90"/>
    <w:rsid w:val="00FE1D3A"/>
    <w:rsid w:val="00FE2392"/>
    <w:rsid w:val="00FE3063"/>
    <w:rsid w:val="00FE3EE2"/>
    <w:rsid w:val="00FF07BC"/>
    <w:rsid w:val="00FF1431"/>
    <w:rsid w:val="00FF15B6"/>
    <w:rsid w:val="00FF196D"/>
    <w:rsid w:val="00FF629B"/>
    <w:rsid w:val="00FF726B"/>
    <w:rsid w:val="00FF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DA74E"/>
  <w15:docId w15:val="{DD509502-4085-47D1-ADC2-292A6E43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lsdException w:name="heading 3" w:semiHidden="1" w:uiPriority="0" w:unhideWhenUsed="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9"/>
    <w:qFormat/>
    <w:rsid w:val="00854C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rsid w:val="00854C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nhideWhenUsed/>
    <w:rsid w:val="00854CFE"/>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9"/>
    <w:unhideWhenUsed/>
    <w:qFormat/>
    <w:rsid w:val="00854CF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854CFE"/>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54CF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854CF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854CF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854CF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9C6751"/>
    <w:pPr>
      <w:ind w:left="720"/>
      <w:contextualSpacing/>
    </w:pPr>
  </w:style>
  <w:style w:type="paragraph" w:styleId="Intestazione">
    <w:name w:val="header"/>
    <w:basedOn w:val="Normale"/>
    <w:link w:val="IntestazioneCarattere"/>
    <w:unhideWhenUsed/>
    <w:rsid w:val="00652E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652E76"/>
  </w:style>
  <w:style w:type="paragraph" w:styleId="Pidipagina">
    <w:name w:val="footer"/>
    <w:basedOn w:val="Normale"/>
    <w:link w:val="PidipaginaCarattere"/>
    <w:uiPriority w:val="99"/>
    <w:unhideWhenUsed/>
    <w:rsid w:val="00652E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2E76"/>
  </w:style>
  <w:style w:type="paragraph" w:styleId="Testofumetto">
    <w:name w:val="Balloon Text"/>
    <w:basedOn w:val="Normale"/>
    <w:link w:val="TestofumettoCarattere"/>
    <w:uiPriority w:val="99"/>
    <w:unhideWhenUsed/>
    <w:rsid w:val="00652E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652E76"/>
    <w:rPr>
      <w:rFonts w:ascii="Tahoma" w:hAnsi="Tahoma" w:cs="Tahoma"/>
      <w:sz w:val="16"/>
      <w:szCs w:val="16"/>
    </w:rPr>
  </w:style>
  <w:style w:type="table" w:styleId="Grigliatabella">
    <w:name w:val="Table Grid"/>
    <w:basedOn w:val="Tabellanormale"/>
    <w:uiPriority w:val="59"/>
    <w:rsid w:val="00652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Level3">
    <w:name w:val="Heading - Level 3"/>
    <w:next w:val="Corpotesto"/>
    <w:rsid w:val="00652E76"/>
    <w:pPr>
      <w:keepNext/>
      <w:keepLines/>
      <w:spacing w:before="120" w:after="240" w:line="240" w:lineRule="auto"/>
      <w:outlineLvl w:val="4"/>
    </w:pPr>
    <w:rPr>
      <w:rFonts w:ascii="Times New Roman" w:eastAsia="Times New Roman" w:hAnsi="Times New Roman" w:cs="Times New Roman"/>
      <w:b/>
      <w:sz w:val="24"/>
      <w:szCs w:val="20"/>
      <w:lang w:eastAsia="it-IT"/>
    </w:rPr>
  </w:style>
  <w:style w:type="paragraph" w:styleId="Corpotesto">
    <w:name w:val="Body Text"/>
    <w:basedOn w:val="Normale"/>
    <w:link w:val="CorpotestoCarattere"/>
    <w:uiPriority w:val="99"/>
    <w:unhideWhenUsed/>
    <w:rsid w:val="00652E76"/>
    <w:pPr>
      <w:spacing w:after="120"/>
    </w:pPr>
  </w:style>
  <w:style w:type="character" w:customStyle="1" w:styleId="CorpotestoCarattere">
    <w:name w:val="Corpo testo Carattere"/>
    <w:basedOn w:val="Carpredefinitoparagrafo"/>
    <w:link w:val="Corpotesto"/>
    <w:uiPriority w:val="99"/>
    <w:semiHidden/>
    <w:rsid w:val="00652E76"/>
  </w:style>
  <w:style w:type="paragraph" w:customStyle="1" w:styleId="ContactCompanyAddress">
    <w:name w:val="Contact Company Address"/>
    <w:basedOn w:val="Normale"/>
    <w:next w:val="Normale"/>
    <w:rsid w:val="00652E76"/>
    <w:pPr>
      <w:spacing w:after="100" w:line="240" w:lineRule="auto"/>
      <w:ind w:left="144" w:right="144"/>
    </w:pPr>
    <w:rPr>
      <w:rFonts w:ascii="Times New Roman" w:eastAsia="Times New Roman" w:hAnsi="Times New Roman" w:cs="Times New Roman"/>
      <w:snapToGrid w:val="0"/>
      <w:sz w:val="18"/>
      <w:szCs w:val="20"/>
      <w:lang w:eastAsia="it-IT"/>
    </w:rPr>
  </w:style>
  <w:style w:type="paragraph" w:customStyle="1" w:styleId="DocInfo">
    <w:name w:val="Doc Info"/>
    <w:next w:val="Intestazione"/>
    <w:rsid w:val="00652E76"/>
    <w:pPr>
      <w:spacing w:after="0" w:line="240" w:lineRule="auto"/>
      <w:ind w:left="-720"/>
    </w:pPr>
    <w:rPr>
      <w:rFonts w:ascii="Times New Roman" w:eastAsia="Times New Roman" w:hAnsi="Times New Roman" w:cs="Times New Roman"/>
      <w:color w:val="808080"/>
      <w:spacing w:val="10"/>
      <w:kern w:val="2"/>
      <w:sz w:val="14"/>
      <w:szCs w:val="20"/>
      <w:lang w:eastAsia="it-IT"/>
    </w:rPr>
  </w:style>
  <w:style w:type="paragraph" w:customStyle="1" w:styleId="FooterA4Portrait">
    <w:name w:val="Footer A4 Portrait"/>
    <w:rsid w:val="00652E76"/>
    <w:pPr>
      <w:tabs>
        <w:tab w:val="right" w:pos="5429"/>
        <w:tab w:val="right" w:pos="8165"/>
      </w:tabs>
      <w:spacing w:after="0" w:line="240" w:lineRule="auto"/>
    </w:pPr>
    <w:rPr>
      <w:rFonts w:ascii="Times New Roman" w:eastAsia="Times New Roman" w:hAnsi="Times New Roman" w:cs="Times New Roman"/>
      <w:kern w:val="2"/>
      <w:sz w:val="18"/>
      <w:szCs w:val="20"/>
      <w:lang w:val="en-GB" w:eastAsia="it-IT"/>
    </w:rPr>
  </w:style>
  <w:style w:type="character" w:styleId="Numeropagina">
    <w:name w:val="page number"/>
    <w:basedOn w:val="Carpredefinitoparagrafo"/>
    <w:uiPriority w:val="99"/>
    <w:rsid w:val="00652E76"/>
    <w:rPr>
      <w:rFonts w:ascii="Times New Roman" w:hAnsi="Times New Roman"/>
      <w:noProof w:val="0"/>
      <w:sz w:val="18"/>
      <w:lang w:val="en-GB"/>
    </w:rPr>
  </w:style>
  <w:style w:type="character" w:customStyle="1" w:styleId="Titolo1Carattere">
    <w:name w:val="Titolo 1 Carattere"/>
    <w:basedOn w:val="Carpredefinitoparagrafo"/>
    <w:link w:val="Titolo1"/>
    <w:uiPriority w:val="99"/>
    <w:rsid w:val="00854CFE"/>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rsid w:val="00854CFE"/>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rsid w:val="00854CFE"/>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9"/>
    <w:rsid w:val="00854CFE"/>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854CFE"/>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854CFE"/>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854CFE"/>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854CFE"/>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854CFE"/>
    <w:rPr>
      <w:rFonts w:asciiTheme="majorHAnsi" w:eastAsiaTheme="majorEastAsia" w:hAnsiTheme="majorHAnsi" w:cstheme="majorBidi"/>
      <w:i/>
      <w:iCs/>
      <w:color w:val="404040" w:themeColor="text1" w:themeTint="BF"/>
      <w:sz w:val="20"/>
      <w:szCs w:val="20"/>
    </w:rPr>
  </w:style>
  <w:style w:type="character" w:styleId="Enfasigrassetto">
    <w:name w:val="Strong"/>
    <w:basedOn w:val="Carpredefinitoparagrafo"/>
    <w:uiPriority w:val="22"/>
    <w:qFormat/>
    <w:rsid w:val="00F23DF6"/>
    <w:rPr>
      <w:b/>
      <w:bCs/>
    </w:rPr>
  </w:style>
  <w:style w:type="paragraph" w:styleId="Rientrocorpodeltesto">
    <w:name w:val="Body Text Indent"/>
    <w:basedOn w:val="Normale"/>
    <w:link w:val="RientrocorpodeltestoCarattere"/>
    <w:uiPriority w:val="99"/>
    <w:rsid w:val="00D47C9E"/>
    <w:pPr>
      <w:tabs>
        <w:tab w:val="left"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567" w:hanging="567"/>
      <w:jc w:val="both"/>
    </w:pPr>
    <w:rPr>
      <w:rFonts w:ascii="Arial" w:eastAsia="Times New Roman" w:hAnsi="Arial" w:cs="Times New Roman"/>
      <w:sz w:val="24"/>
      <w:szCs w:val="20"/>
      <w:lang w:eastAsia="it-IT"/>
    </w:rPr>
  </w:style>
  <w:style w:type="character" w:customStyle="1" w:styleId="RientrocorpodeltestoCarattere">
    <w:name w:val="Rientro corpo del testo Carattere"/>
    <w:basedOn w:val="Carpredefinitoparagrafo"/>
    <w:link w:val="Rientrocorpodeltesto"/>
    <w:uiPriority w:val="99"/>
    <w:rsid w:val="00D47C9E"/>
    <w:rPr>
      <w:rFonts w:ascii="Arial" w:eastAsia="Times New Roman" w:hAnsi="Arial" w:cs="Times New Roman"/>
      <w:sz w:val="24"/>
      <w:szCs w:val="20"/>
      <w:lang w:eastAsia="it-IT"/>
    </w:rPr>
  </w:style>
  <w:style w:type="paragraph" w:styleId="Rientrocorpodeltesto2">
    <w:name w:val="Body Text Indent 2"/>
    <w:basedOn w:val="Normale"/>
    <w:link w:val="Rientrocorpodeltesto2Carattere"/>
    <w:uiPriority w:val="99"/>
    <w:rsid w:val="00D47C9E"/>
    <w:pPr>
      <w:widowControl w:val="0"/>
      <w:spacing w:after="120" w:line="240" w:lineRule="auto"/>
      <w:ind w:left="360" w:hanging="360"/>
      <w:jc w:val="both"/>
    </w:pPr>
    <w:rPr>
      <w:rFonts w:ascii="Times New Roman" w:eastAsia="Times New Roman" w:hAnsi="Times New Roman" w:cs="Times New Roman"/>
      <w:sz w:val="24"/>
      <w:szCs w:val="20"/>
      <w:lang w:eastAsia="it-IT"/>
    </w:rPr>
  </w:style>
  <w:style w:type="character" w:customStyle="1" w:styleId="Rientrocorpodeltesto2Carattere">
    <w:name w:val="Rientro corpo del testo 2 Carattere"/>
    <w:basedOn w:val="Carpredefinitoparagrafo"/>
    <w:link w:val="Rientrocorpodeltesto2"/>
    <w:uiPriority w:val="99"/>
    <w:rsid w:val="00D47C9E"/>
    <w:rPr>
      <w:rFonts w:ascii="Times New Roman" w:eastAsia="Times New Roman" w:hAnsi="Times New Roman" w:cs="Times New Roman"/>
      <w:sz w:val="24"/>
      <w:szCs w:val="20"/>
      <w:lang w:eastAsia="it-IT"/>
    </w:rPr>
  </w:style>
  <w:style w:type="paragraph" w:styleId="Rientrocorpodeltesto3">
    <w:name w:val="Body Text Indent 3"/>
    <w:basedOn w:val="Normale"/>
    <w:link w:val="Rientrocorpodeltesto3Carattere"/>
    <w:uiPriority w:val="99"/>
    <w:rsid w:val="00D47C9E"/>
    <w:pPr>
      <w:widowControl w:val="0"/>
      <w:spacing w:after="120" w:line="240" w:lineRule="auto"/>
      <w:ind w:left="1134" w:hanging="426"/>
      <w:jc w:val="both"/>
    </w:pPr>
    <w:rPr>
      <w:rFonts w:ascii="Times New Roman" w:eastAsia="Times New Roman" w:hAnsi="Times New Roman" w:cs="Times New Roman"/>
      <w:sz w:val="24"/>
      <w:szCs w:val="20"/>
      <w:lang w:eastAsia="it-IT"/>
    </w:rPr>
  </w:style>
  <w:style w:type="character" w:customStyle="1" w:styleId="Rientrocorpodeltesto3Carattere">
    <w:name w:val="Rientro corpo del testo 3 Carattere"/>
    <w:basedOn w:val="Carpredefinitoparagrafo"/>
    <w:link w:val="Rientrocorpodeltesto3"/>
    <w:uiPriority w:val="99"/>
    <w:rsid w:val="00D47C9E"/>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rsid w:val="00D47C9E"/>
    <w:rPr>
      <w:rFonts w:cs="Times New Roman"/>
      <w:color w:val="0000FF"/>
      <w:u w:val="single"/>
    </w:rPr>
  </w:style>
  <w:style w:type="paragraph" w:customStyle="1" w:styleId="Bodytext">
    <w:name w:val="!Bodytext"/>
    <w:basedOn w:val="Normale"/>
    <w:uiPriority w:val="99"/>
    <w:rsid w:val="00D47C9E"/>
    <w:pPr>
      <w:overflowPunct w:val="0"/>
      <w:autoSpaceDE w:val="0"/>
      <w:autoSpaceDN w:val="0"/>
      <w:adjustRightInd w:val="0"/>
      <w:spacing w:after="220" w:line="240" w:lineRule="auto"/>
      <w:jc w:val="both"/>
      <w:textAlignment w:val="baseline"/>
    </w:pPr>
    <w:rPr>
      <w:rFonts w:ascii="Helvetica" w:eastAsia="Times New Roman" w:hAnsi="Helvetica" w:cs="Helvetica"/>
      <w:kern w:val="2"/>
      <w:lang w:val="en-GB"/>
    </w:rPr>
  </w:style>
  <w:style w:type="character" w:styleId="Rimandocommento">
    <w:name w:val="annotation reference"/>
    <w:basedOn w:val="Carpredefinitoparagrafo"/>
    <w:uiPriority w:val="99"/>
    <w:semiHidden/>
    <w:unhideWhenUsed/>
    <w:rsid w:val="00D47C9E"/>
    <w:rPr>
      <w:sz w:val="16"/>
      <w:szCs w:val="16"/>
    </w:rPr>
  </w:style>
  <w:style w:type="paragraph" w:styleId="Testocommento">
    <w:name w:val="annotation text"/>
    <w:basedOn w:val="Normale"/>
    <w:link w:val="TestocommentoCarattere"/>
    <w:uiPriority w:val="99"/>
    <w:semiHidden/>
    <w:unhideWhenUsed/>
    <w:rsid w:val="00D47C9E"/>
    <w:pPr>
      <w:widowControl w:val="0"/>
      <w:spacing w:after="0" w:line="240" w:lineRule="auto"/>
      <w:jc w:val="both"/>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D47C9E"/>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47C9E"/>
    <w:rPr>
      <w:b/>
      <w:bCs/>
    </w:rPr>
  </w:style>
  <w:style w:type="character" w:customStyle="1" w:styleId="SoggettocommentoCarattere">
    <w:name w:val="Soggetto commento Carattere"/>
    <w:basedOn w:val="TestocommentoCarattere"/>
    <w:link w:val="Soggettocommento"/>
    <w:uiPriority w:val="99"/>
    <w:semiHidden/>
    <w:rsid w:val="00D47C9E"/>
    <w:rPr>
      <w:rFonts w:ascii="Times New Roman" w:eastAsia="Times New Roman" w:hAnsi="Times New Roman" w:cs="Times New Roman"/>
      <w:b/>
      <w:bCs/>
      <w:sz w:val="20"/>
      <w:szCs w:val="20"/>
      <w:lang w:eastAsia="it-IT"/>
    </w:rPr>
  </w:style>
  <w:style w:type="paragraph" w:styleId="Revisione">
    <w:name w:val="Revision"/>
    <w:hidden/>
    <w:uiPriority w:val="99"/>
    <w:semiHidden/>
    <w:rsid w:val="00D47C9E"/>
    <w:pPr>
      <w:spacing w:after="0" w:line="240" w:lineRule="auto"/>
    </w:pPr>
    <w:rPr>
      <w:rFonts w:ascii="Times New Roman" w:eastAsia="Times New Roman" w:hAnsi="Times New Roman" w:cs="Times New Roman"/>
      <w:sz w:val="24"/>
      <w:szCs w:val="20"/>
      <w:lang w:eastAsia="it-IT"/>
    </w:rPr>
  </w:style>
  <w:style w:type="paragraph" w:customStyle="1" w:styleId="CG-SingleSp">
    <w:name w:val="CG-Single Sp"/>
    <w:aliases w:val="s1"/>
    <w:basedOn w:val="Normale"/>
    <w:rsid w:val="00986CC7"/>
    <w:pPr>
      <w:autoSpaceDE w:val="0"/>
      <w:autoSpaceDN w:val="0"/>
      <w:adjustRightInd w:val="0"/>
      <w:spacing w:after="240" w:line="240" w:lineRule="auto"/>
    </w:pPr>
    <w:rPr>
      <w:rFonts w:ascii="Times New Roman" w:eastAsia="Times New Roman" w:hAnsi="Times New Roman" w:cs="Times New Roman"/>
      <w:sz w:val="24"/>
      <w:szCs w:val="20"/>
      <w:lang w:val="en-US" w:eastAsia="it-IT"/>
    </w:rPr>
  </w:style>
  <w:style w:type="character" w:customStyle="1" w:styleId="DeltaViewInsertion">
    <w:name w:val="DeltaView Insertion"/>
    <w:rsid w:val="00986CC7"/>
    <w:rPr>
      <w:color w:val="0000FF"/>
      <w:spacing w:val="0"/>
      <w:u w:val="double"/>
    </w:rPr>
  </w:style>
  <w:style w:type="paragraph" w:customStyle="1" w:styleId="DeltaViewTableBody">
    <w:name w:val="DeltaView Table Body"/>
    <w:basedOn w:val="Normale"/>
    <w:rsid w:val="00986CC7"/>
    <w:pPr>
      <w:autoSpaceDE w:val="0"/>
      <w:autoSpaceDN w:val="0"/>
      <w:adjustRightInd w:val="0"/>
      <w:spacing w:after="0" w:line="240" w:lineRule="auto"/>
    </w:pPr>
    <w:rPr>
      <w:rFonts w:ascii="Arial" w:eastAsia="Times New Roman" w:hAnsi="Arial" w:cs="Times New Roman"/>
      <w:sz w:val="24"/>
      <w:szCs w:val="24"/>
      <w:lang w:val="en-US" w:eastAsia="it-IT"/>
    </w:rPr>
  </w:style>
  <w:style w:type="paragraph" w:customStyle="1" w:styleId="Bullet">
    <w:name w:val="Bullet"/>
    <w:basedOn w:val="Corpotesto"/>
    <w:rsid w:val="006A503A"/>
    <w:pPr>
      <w:numPr>
        <w:ilvl w:val="5"/>
        <w:numId w:val="1"/>
      </w:numPr>
      <w:suppressAutoHyphens/>
      <w:spacing w:before="60" w:after="60"/>
      <w:ind w:left="357" w:hanging="357"/>
      <w:jc w:val="both"/>
      <w:outlineLvl w:val="5"/>
    </w:pPr>
    <w:rPr>
      <w:rFonts w:ascii="Calibri" w:eastAsia="Times New Roman" w:hAnsi="Calibri" w:cs="Times New Roman"/>
      <w:szCs w:val="20"/>
      <w:lang w:eastAsia="zh-CN"/>
    </w:rPr>
  </w:style>
  <w:style w:type="paragraph" w:customStyle="1" w:styleId="Puntoelenco1">
    <w:name w:val="Punto elenco1"/>
    <w:basedOn w:val="Normale"/>
    <w:rsid w:val="006A503A"/>
    <w:pPr>
      <w:numPr>
        <w:numId w:val="3"/>
      </w:numPr>
      <w:suppressAutoHyphens/>
      <w:jc w:val="both"/>
    </w:pPr>
    <w:rPr>
      <w:rFonts w:ascii="Calibri" w:eastAsia="Times New Roman" w:hAnsi="Calibri" w:cs="Times New Roman"/>
      <w:szCs w:val="20"/>
      <w:lang w:eastAsia="zh-CN"/>
    </w:rPr>
  </w:style>
  <w:style w:type="paragraph" w:customStyle="1" w:styleId="Numeroelenco1">
    <w:name w:val="Numero elenco1"/>
    <w:basedOn w:val="Normale"/>
    <w:rsid w:val="006A503A"/>
    <w:pPr>
      <w:numPr>
        <w:numId w:val="2"/>
      </w:numPr>
      <w:suppressAutoHyphens/>
      <w:jc w:val="both"/>
    </w:pPr>
    <w:rPr>
      <w:rFonts w:ascii="Calibri" w:eastAsia="Times New Roman" w:hAnsi="Calibri" w:cs="Times New Roman"/>
      <w:szCs w:val="20"/>
      <w:lang w:eastAsia="zh-CN"/>
    </w:rPr>
  </w:style>
  <w:style w:type="paragraph" w:styleId="Puntoelenco">
    <w:name w:val="List Bullet"/>
    <w:basedOn w:val="Normale"/>
    <w:rsid w:val="00005043"/>
    <w:pPr>
      <w:numPr>
        <w:numId w:val="4"/>
      </w:numPr>
      <w:jc w:val="both"/>
    </w:pPr>
    <w:rPr>
      <w:rFonts w:ascii="Calibri" w:eastAsia="Times New Roman" w:hAnsi="Calibri" w:cs="Times New Roman"/>
      <w:szCs w:val="20"/>
      <w:lang w:eastAsia="it-IT"/>
    </w:rPr>
  </w:style>
  <w:style w:type="paragraph" w:styleId="Numeroelenco">
    <w:name w:val="List Number"/>
    <w:basedOn w:val="Normale"/>
    <w:rsid w:val="00005043"/>
    <w:pPr>
      <w:numPr>
        <w:numId w:val="5"/>
      </w:numPr>
      <w:jc w:val="both"/>
    </w:pPr>
    <w:rPr>
      <w:rFonts w:ascii="Calibri" w:eastAsia="Times New Roman" w:hAnsi="Calibri" w:cs="Times New Roman"/>
      <w:szCs w:val="20"/>
      <w:lang w:eastAsia="it-IT"/>
    </w:rPr>
  </w:style>
  <w:style w:type="paragraph" w:styleId="NormaleWeb">
    <w:name w:val="Normal (Web)"/>
    <w:basedOn w:val="Normale"/>
    <w:link w:val="NormaleWebCarattere"/>
    <w:uiPriority w:val="99"/>
    <w:unhideWhenUsed/>
    <w:rsid w:val="00A64472"/>
    <w:pPr>
      <w:spacing w:after="0" w:line="240" w:lineRule="auto"/>
    </w:pPr>
    <w:rPr>
      <w:rFonts w:ascii="Times New Roman" w:hAnsi="Times New Roman" w:cs="Times New Roman"/>
      <w:sz w:val="24"/>
      <w:szCs w:val="24"/>
      <w:lang w:eastAsia="it-IT"/>
    </w:rPr>
  </w:style>
  <w:style w:type="paragraph" w:styleId="Testonormale">
    <w:name w:val="Plain Text"/>
    <w:basedOn w:val="Normale"/>
    <w:link w:val="TestonormaleCarattere"/>
    <w:uiPriority w:val="99"/>
    <w:unhideWhenUsed/>
    <w:rsid w:val="00A64472"/>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A64472"/>
    <w:rPr>
      <w:rFonts w:ascii="Calibri" w:hAnsi="Calibri"/>
      <w:szCs w:val="21"/>
    </w:rPr>
  </w:style>
  <w:style w:type="table" w:customStyle="1" w:styleId="Tabellasemplice51">
    <w:name w:val="Tabella semplice 51"/>
    <w:basedOn w:val="Tabellanormale"/>
    <w:uiPriority w:val="45"/>
    <w:rsid w:val="00926BF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semplice41">
    <w:name w:val="Tabella semplice 41"/>
    <w:basedOn w:val="Tabellanormale"/>
    <w:uiPriority w:val="44"/>
    <w:rsid w:val="00926BF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stonotaapidipagina">
    <w:name w:val="footnote text"/>
    <w:aliases w:val="Testo_note,footnote text1"/>
    <w:basedOn w:val="Normale"/>
    <w:link w:val="TestonotaapidipaginaCarattere"/>
    <w:uiPriority w:val="99"/>
    <w:unhideWhenUsed/>
    <w:rsid w:val="00F03F2D"/>
    <w:pPr>
      <w:spacing w:after="0" w:line="240" w:lineRule="auto"/>
    </w:pPr>
    <w:rPr>
      <w:sz w:val="20"/>
      <w:szCs w:val="20"/>
    </w:rPr>
  </w:style>
  <w:style w:type="character" w:customStyle="1" w:styleId="TestonotaapidipaginaCarattere">
    <w:name w:val="Testo nota a piè di pagina Carattere"/>
    <w:aliases w:val="Testo_note Carattere,footnote text1 Carattere"/>
    <w:basedOn w:val="Carpredefinitoparagrafo"/>
    <w:link w:val="Testonotaapidipagina"/>
    <w:uiPriority w:val="99"/>
    <w:rsid w:val="00F03F2D"/>
    <w:rPr>
      <w:sz w:val="20"/>
      <w:szCs w:val="20"/>
    </w:rPr>
  </w:style>
  <w:style w:type="character" w:styleId="Rimandonotaapidipagina">
    <w:name w:val="footnote reference"/>
    <w:basedOn w:val="Carpredefinitoparagrafo"/>
    <w:uiPriority w:val="99"/>
    <w:semiHidden/>
    <w:unhideWhenUsed/>
    <w:rsid w:val="00F03F2D"/>
    <w:rPr>
      <w:vertAlign w:val="superscript"/>
    </w:rPr>
  </w:style>
  <w:style w:type="character" w:customStyle="1" w:styleId="Menzione1">
    <w:name w:val="Menzione1"/>
    <w:basedOn w:val="Carpredefinitoparagrafo"/>
    <w:uiPriority w:val="99"/>
    <w:semiHidden/>
    <w:unhideWhenUsed/>
    <w:rsid w:val="00147769"/>
    <w:rPr>
      <w:color w:val="2B579A"/>
      <w:shd w:val="clear" w:color="auto" w:fill="E6E6E6"/>
    </w:rPr>
  </w:style>
  <w:style w:type="character" w:styleId="Collegamentovisitato">
    <w:name w:val="FollowedHyperlink"/>
    <w:basedOn w:val="Carpredefinitoparagrafo"/>
    <w:uiPriority w:val="99"/>
    <w:semiHidden/>
    <w:unhideWhenUsed/>
    <w:rsid w:val="000B546F"/>
    <w:rPr>
      <w:color w:val="800080" w:themeColor="followedHyperlink"/>
      <w:u w:val="single"/>
    </w:rPr>
  </w:style>
  <w:style w:type="character" w:customStyle="1" w:styleId="Menzionenonrisolta1">
    <w:name w:val="Menzione non risolta1"/>
    <w:basedOn w:val="Carpredefinitoparagrafo"/>
    <w:uiPriority w:val="99"/>
    <w:semiHidden/>
    <w:unhideWhenUsed/>
    <w:rsid w:val="009B6EBE"/>
    <w:rPr>
      <w:color w:val="605E5C"/>
      <w:shd w:val="clear" w:color="auto" w:fill="E1DFDD"/>
    </w:rPr>
  </w:style>
  <w:style w:type="paragraph" w:customStyle="1" w:styleId="gmail-msolistparagraph">
    <w:name w:val="gmail-msolistparagraph"/>
    <w:basedOn w:val="Normale"/>
    <w:rsid w:val="00AD529C"/>
    <w:pPr>
      <w:spacing w:before="100" w:beforeAutospacing="1" w:after="100" w:afterAutospacing="1" w:line="240" w:lineRule="auto"/>
    </w:pPr>
    <w:rPr>
      <w:rFonts w:ascii="Calibri" w:hAnsi="Calibri" w:cs="Calibri"/>
      <w:lang w:eastAsia="it-IT"/>
    </w:rPr>
  </w:style>
  <w:style w:type="character" w:customStyle="1" w:styleId="gmail-apple-converted-space">
    <w:name w:val="gmail-apple-converted-space"/>
    <w:basedOn w:val="Carpredefinitoparagrafo"/>
    <w:rsid w:val="00AD529C"/>
  </w:style>
  <w:style w:type="paragraph" w:customStyle="1" w:styleId="Body">
    <w:name w:val="Body"/>
    <w:basedOn w:val="Normale"/>
    <w:rsid w:val="00924CBE"/>
    <w:pPr>
      <w:spacing w:after="140" w:line="290" w:lineRule="auto"/>
      <w:jc w:val="both"/>
    </w:pPr>
    <w:rPr>
      <w:rFonts w:ascii="Times New Roman" w:eastAsia="Times New Roman" w:hAnsi="Times New Roman" w:cs="Times New Roman"/>
      <w:kern w:val="20"/>
      <w:sz w:val="24"/>
      <w:szCs w:val="24"/>
      <w:lang w:eastAsia="it-IT"/>
    </w:rPr>
  </w:style>
  <w:style w:type="paragraph" w:customStyle="1" w:styleId="Copertina">
    <w:name w:val="Copertina"/>
    <w:basedOn w:val="Normale"/>
    <w:uiPriority w:val="99"/>
    <w:qFormat/>
    <w:rsid w:val="00AA379F"/>
    <w:pPr>
      <w:widowControl w:val="0"/>
      <w:tabs>
        <w:tab w:val="left" w:pos="709"/>
      </w:tabs>
      <w:jc w:val="center"/>
    </w:pPr>
    <w:rPr>
      <w:rFonts w:ascii="Arial" w:eastAsiaTheme="minorEastAsia" w:hAnsi="Arial" w:cs="Times New Roman"/>
      <w:bCs/>
      <w:snapToGrid w:val="0"/>
      <w:sz w:val="28"/>
      <w:szCs w:val="24"/>
      <w:lang w:eastAsia="it-IT"/>
    </w:rPr>
  </w:style>
  <w:style w:type="paragraph" w:customStyle="1" w:styleId="Corpodeltesto1">
    <w:name w:val="Corpo del testo 1"/>
    <w:basedOn w:val="Normale"/>
    <w:qFormat/>
    <w:rsid w:val="00AA379F"/>
    <w:pPr>
      <w:widowControl w:val="0"/>
      <w:jc w:val="both"/>
    </w:pPr>
    <w:rPr>
      <w:rFonts w:ascii="Arial" w:eastAsiaTheme="minorEastAsia" w:hAnsi="Arial" w:cs="Times New Roman"/>
      <w:snapToGrid w:val="0"/>
      <w:sz w:val="20"/>
      <w:szCs w:val="20"/>
      <w:lang w:eastAsia="it-IT"/>
    </w:rPr>
  </w:style>
  <w:style w:type="character" w:customStyle="1" w:styleId="Menzionenonrisolta2">
    <w:name w:val="Menzione non risolta2"/>
    <w:basedOn w:val="Carpredefinitoparagrafo"/>
    <w:uiPriority w:val="99"/>
    <w:semiHidden/>
    <w:unhideWhenUsed/>
    <w:rsid w:val="00635A19"/>
    <w:rPr>
      <w:color w:val="605E5C"/>
      <w:shd w:val="clear" w:color="auto" w:fill="E1DFDD"/>
    </w:rPr>
  </w:style>
  <w:style w:type="paragraph" w:customStyle="1" w:styleId="Default">
    <w:name w:val="Default"/>
    <w:rsid w:val="00F47F64"/>
    <w:pPr>
      <w:autoSpaceDE w:val="0"/>
      <w:autoSpaceDN w:val="0"/>
      <w:adjustRightInd w:val="0"/>
      <w:spacing w:after="0" w:line="240" w:lineRule="auto"/>
    </w:pPr>
    <w:rPr>
      <w:rFonts w:ascii="Calibri" w:hAnsi="Calibri" w:cs="Calibri"/>
      <w:color w:val="000000"/>
      <w:sz w:val="24"/>
      <w:szCs w:val="24"/>
      <w:lang w:val="en-US"/>
    </w:rPr>
  </w:style>
  <w:style w:type="character" w:styleId="Menzionenonrisolta">
    <w:name w:val="Unresolved Mention"/>
    <w:basedOn w:val="Carpredefinitoparagrafo"/>
    <w:uiPriority w:val="99"/>
    <w:semiHidden/>
    <w:unhideWhenUsed/>
    <w:rsid w:val="002D0E4C"/>
    <w:rPr>
      <w:color w:val="605E5C"/>
      <w:shd w:val="clear" w:color="auto" w:fill="E1DFDD"/>
    </w:rPr>
  </w:style>
  <w:style w:type="paragraph" w:customStyle="1" w:styleId="titolo">
    <w:name w:val="titolo"/>
    <w:basedOn w:val="Normale"/>
    <w:link w:val="titoloCarattere"/>
    <w:qFormat/>
    <w:rsid w:val="00674C4D"/>
    <w:pPr>
      <w:spacing w:after="120" w:line="240" w:lineRule="auto"/>
      <w:jc w:val="center"/>
    </w:pPr>
    <w:rPr>
      <w:rFonts w:cstheme="minorHAnsi"/>
      <w:b/>
      <w:sz w:val="36"/>
      <w:szCs w:val="36"/>
    </w:rPr>
  </w:style>
  <w:style w:type="paragraph" w:customStyle="1" w:styleId="sottotiltolo">
    <w:name w:val="sottotiltolo"/>
    <w:basedOn w:val="Normale"/>
    <w:link w:val="sottotiltoloCarattere"/>
    <w:qFormat/>
    <w:rsid w:val="008D0418"/>
    <w:pPr>
      <w:spacing w:after="120" w:line="240" w:lineRule="auto"/>
      <w:jc w:val="center"/>
    </w:pPr>
    <w:rPr>
      <w:rFonts w:cstheme="minorHAnsi"/>
      <w:b/>
      <w:color w:val="085392"/>
      <w:sz w:val="30"/>
      <w:szCs w:val="30"/>
    </w:rPr>
  </w:style>
  <w:style w:type="character" w:customStyle="1" w:styleId="titoloCarattere">
    <w:name w:val="titolo Carattere"/>
    <w:basedOn w:val="Carpredefinitoparagrafo"/>
    <w:link w:val="titolo"/>
    <w:rsid w:val="00674C4D"/>
    <w:rPr>
      <w:rFonts w:cstheme="minorHAnsi"/>
      <w:b/>
      <w:sz w:val="36"/>
      <w:szCs w:val="36"/>
    </w:rPr>
  </w:style>
  <w:style w:type="paragraph" w:customStyle="1" w:styleId="testo">
    <w:name w:val="testo"/>
    <w:basedOn w:val="NormaleWeb"/>
    <w:link w:val="testoCarattere"/>
    <w:qFormat/>
    <w:rsid w:val="00674C4D"/>
    <w:pPr>
      <w:spacing w:line="360" w:lineRule="auto"/>
      <w:jc w:val="both"/>
    </w:pPr>
    <w:rPr>
      <w:rFonts w:ascii="Calibri" w:hAnsi="Calibri" w:cs="Calibri"/>
      <w:spacing w:val="-2"/>
      <w:sz w:val="23"/>
      <w:szCs w:val="23"/>
    </w:rPr>
  </w:style>
  <w:style w:type="character" w:customStyle="1" w:styleId="sottotiltoloCarattere">
    <w:name w:val="sottotiltolo Carattere"/>
    <w:basedOn w:val="Carpredefinitoparagrafo"/>
    <w:link w:val="sottotiltolo"/>
    <w:rsid w:val="008D0418"/>
    <w:rPr>
      <w:rFonts w:cstheme="minorHAnsi"/>
      <w:b/>
      <w:color w:val="085392"/>
      <w:sz w:val="30"/>
      <w:szCs w:val="30"/>
    </w:rPr>
  </w:style>
  <w:style w:type="paragraph" w:customStyle="1" w:styleId="notaintermonte">
    <w:name w:val="nota intermonte"/>
    <w:basedOn w:val="Normale"/>
    <w:link w:val="notaintermonteCarattere"/>
    <w:qFormat/>
    <w:rsid w:val="00674C4D"/>
    <w:pPr>
      <w:spacing w:after="0" w:line="240" w:lineRule="auto"/>
      <w:ind w:right="-1"/>
      <w:jc w:val="both"/>
    </w:pPr>
    <w:rPr>
      <w:rFonts w:ascii="Calibri" w:eastAsia="Times New Roman" w:hAnsi="Calibri" w:cs="Calibri"/>
      <w:i/>
      <w:iCs/>
      <w:sz w:val="18"/>
      <w:szCs w:val="18"/>
      <w:lang w:eastAsia="it-IT"/>
    </w:rPr>
  </w:style>
  <w:style w:type="character" w:customStyle="1" w:styleId="NormaleWebCarattere">
    <w:name w:val="Normale (Web) Carattere"/>
    <w:basedOn w:val="Carpredefinitoparagrafo"/>
    <w:link w:val="NormaleWeb"/>
    <w:uiPriority w:val="99"/>
    <w:rsid w:val="00674C4D"/>
    <w:rPr>
      <w:rFonts w:ascii="Times New Roman" w:hAnsi="Times New Roman" w:cs="Times New Roman"/>
      <w:sz w:val="24"/>
      <w:szCs w:val="24"/>
      <w:lang w:eastAsia="it-IT"/>
    </w:rPr>
  </w:style>
  <w:style w:type="character" w:customStyle="1" w:styleId="testoCarattere">
    <w:name w:val="testo Carattere"/>
    <w:basedOn w:val="NormaleWebCarattere"/>
    <w:link w:val="testo"/>
    <w:rsid w:val="00674C4D"/>
    <w:rPr>
      <w:rFonts w:ascii="Calibri" w:hAnsi="Calibri" w:cs="Calibri"/>
      <w:spacing w:val="-2"/>
      <w:sz w:val="23"/>
      <w:szCs w:val="23"/>
      <w:lang w:eastAsia="it-IT"/>
    </w:rPr>
  </w:style>
  <w:style w:type="paragraph" w:customStyle="1" w:styleId="3sottotitolo">
    <w:name w:val="3 sottotitolo"/>
    <w:basedOn w:val="sottotiltolo"/>
    <w:link w:val="3sottotitoloCarattere"/>
    <w:qFormat/>
    <w:rsid w:val="008D0418"/>
    <w:rPr>
      <w:color w:val="auto"/>
      <w:sz w:val="26"/>
      <w:szCs w:val="26"/>
    </w:rPr>
  </w:style>
  <w:style w:type="character" w:customStyle="1" w:styleId="notaintermonteCarattere">
    <w:name w:val="nota intermonte Carattere"/>
    <w:basedOn w:val="Carpredefinitoparagrafo"/>
    <w:link w:val="notaintermonte"/>
    <w:rsid w:val="00674C4D"/>
    <w:rPr>
      <w:rFonts w:ascii="Calibri" w:eastAsia="Times New Roman" w:hAnsi="Calibri" w:cs="Calibri"/>
      <w:i/>
      <w:iCs/>
      <w:sz w:val="18"/>
      <w:szCs w:val="18"/>
      <w:lang w:eastAsia="it-IT"/>
    </w:rPr>
  </w:style>
  <w:style w:type="character" w:customStyle="1" w:styleId="3sottotitoloCarattere">
    <w:name w:val="3 sottotitolo Carattere"/>
    <w:basedOn w:val="sottotiltoloCarattere"/>
    <w:link w:val="3sottotitolo"/>
    <w:rsid w:val="008D0418"/>
    <w:rPr>
      <w:rFonts w:cstheme="minorHAnsi"/>
      <w:b/>
      <w:color w:val="085392"/>
      <w:sz w:val="26"/>
      <w:szCs w:val="26"/>
    </w:rPr>
  </w:style>
  <w:style w:type="paragraph" w:customStyle="1" w:styleId="xxmsonormal">
    <w:name w:val="x_x_msonormal"/>
    <w:basedOn w:val="Normale"/>
    <w:rsid w:val="00C6793E"/>
    <w:pPr>
      <w:spacing w:after="0" w:line="240" w:lineRule="auto"/>
    </w:pPr>
    <w:rPr>
      <w:rFonts w:ascii="Calibri" w:hAnsi="Calibri" w:cs="Calibri"/>
      <w:lang w:eastAsia="it-IT"/>
    </w:rPr>
  </w:style>
  <w:style w:type="paragraph" w:customStyle="1" w:styleId="xxmsolistparagraph">
    <w:name w:val="x_x_msolistparagraph"/>
    <w:basedOn w:val="Normale"/>
    <w:rsid w:val="00C6793E"/>
    <w:pPr>
      <w:spacing w:before="100" w:beforeAutospacing="1" w:after="100" w:afterAutospacing="1" w:line="240" w:lineRule="auto"/>
    </w:pPr>
    <w:rPr>
      <w:rFonts w:ascii="Calibri" w:hAnsi="Calibri" w:cs="Calibri"/>
      <w:lang w:eastAsia="it-IT"/>
    </w:rPr>
  </w:style>
  <w:style w:type="character" w:styleId="Enfasicorsivo">
    <w:name w:val="Emphasis"/>
    <w:basedOn w:val="Carpredefinitoparagrafo"/>
    <w:uiPriority w:val="20"/>
    <w:qFormat/>
    <w:rsid w:val="004B0D1B"/>
    <w:rPr>
      <w:i/>
      <w:iCs/>
    </w:rPr>
  </w:style>
  <w:style w:type="character" w:customStyle="1" w:styleId="xxelementtoproof">
    <w:name w:val="x_x_elementtoproof"/>
    <w:basedOn w:val="Carpredefinitoparagrafo"/>
    <w:rsid w:val="004D621B"/>
  </w:style>
  <w:style w:type="paragraph" w:customStyle="1" w:styleId="xelementtoproof">
    <w:name w:val="x_elementtoproof"/>
    <w:basedOn w:val="Normale"/>
    <w:rsid w:val="00B25164"/>
    <w:pPr>
      <w:spacing w:before="100" w:beforeAutospacing="1" w:after="100" w:afterAutospacing="1" w:line="240" w:lineRule="auto"/>
    </w:pPr>
    <w:rPr>
      <w:rFonts w:ascii="Calibri" w:hAnsi="Calibri" w:cs="Calibri"/>
      <w:lang w:eastAsia="it-IT"/>
    </w:rPr>
  </w:style>
  <w:style w:type="paragraph" w:customStyle="1" w:styleId="elementtoproof">
    <w:name w:val="elementtoproof"/>
    <w:basedOn w:val="Normale"/>
    <w:rsid w:val="00AE4E19"/>
    <w:pPr>
      <w:spacing w:before="100" w:beforeAutospacing="1" w:after="100" w:afterAutospacing="1" w:line="240" w:lineRule="auto"/>
    </w:pPr>
    <w:rPr>
      <w:rFonts w:ascii="Calibri" w:hAnsi="Calibri" w:cs="Calibri"/>
      <w:lang w:eastAsia="it-IT"/>
    </w:rPr>
  </w:style>
  <w:style w:type="character" w:customStyle="1" w:styleId="contentpasted1">
    <w:name w:val="contentpasted1"/>
    <w:basedOn w:val="Carpredefinitoparagrafo"/>
    <w:rsid w:val="00153EE6"/>
  </w:style>
  <w:style w:type="paragraph" w:customStyle="1" w:styleId="contentpasted7">
    <w:name w:val="contentpasted7"/>
    <w:basedOn w:val="Normale"/>
    <w:uiPriority w:val="99"/>
    <w:semiHidden/>
    <w:rsid w:val="008D7BD7"/>
    <w:pPr>
      <w:spacing w:after="0" w:line="240" w:lineRule="auto"/>
    </w:pPr>
    <w:rPr>
      <w:rFonts w:ascii="Calibri" w:hAnsi="Calibri" w:cs="Calibri"/>
      <w:lang w:eastAsia="it-IT"/>
    </w:rPr>
  </w:style>
  <w:style w:type="character" w:customStyle="1" w:styleId="contentpasted4">
    <w:name w:val="contentpasted4"/>
    <w:basedOn w:val="Carpredefinitoparagrafo"/>
    <w:rsid w:val="008D7BD7"/>
  </w:style>
  <w:style w:type="paragraph" w:customStyle="1" w:styleId="xmsonormal">
    <w:name w:val="x_msonormal"/>
    <w:basedOn w:val="Normale"/>
    <w:rsid w:val="00BC43BE"/>
    <w:pPr>
      <w:spacing w:after="0" w:line="240" w:lineRule="auto"/>
    </w:pPr>
    <w:rPr>
      <w:rFonts w:ascii="Calibri" w:hAnsi="Calibri" w:cs="Calibri"/>
      <w:lang w:eastAsia="it-IT"/>
    </w:rPr>
  </w:style>
  <w:style w:type="paragraph" w:customStyle="1" w:styleId="xcontentpasted0">
    <w:name w:val="x_contentpasted0"/>
    <w:basedOn w:val="Normale"/>
    <w:rsid w:val="00BC43BE"/>
    <w:pPr>
      <w:spacing w:before="100" w:beforeAutospacing="1" w:after="100" w:afterAutospacing="1" w:line="240" w:lineRule="auto"/>
    </w:pPr>
    <w:rPr>
      <w:rFonts w:ascii="Calibri" w:hAnsi="Calibri" w:cs="Calibri"/>
      <w:lang w:eastAsia="it-IT"/>
    </w:rPr>
  </w:style>
  <w:style w:type="character" w:customStyle="1" w:styleId="xcontentpasted1">
    <w:name w:val="x_contentpasted1"/>
    <w:basedOn w:val="Carpredefinitoparagrafo"/>
    <w:rsid w:val="00BC43BE"/>
  </w:style>
  <w:style w:type="character" w:customStyle="1" w:styleId="xcontentpasted2">
    <w:name w:val="x_contentpasted2"/>
    <w:basedOn w:val="Carpredefinitoparagrafo"/>
    <w:rsid w:val="00BC43BE"/>
  </w:style>
  <w:style w:type="character" w:customStyle="1" w:styleId="xcontentpasted01">
    <w:name w:val="x_contentpasted01"/>
    <w:basedOn w:val="Carpredefinitoparagrafo"/>
    <w:rsid w:val="00BC4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593">
      <w:bodyDiv w:val="1"/>
      <w:marLeft w:val="0"/>
      <w:marRight w:val="0"/>
      <w:marTop w:val="0"/>
      <w:marBottom w:val="0"/>
      <w:divBdr>
        <w:top w:val="none" w:sz="0" w:space="0" w:color="auto"/>
        <w:left w:val="none" w:sz="0" w:space="0" w:color="auto"/>
        <w:bottom w:val="none" w:sz="0" w:space="0" w:color="auto"/>
        <w:right w:val="none" w:sz="0" w:space="0" w:color="auto"/>
      </w:divBdr>
    </w:div>
    <w:div w:id="54008550">
      <w:bodyDiv w:val="1"/>
      <w:marLeft w:val="0"/>
      <w:marRight w:val="0"/>
      <w:marTop w:val="0"/>
      <w:marBottom w:val="0"/>
      <w:divBdr>
        <w:top w:val="none" w:sz="0" w:space="0" w:color="auto"/>
        <w:left w:val="none" w:sz="0" w:space="0" w:color="auto"/>
        <w:bottom w:val="none" w:sz="0" w:space="0" w:color="auto"/>
        <w:right w:val="none" w:sz="0" w:space="0" w:color="auto"/>
      </w:divBdr>
    </w:div>
    <w:div w:id="122890182">
      <w:bodyDiv w:val="1"/>
      <w:marLeft w:val="0"/>
      <w:marRight w:val="0"/>
      <w:marTop w:val="0"/>
      <w:marBottom w:val="0"/>
      <w:divBdr>
        <w:top w:val="none" w:sz="0" w:space="0" w:color="auto"/>
        <w:left w:val="none" w:sz="0" w:space="0" w:color="auto"/>
        <w:bottom w:val="none" w:sz="0" w:space="0" w:color="auto"/>
        <w:right w:val="none" w:sz="0" w:space="0" w:color="auto"/>
      </w:divBdr>
    </w:div>
    <w:div w:id="140269545">
      <w:bodyDiv w:val="1"/>
      <w:marLeft w:val="0"/>
      <w:marRight w:val="0"/>
      <w:marTop w:val="0"/>
      <w:marBottom w:val="0"/>
      <w:divBdr>
        <w:top w:val="none" w:sz="0" w:space="0" w:color="auto"/>
        <w:left w:val="none" w:sz="0" w:space="0" w:color="auto"/>
        <w:bottom w:val="none" w:sz="0" w:space="0" w:color="auto"/>
        <w:right w:val="none" w:sz="0" w:space="0" w:color="auto"/>
      </w:divBdr>
    </w:div>
    <w:div w:id="172230563">
      <w:bodyDiv w:val="1"/>
      <w:marLeft w:val="0"/>
      <w:marRight w:val="0"/>
      <w:marTop w:val="0"/>
      <w:marBottom w:val="0"/>
      <w:divBdr>
        <w:top w:val="none" w:sz="0" w:space="0" w:color="auto"/>
        <w:left w:val="none" w:sz="0" w:space="0" w:color="auto"/>
        <w:bottom w:val="none" w:sz="0" w:space="0" w:color="auto"/>
        <w:right w:val="none" w:sz="0" w:space="0" w:color="auto"/>
      </w:divBdr>
      <w:divsChild>
        <w:div w:id="1146895144">
          <w:marLeft w:val="0"/>
          <w:marRight w:val="0"/>
          <w:marTop w:val="0"/>
          <w:marBottom w:val="0"/>
          <w:divBdr>
            <w:top w:val="none" w:sz="0" w:space="0" w:color="auto"/>
            <w:left w:val="none" w:sz="0" w:space="0" w:color="auto"/>
            <w:bottom w:val="none" w:sz="0" w:space="0" w:color="auto"/>
            <w:right w:val="none" w:sz="0" w:space="0" w:color="auto"/>
          </w:divBdr>
          <w:divsChild>
            <w:div w:id="895429016">
              <w:marLeft w:val="0"/>
              <w:marRight w:val="0"/>
              <w:marTop w:val="0"/>
              <w:marBottom w:val="0"/>
              <w:divBdr>
                <w:top w:val="none" w:sz="0" w:space="0" w:color="auto"/>
                <w:left w:val="none" w:sz="0" w:space="0" w:color="auto"/>
                <w:bottom w:val="none" w:sz="0" w:space="0" w:color="auto"/>
                <w:right w:val="none" w:sz="0" w:space="0" w:color="auto"/>
              </w:divBdr>
              <w:divsChild>
                <w:div w:id="10799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3529">
      <w:bodyDiv w:val="1"/>
      <w:marLeft w:val="0"/>
      <w:marRight w:val="0"/>
      <w:marTop w:val="0"/>
      <w:marBottom w:val="0"/>
      <w:divBdr>
        <w:top w:val="none" w:sz="0" w:space="0" w:color="auto"/>
        <w:left w:val="none" w:sz="0" w:space="0" w:color="auto"/>
        <w:bottom w:val="none" w:sz="0" w:space="0" w:color="auto"/>
        <w:right w:val="none" w:sz="0" w:space="0" w:color="auto"/>
      </w:divBdr>
    </w:div>
    <w:div w:id="251548330">
      <w:bodyDiv w:val="1"/>
      <w:marLeft w:val="0"/>
      <w:marRight w:val="0"/>
      <w:marTop w:val="0"/>
      <w:marBottom w:val="0"/>
      <w:divBdr>
        <w:top w:val="none" w:sz="0" w:space="0" w:color="auto"/>
        <w:left w:val="none" w:sz="0" w:space="0" w:color="auto"/>
        <w:bottom w:val="none" w:sz="0" w:space="0" w:color="auto"/>
        <w:right w:val="none" w:sz="0" w:space="0" w:color="auto"/>
      </w:divBdr>
    </w:div>
    <w:div w:id="256791412">
      <w:bodyDiv w:val="1"/>
      <w:marLeft w:val="0"/>
      <w:marRight w:val="0"/>
      <w:marTop w:val="0"/>
      <w:marBottom w:val="0"/>
      <w:divBdr>
        <w:top w:val="none" w:sz="0" w:space="0" w:color="auto"/>
        <w:left w:val="none" w:sz="0" w:space="0" w:color="auto"/>
        <w:bottom w:val="none" w:sz="0" w:space="0" w:color="auto"/>
        <w:right w:val="none" w:sz="0" w:space="0" w:color="auto"/>
      </w:divBdr>
    </w:div>
    <w:div w:id="285502173">
      <w:bodyDiv w:val="1"/>
      <w:marLeft w:val="0"/>
      <w:marRight w:val="0"/>
      <w:marTop w:val="0"/>
      <w:marBottom w:val="0"/>
      <w:divBdr>
        <w:top w:val="none" w:sz="0" w:space="0" w:color="auto"/>
        <w:left w:val="none" w:sz="0" w:space="0" w:color="auto"/>
        <w:bottom w:val="none" w:sz="0" w:space="0" w:color="auto"/>
        <w:right w:val="none" w:sz="0" w:space="0" w:color="auto"/>
      </w:divBdr>
    </w:div>
    <w:div w:id="330106368">
      <w:bodyDiv w:val="1"/>
      <w:marLeft w:val="0"/>
      <w:marRight w:val="0"/>
      <w:marTop w:val="0"/>
      <w:marBottom w:val="0"/>
      <w:divBdr>
        <w:top w:val="none" w:sz="0" w:space="0" w:color="auto"/>
        <w:left w:val="none" w:sz="0" w:space="0" w:color="auto"/>
        <w:bottom w:val="none" w:sz="0" w:space="0" w:color="auto"/>
        <w:right w:val="none" w:sz="0" w:space="0" w:color="auto"/>
      </w:divBdr>
    </w:div>
    <w:div w:id="332029701">
      <w:bodyDiv w:val="1"/>
      <w:marLeft w:val="0"/>
      <w:marRight w:val="0"/>
      <w:marTop w:val="0"/>
      <w:marBottom w:val="0"/>
      <w:divBdr>
        <w:top w:val="none" w:sz="0" w:space="0" w:color="auto"/>
        <w:left w:val="none" w:sz="0" w:space="0" w:color="auto"/>
        <w:bottom w:val="none" w:sz="0" w:space="0" w:color="auto"/>
        <w:right w:val="none" w:sz="0" w:space="0" w:color="auto"/>
      </w:divBdr>
    </w:div>
    <w:div w:id="393967402">
      <w:bodyDiv w:val="1"/>
      <w:marLeft w:val="0"/>
      <w:marRight w:val="0"/>
      <w:marTop w:val="0"/>
      <w:marBottom w:val="0"/>
      <w:divBdr>
        <w:top w:val="none" w:sz="0" w:space="0" w:color="auto"/>
        <w:left w:val="none" w:sz="0" w:space="0" w:color="auto"/>
        <w:bottom w:val="none" w:sz="0" w:space="0" w:color="auto"/>
        <w:right w:val="none" w:sz="0" w:space="0" w:color="auto"/>
      </w:divBdr>
    </w:div>
    <w:div w:id="413742057">
      <w:bodyDiv w:val="1"/>
      <w:marLeft w:val="0"/>
      <w:marRight w:val="0"/>
      <w:marTop w:val="0"/>
      <w:marBottom w:val="0"/>
      <w:divBdr>
        <w:top w:val="none" w:sz="0" w:space="0" w:color="auto"/>
        <w:left w:val="none" w:sz="0" w:space="0" w:color="auto"/>
        <w:bottom w:val="none" w:sz="0" w:space="0" w:color="auto"/>
        <w:right w:val="none" w:sz="0" w:space="0" w:color="auto"/>
      </w:divBdr>
    </w:div>
    <w:div w:id="426999437">
      <w:bodyDiv w:val="1"/>
      <w:marLeft w:val="0"/>
      <w:marRight w:val="0"/>
      <w:marTop w:val="0"/>
      <w:marBottom w:val="0"/>
      <w:divBdr>
        <w:top w:val="none" w:sz="0" w:space="0" w:color="auto"/>
        <w:left w:val="none" w:sz="0" w:space="0" w:color="auto"/>
        <w:bottom w:val="none" w:sz="0" w:space="0" w:color="auto"/>
        <w:right w:val="none" w:sz="0" w:space="0" w:color="auto"/>
      </w:divBdr>
    </w:div>
    <w:div w:id="453445926">
      <w:bodyDiv w:val="1"/>
      <w:marLeft w:val="0"/>
      <w:marRight w:val="0"/>
      <w:marTop w:val="0"/>
      <w:marBottom w:val="0"/>
      <w:divBdr>
        <w:top w:val="none" w:sz="0" w:space="0" w:color="auto"/>
        <w:left w:val="none" w:sz="0" w:space="0" w:color="auto"/>
        <w:bottom w:val="none" w:sz="0" w:space="0" w:color="auto"/>
        <w:right w:val="none" w:sz="0" w:space="0" w:color="auto"/>
      </w:divBdr>
    </w:div>
    <w:div w:id="460155531">
      <w:bodyDiv w:val="1"/>
      <w:marLeft w:val="0"/>
      <w:marRight w:val="0"/>
      <w:marTop w:val="0"/>
      <w:marBottom w:val="0"/>
      <w:divBdr>
        <w:top w:val="none" w:sz="0" w:space="0" w:color="auto"/>
        <w:left w:val="none" w:sz="0" w:space="0" w:color="auto"/>
        <w:bottom w:val="none" w:sz="0" w:space="0" w:color="auto"/>
        <w:right w:val="none" w:sz="0" w:space="0" w:color="auto"/>
      </w:divBdr>
      <w:divsChild>
        <w:div w:id="2066832918">
          <w:marLeft w:val="0"/>
          <w:marRight w:val="0"/>
          <w:marTop w:val="0"/>
          <w:marBottom w:val="0"/>
          <w:divBdr>
            <w:top w:val="none" w:sz="0" w:space="0" w:color="auto"/>
            <w:left w:val="none" w:sz="0" w:space="0" w:color="auto"/>
            <w:bottom w:val="none" w:sz="0" w:space="0" w:color="auto"/>
            <w:right w:val="none" w:sz="0" w:space="0" w:color="auto"/>
          </w:divBdr>
          <w:divsChild>
            <w:div w:id="840201638">
              <w:marLeft w:val="0"/>
              <w:marRight w:val="0"/>
              <w:marTop w:val="0"/>
              <w:marBottom w:val="0"/>
              <w:divBdr>
                <w:top w:val="none" w:sz="0" w:space="0" w:color="auto"/>
                <w:left w:val="none" w:sz="0" w:space="0" w:color="auto"/>
                <w:bottom w:val="none" w:sz="0" w:space="0" w:color="auto"/>
                <w:right w:val="none" w:sz="0" w:space="0" w:color="auto"/>
              </w:divBdr>
              <w:divsChild>
                <w:div w:id="4086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29796">
      <w:bodyDiv w:val="1"/>
      <w:marLeft w:val="0"/>
      <w:marRight w:val="0"/>
      <w:marTop w:val="0"/>
      <w:marBottom w:val="0"/>
      <w:divBdr>
        <w:top w:val="none" w:sz="0" w:space="0" w:color="auto"/>
        <w:left w:val="none" w:sz="0" w:space="0" w:color="auto"/>
        <w:bottom w:val="none" w:sz="0" w:space="0" w:color="auto"/>
        <w:right w:val="none" w:sz="0" w:space="0" w:color="auto"/>
      </w:divBdr>
    </w:div>
    <w:div w:id="522675070">
      <w:bodyDiv w:val="1"/>
      <w:marLeft w:val="0"/>
      <w:marRight w:val="0"/>
      <w:marTop w:val="0"/>
      <w:marBottom w:val="0"/>
      <w:divBdr>
        <w:top w:val="none" w:sz="0" w:space="0" w:color="auto"/>
        <w:left w:val="none" w:sz="0" w:space="0" w:color="auto"/>
        <w:bottom w:val="none" w:sz="0" w:space="0" w:color="auto"/>
        <w:right w:val="none" w:sz="0" w:space="0" w:color="auto"/>
      </w:divBdr>
    </w:div>
    <w:div w:id="528878342">
      <w:bodyDiv w:val="1"/>
      <w:marLeft w:val="0"/>
      <w:marRight w:val="0"/>
      <w:marTop w:val="0"/>
      <w:marBottom w:val="0"/>
      <w:divBdr>
        <w:top w:val="none" w:sz="0" w:space="0" w:color="auto"/>
        <w:left w:val="none" w:sz="0" w:space="0" w:color="auto"/>
        <w:bottom w:val="none" w:sz="0" w:space="0" w:color="auto"/>
        <w:right w:val="none" w:sz="0" w:space="0" w:color="auto"/>
      </w:divBdr>
    </w:div>
    <w:div w:id="534854048">
      <w:bodyDiv w:val="1"/>
      <w:marLeft w:val="0"/>
      <w:marRight w:val="0"/>
      <w:marTop w:val="0"/>
      <w:marBottom w:val="0"/>
      <w:divBdr>
        <w:top w:val="none" w:sz="0" w:space="0" w:color="auto"/>
        <w:left w:val="none" w:sz="0" w:space="0" w:color="auto"/>
        <w:bottom w:val="none" w:sz="0" w:space="0" w:color="auto"/>
        <w:right w:val="none" w:sz="0" w:space="0" w:color="auto"/>
      </w:divBdr>
    </w:div>
    <w:div w:id="575092377">
      <w:bodyDiv w:val="1"/>
      <w:marLeft w:val="0"/>
      <w:marRight w:val="0"/>
      <w:marTop w:val="0"/>
      <w:marBottom w:val="0"/>
      <w:divBdr>
        <w:top w:val="none" w:sz="0" w:space="0" w:color="auto"/>
        <w:left w:val="none" w:sz="0" w:space="0" w:color="auto"/>
        <w:bottom w:val="none" w:sz="0" w:space="0" w:color="auto"/>
        <w:right w:val="none" w:sz="0" w:space="0" w:color="auto"/>
      </w:divBdr>
    </w:div>
    <w:div w:id="642274795">
      <w:bodyDiv w:val="1"/>
      <w:marLeft w:val="0"/>
      <w:marRight w:val="0"/>
      <w:marTop w:val="0"/>
      <w:marBottom w:val="0"/>
      <w:divBdr>
        <w:top w:val="none" w:sz="0" w:space="0" w:color="auto"/>
        <w:left w:val="none" w:sz="0" w:space="0" w:color="auto"/>
        <w:bottom w:val="none" w:sz="0" w:space="0" w:color="auto"/>
        <w:right w:val="none" w:sz="0" w:space="0" w:color="auto"/>
      </w:divBdr>
    </w:div>
    <w:div w:id="645479047">
      <w:bodyDiv w:val="1"/>
      <w:marLeft w:val="0"/>
      <w:marRight w:val="0"/>
      <w:marTop w:val="0"/>
      <w:marBottom w:val="0"/>
      <w:divBdr>
        <w:top w:val="none" w:sz="0" w:space="0" w:color="auto"/>
        <w:left w:val="none" w:sz="0" w:space="0" w:color="auto"/>
        <w:bottom w:val="none" w:sz="0" w:space="0" w:color="auto"/>
        <w:right w:val="none" w:sz="0" w:space="0" w:color="auto"/>
      </w:divBdr>
    </w:div>
    <w:div w:id="659190949">
      <w:bodyDiv w:val="1"/>
      <w:marLeft w:val="0"/>
      <w:marRight w:val="0"/>
      <w:marTop w:val="0"/>
      <w:marBottom w:val="0"/>
      <w:divBdr>
        <w:top w:val="none" w:sz="0" w:space="0" w:color="auto"/>
        <w:left w:val="none" w:sz="0" w:space="0" w:color="auto"/>
        <w:bottom w:val="none" w:sz="0" w:space="0" w:color="auto"/>
        <w:right w:val="none" w:sz="0" w:space="0" w:color="auto"/>
      </w:divBdr>
      <w:divsChild>
        <w:div w:id="599724354">
          <w:marLeft w:val="0"/>
          <w:marRight w:val="0"/>
          <w:marTop w:val="0"/>
          <w:marBottom w:val="0"/>
          <w:divBdr>
            <w:top w:val="none" w:sz="0" w:space="0" w:color="auto"/>
            <w:left w:val="none" w:sz="0" w:space="0" w:color="auto"/>
            <w:bottom w:val="none" w:sz="0" w:space="0" w:color="auto"/>
            <w:right w:val="none" w:sz="0" w:space="0" w:color="auto"/>
          </w:divBdr>
        </w:div>
      </w:divsChild>
    </w:div>
    <w:div w:id="661199773">
      <w:bodyDiv w:val="1"/>
      <w:marLeft w:val="0"/>
      <w:marRight w:val="0"/>
      <w:marTop w:val="0"/>
      <w:marBottom w:val="0"/>
      <w:divBdr>
        <w:top w:val="none" w:sz="0" w:space="0" w:color="auto"/>
        <w:left w:val="none" w:sz="0" w:space="0" w:color="auto"/>
        <w:bottom w:val="none" w:sz="0" w:space="0" w:color="auto"/>
        <w:right w:val="none" w:sz="0" w:space="0" w:color="auto"/>
      </w:divBdr>
    </w:div>
    <w:div w:id="724522698">
      <w:bodyDiv w:val="1"/>
      <w:marLeft w:val="0"/>
      <w:marRight w:val="0"/>
      <w:marTop w:val="0"/>
      <w:marBottom w:val="0"/>
      <w:divBdr>
        <w:top w:val="none" w:sz="0" w:space="0" w:color="auto"/>
        <w:left w:val="none" w:sz="0" w:space="0" w:color="auto"/>
        <w:bottom w:val="none" w:sz="0" w:space="0" w:color="auto"/>
        <w:right w:val="none" w:sz="0" w:space="0" w:color="auto"/>
      </w:divBdr>
    </w:div>
    <w:div w:id="753746601">
      <w:bodyDiv w:val="1"/>
      <w:marLeft w:val="0"/>
      <w:marRight w:val="0"/>
      <w:marTop w:val="0"/>
      <w:marBottom w:val="0"/>
      <w:divBdr>
        <w:top w:val="none" w:sz="0" w:space="0" w:color="auto"/>
        <w:left w:val="none" w:sz="0" w:space="0" w:color="auto"/>
        <w:bottom w:val="none" w:sz="0" w:space="0" w:color="auto"/>
        <w:right w:val="none" w:sz="0" w:space="0" w:color="auto"/>
      </w:divBdr>
    </w:div>
    <w:div w:id="757748566">
      <w:bodyDiv w:val="1"/>
      <w:marLeft w:val="0"/>
      <w:marRight w:val="0"/>
      <w:marTop w:val="0"/>
      <w:marBottom w:val="0"/>
      <w:divBdr>
        <w:top w:val="none" w:sz="0" w:space="0" w:color="auto"/>
        <w:left w:val="none" w:sz="0" w:space="0" w:color="auto"/>
        <w:bottom w:val="none" w:sz="0" w:space="0" w:color="auto"/>
        <w:right w:val="none" w:sz="0" w:space="0" w:color="auto"/>
      </w:divBdr>
    </w:div>
    <w:div w:id="876697849">
      <w:bodyDiv w:val="1"/>
      <w:marLeft w:val="0"/>
      <w:marRight w:val="0"/>
      <w:marTop w:val="0"/>
      <w:marBottom w:val="0"/>
      <w:divBdr>
        <w:top w:val="none" w:sz="0" w:space="0" w:color="auto"/>
        <w:left w:val="none" w:sz="0" w:space="0" w:color="auto"/>
        <w:bottom w:val="none" w:sz="0" w:space="0" w:color="auto"/>
        <w:right w:val="none" w:sz="0" w:space="0" w:color="auto"/>
      </w:divBdr>
    </w:div>
    <w:div w:id="935939040">
      <w:bodyDiv w:val="1"/>
      <w:marLeft w:val="0"/>
      <w:marRight w:val="0"/>
      <w:marTop w:val="0"/>
      <w:marBottom w:val="0"/>
      <w:divBdr>
        <w:top w:val="none" w:sz="0" w:space="0" w:color="auto"/>
        <w:left w:val="none" w:sz="0" w:space="0" w:color="auto"/>
        <w:bottom w:val="none" w:sz="0" w:space="0" w:color="auto"/>
        <w:right w:val="none" w:sz="0" w:space="0" w:color="auto"/>
      </w:divBdr>
    </w:div>
    <w:div w:id="994606197">
      <w:bodyDiv w:val="1"/>
      <w:marLeft w:val="0"/>
      <w:marRight w:val="0"/>
      <w:marTop w:val="0"/>
      <w:marBottom w:val="0"/>
      <w:divBdr>
        <w:top w:val="none" w:sz="0" w:space="0" w:color="auto"/>
        <w:left w:val="none" w:sz="0" w:space="0" w:color="auto"/>
        <w:bottom w:val="none" w:sz="0" w:space="0" w:color="auto"/>
        <w:right w:val="none" w:sz="0" w:space="0" w:color="auto"/>
      </w:divBdr>
    </w:div>
    <w:div w:id="1041394228">
      <w:bodyDiv w:val="1"/>
      <w:marLeft w:val="0"/>
      <w:marRight w:val="0"/>
      <w:marTop w:val="0"/>
      <w:marBottom w:val="0"/>
      <w:divBdr>
        <w:top w:val="none" w:sz="0" w:space="0" w:color="auto"/>
        <w:left w:val="none" w:sz="0" w:space="0" w:color="auto"/>
        <w:bottom w:val="none" w:sz="0" w:space="0" w:color="auto"/>
        <w:right w:val="none" w:sz="0" w:space="0" w:color="auto"/>
      </w:divBdr>
    </w:div>
    <w:div w:id="1063599639">
      <w:bodyDiv w:val="1"/>
      <w:marLeft w:val="0"/>
      <w:marRight w:val="0"/>
      <w:marTop w:val="0"/>
      <w:marBottom w:val="0"/>
      <w:divBdr>
        <w:top w:val="none" w:sz="0" w:space="0" w:color="auto"/>
        <w:left w:val="none" w:sz="0" w:space="0" w:color="auto"/>
        <w:bottom w:val="none" w:sz="0" w:space="0" w:color="auto"/>
        <w:right w:val="none" w:sz="0" w:space="0" w:color="auto"/>
      </w:divBdr>
    </w:div>
    <w:div w:id="1122698929">
      <w:bodyDiv w:val="1"/>
      <w:marLeft w:val="0"/>
      <w:marRight w:val="0"/>
      <w:marTop w:val="0"/>
      <w:marBottom w:val="0"/>
      <w:divBdr>
        <w:top w:val="none" w:sz="0" w:space="0" w:color="auto"/>
        <w:left w:val="none" w:sz="0" w:space="0" w:color="auto"/>
        <w:bottom w:val="none" w:sz="0" w:space="0" w:color="auto"/>
        <w:right w:val="none" w:sz="0" w:space="0" w:color="auto"/>
      </w:divBdr>
      <w:divsChild>
        <w:div w:id="441458211">
          <w:marLeft w:val="0"/>
          <w:marRight w:val="0"/>
          <w:marTop w:val="0"/>
          <w:marBottom w:val="0"/>
          <w:divBdr>
            <w:top w:val="none" w:sz="0" w:space="0" w:color="auto"/>
            <w:left w:val="none" w:sz="0" w:space="0" w:color="auto"/>
            <w:bottom w:val="none" w:sz="0" w:space="0" w:color="auto"/>
            <w:right w:val="none" w:sz="0" w:space="0" w:color="auto"/>
          </w:divBdr>
          <w:divsChild>
            <w:div w:id="1027487705">
              <w:marLeft w:val="0"/>
              <w:marRight w:val="0"/>
              <w:marTop w:val="0"/>
              <w:marBottom w:val="0"/>
              <w:divBdr>
                <w:top w:val="none" w:sz="0" w:space="0" w:color="auto"/>
                <w:left w:val="none" w:sz="0" w:space="0" w:color="auto"/>
                <w:bottom w:val="none" w:sz="0" w:space="0" w:color="auto"/>
                <w:right w:val="none" w:sz="0" w:space="0" w:color="auto"/>
              </w:divBdr>
              <w:divsChild>
                <w:div w:id="1189100066">
                  <w:marLeft w:val="0"/>
                  <w:marRight w:val="0"/>
                  <w:marTop w:val="0"/>
                  <w:marBottom w:val="0"/>
                  <w:divBdr>
                    <w:top w:val="none" w:sz="0" w:space="0" w:color="auto"/>
                    <w:left w:val="none" w:sz="0" w:space="0" w:color="auto"/>
                    <w:bottom w:val="none" w:sz="0" w:space="0" w:color="auto"/>
                    <w:right w:val="none" w:sz="0" w:space="0" w:color="auto"/>
                  </w:divBdr>
                  <w:divsChild>
                    <w:div w:id="17873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81586">
      <w:bodyDiv w:val="1"/>
      <w:marLeft w:val="0"/>
      <w:marRight w:val="0"/>
      <w:marTop w:val="0"/>
      <w:marBottom w:val="0"/>
      <w:divBdr>
        <w:top w:val="none" w:sz="0" w:space="0" w:color="auto"/>
        <w:left w:val="none" w:sz="0" w:space="0" w:color="auto"/>
        <w:bottom w:val="none" w:sz="0" w:space="0" w:color="auto"/>
        <w:right w:val="none" w:sz="0" w:space="0" w:color="auto"/>
      </w:divBdr>
    </w:div>
    <w:div w:id="1222600766">
      <w:bodyDiv w:val="1"/>
      <w:marLeft w:val="0"/>
      <w:marRight w:val="0"/>
      <w:marTop w:val="0"/>
      <w:marBottom w:val="0"/>
      <w:divBdr>
        <w:top w:val="none" w:sz="0" w:space="0" w:color="auto"/>
        <w:left w:val="none" w:sz="0" w:space="0" w:color="auto"/>
        <w:bottom w:val="none" w:sz="0" w:space="0" w:color="auto"/>
        <w:right w:val="none" w:sz="0" w:space="0" w:color="auto"/>
      </w:divBdr>
    </w:div>
    <w:div w:id="1309818683">
      <w:bodyDiv w:val="1"/>
      <w:marLeft w:val="0"/>
      <w:marRight w:val="0"/>
      <w:marTop w:val="0"/>
      <w:marBottom w:val="0"/>
      <w:divBdr>
        <w:top w:val="none" w:sz="0" w:space="0" w:color="auto"/>
        <w:left w:val="none" w:sz="0" w:space="0" w:color="auto"/>
        <w:bottom w:val="none" w:sz="0" w:space="0" w:color="auto"/>
        <w:right w:val="none" w:sz="0" w:space="0" w:color="auto"/>
      </w:divBdr>
    </w:div>
    <w:div w:id="1324352200">
      <w:bodyDiv w:val="1"/>
      <w:marLeft w:val="0"/>
      <w:marRight w:val="0"/>
      <w:marTop w:val="0"/>
      <w:marBottom w:val="0"/>
      <w:divBdr>
        <w:top w:val="none" w:sz="0" w:space="0" w:color="auto"/>
        <w:left w:val="none" w:sz="0" w:space="0" w:color="auto"/>
        <w:bottom w:val="none" w:sz="0" w:space="0" w:color="auto"/>
        <w:right w:val="none" w:sz="0" w:space="0" w:color="auto"/>
      </w:divBdr>
    </w:div>
    <w:div w:id="1332221138">
      <w:bodyDiv w:val="1"/>
      <w:marLeft w:val="0"/>
      <w:marRight w:val="0"/>
      <w:marTop w:val="0"/>
      <w:marBottom w:val="0"/>
      <w:divBdr>
        <w:top w:val="none" w:sz="0" w:space="0" w:color="auto"/>
        <w:left w:val="none" w:sz="0" w:space="0" w:color="auto"/>
        <w:bottom w:val="none" w:sz="0" w:space="0" w:color="auto"/>
        <w:right w:val="none" w:sz="0" w:space="0" w:color="auto"/>
      </w:divBdr>
    </w:div>
    <w:div w:id="1379210080">
      <w:bodyDiv w:val="1"/>
      <w:marLeft w:val="0"/>
      <w:marRight w:val="0"/>
      <w:marTop w:val="0"/>
      <w:marBottom w:val="0"/>
      <w:divBdr>
        <w:top w:val="none" w:sz="0" w:space="0" w:color="auto"/>
        <w:left w:val="none" w:sz="0" w:space="0" w:color="auto"/>
        <w:bottom w:val="none" w:sz="0" w:space="0" w:color="auto"/>
        <w:right w:val="none" w:sz="0" w:space="0" w:color="auto"/>
      </w:divBdr>
    </w:div>
    <w:div w:id="1403791340">
      <w:bodyDiv w:val="1"/>
      <w:marLeft w:val="0"/>
      <w:marRight w:val="0"/>
      <w:marTop w:val="0"/>
      <w:marBottom w:val="0"/>
      <w:divBdr>
        <w:top w:val="none" w:sz="0" w:space="0" w:color="auto"/>
        <w:left w:val="none" w:sz="0" w:space="0" w:color="auto"/>
        <w:bottom w:val="none" w:sz="0" w:space="0" w:color="auto"/>
        <w:right w:val="none" w:sz="0" w:space="0" w:color="auto"/>
      </w:divBdr>
    </w:div>
    <w:div w:id="1428966761">
      <w:bodyDiv w:val="1"/>
      <w:marLeft w:val="0"/>
      <w:marRight w:val="0"/>
      <w:marTop w:val="0"/>
      <w:marBottom w:val="0"/>
      <w:divBdr>
        <w:top w:val="none" w:sz="0" w:space="0" w:color="auto"/>
        <w:left w:val="none" w:sz="0" w:space="0" w:color="auto"/>
        <w:bottom w:val="none" w:sz="0" w:space="0" w:color="auto"/>
        <w:right w:val="none" w:sz="0" w:space="0" w:color="auto"/>
      </w:divBdr>
    </w:div>
    <w:div w:id="1490443238">
      <w:bodyDiv w:val="1"/>
      <w:marLeft w:val="0"/>
      <w:marRight w:val="0"/>
      <w:marTop w:val="0"/>
      <w:marBottom w:val="0"/>
      <w:divBdr>
        <w:top w:val="none" w:sz="0" w:space="0" w:color="auto"/>
        <w:left w:val="none" w:sz="0" w:space="0" w:color="auto"/>
        <w:bottom w:val="none" w:sz="0" w:space="0" w:color="auto"/>
        <w:right w:val="none" w:sz="0" w:space="0" w:color="auto"/>
      </w:divBdr>
      <w:divsChild>
        <w:div w:id="1974094442">
          <w:marLeft w:val="0"/>
          <w:marRight w:val="0"/>
          <w:marTop w:val="0"/>
          <w:marBottom w:val="0"/>
          <w:divBdr>
            <w:top w:val="none" w:sz="0" w:space="0" w:color="auto"/>
            <w:left w:val="none" w:sz="0" w:space="0" w:color="auto"/>
            <w:bottom w:val="none" w:sz="0" w:space="0" w:color="auto"/>
            <w:right w:val="none" w:sz="0" w:space="0" w:color="auto"/>
          </w:divBdr>
          <w:divsChild>
            <w:div w:id="144317969">
              <w:marLeft w:val="0"/>
              <w:marRight w:val="0"/>
              <w:marTop w:val="0"/>
              <w:marBottom w:val="0"/>
              <w:divBdr>
                <w:top w:val="none" w:sz="0" w:space="0" w:color="auto"/>
                <w:left w:val="none" w:sz="0" w:space="0" w:color="auto"/>
                <w:bottom w:val="none" w:sz="0" w:space="0" w:color="auto"/>
                <w:right w:val="none" w:sz="0" w:space="0" w:color="auto"/>
              </w:divBdr>
              <w:divsChild>
                <w:div w:id="1148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73192">
      <w:bodyDiv w:val="1"/>
      <w:marLeft w:val="0"/>
      <w:marRight w:val="0"/>
      <w:marTop w:val="0"/>
      <w:marBottom w:val="0"/>
      <w:divBdr>
        <w:top w:val="none" w:sz="0" w:space="0" w:color="auto"/>
        <w:left w:val="none" w:sz="0" w:space="0" w:color="auto"/>
        <w:bottom w:val="none" w:sz="0" w:space="0" w:color="auto"/>
        <w:right w:val="none" w:sz="0" w:space="0" w:color="auto"/>
      </w:divBdr>
    </w:div>
    <w:div w:id="1748845463">
      <w:bodyDiv w:val="1"/>
      <w:marLeft w:val="0"/>
      <w:marRight w:val="0"/>
      <w:marTop w:val="0"/>
      <w:marBottom w:val="0"/>
      <w:divBdr>
        <w:top w:val="none" w:sz="0" w:space="0" w:color="auto"/>
        <w:left w:val="none" w:sz="0" w:space="0" w:color="auto"/>
        <w:bottom w:val="none" w:sz="0" w:space="0" w:color="auto"/>
        <w:right w:val="none" w:sz="0" w:space="0" w:color="auto"/>
      </w:divBdr>
    </w:div>
    <w:div w:id="1783527608">
      <w:bodyDiv w:val="1"/>
      <w:marLeft w:val="0"/>
      <w:marRight w:val="0"/>
      <w:marTop w:val="0"/>
      <w:marBottom w:val="0"/>
      <w:divBdr>
        <w:top w:val="none" w:sz="0" w:space="0" w:color="auto"/>
        <w:left w:val="none" w:sz="0" w:space="0" w:color="auto"/>
        <w:bottom w:val="none" w:sz="0" w:space="0" w:color="auto"/>
        <w:right w:val="none" w:sz="0" w:space="0" w:color="auto"/>
      </w:divBdr>
    </w:div>
    <w:div w:id="1799448102">
      <w:bodyDiv w:val="1"/>
      <w:marLeft w:val="0"/>
      <w:marRight w:val="0"/>
      <w:marTop w:val="0"/>
      <w:marBottom w:val="0"/>
      <w:divBdr>
        <w:top w:val="none" w:sz="0" w:space="0" w:color="auto"/>
        <w:left w:val="none" w:sz="0" w:space="0" w:color="auto"/>
        <w:bottom w:val="none" w:sz="0" w:space="0" w:color="auto"/>
        <w:right w:val="none" w:sz="0" w:space="0" w:color="auto"/>
      </w:divBdr>
    </w:div>
    <w:div w:id="1866140307">
      <w:bodyDiv w:val="1"/>
      <w:marLeft w:val="0"/>
      <w:marRight w:val="0"/>
      <w:marTop w:val="0"/>
      <w:marBottom w:val="0"/>
      <w:divBdr>
        <w:top w:val="none" w:sz="0" w:space="0" w:color="auto"/>
        <w:left w:val="none" w:sz="0" w:space="0" w:color="auto"/>
        <w:bottom w:val="none" w:sz="0" w:space="0" w:color="auto"/>
        <w:right w:val="none" w:sz="0" w:space="0" w:color="auto"/>
      </w:divBdr>
      <w:divsChild>
        <w:div w:id="1191601245">
          <w:marLeft w:val="0"/>
          <w:marRight w:val="0"/>
          <w:marTop w:val="0"/>
          <w:marBottom w:val="0"/>
          <w:divBdr>
            <w:top w:val="none" w:sz="0" w:space="0" w:color="auto"/>
            <w:left w:val="none" w:sz="0" w:space="0" w:color="auto"/>
            <w:bottom w:val="none" w:sz="0" w:space="0" w:color="auto"/>
            <w:right w:val="none" w:sz="0" w:space="0" w:color="auto"/>
          </w:divBdr>
          <w:divsChild>
            <w:div w:id="1983386577">
              <w:marLeft w:val="0"/>
              <w:marRight w:val="0"/>
              <w:marTop w:val="0"/>
              <w:marBottom w:val="0"/>
              <w:divBdr>
                <w:top w:val="none" w:sz="0" w:space="0" w:color="auto"/>
                <w:left w:val="none" w:sz="0" w:space="0" w:color="auto"/>
                <w:bottom w:val="none" w:sz="0" w:space="0" w:color="auto"/>
                <w:right w:val="none" w:sz="0" w:space="0" w:color="auto"/>
              </w:divBdr>
              <w:divsChild>
                <w:div w:id="18900208">
                  <w:marLeft w:val="0"/>
                  <w:marRight w:val="0"/>
                  <w:marTop w:val="0"/>
                  <w:marBottom w:val="0"/>
                  <w:divBdr>
                    <w:top w:val="none" w:sz="0" w:space="0" w:color="auto"/>
                    <w:left w:val="none" w:sz="0" w:space="0" w:color="auto"/>
                    <w:bottom w:val="none" w:sz="0" w:space="0" w:color="auto"/>
                    <w:right w:val="none" w:sz="0" w:space="0" w:color="auto"/>
                  </w:divBdr>
                  <w:divsChild>
                    <w:div w:id="12905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39349">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2030596811">
      <w:bodyDiv w:val="1"/>
      <w:marLeft w:val="0"/>
      <w:marRight w:val="0"/>
      <w:marTop w:val="0"/>
      <w:marBottom w:val="0"/>
      <w:divBdr>
        <w:top w:val="none" w:sz="0" w:space="0" w:color="auto"/>
        <w:left w:val="none" w:sz="0" w:space="0" w:color="auto"/>
        <w:bottom w:val="none" w:sz="0" w:space="0" w:color="auto"/>
        <w:right w:val="none" w:sz="0" w:space="0" w:color="auto"/>
      </w:divBdr>
      <w:divsChild>
        <w:div w:id="1936017409">
          <w:marLeft w:val="0"/>
          <w:marRight w:val="0"/>
          <w:marTop w:val="0"/>
          <w:marBottom w:val="0"/>
          <w:divBdr>
            <w:top w:val="none" w:sz="0" w:space="0" w:color="auto"/>
            <w:left w:val="none" w:sz="0" w:space="0" w:color="auto"/>
            <w:bottom w:val="none" w:sz="0" w:space="0" w:color="auto"/>
            <w:right w:val="none" w:sz="0" w:space="0" w:color="auto"/>
          </w:divBdr>
        </w:div>
      </w:divsChild>
    </w:div>
    <w:div w:id="2054034921">
      <w:bodyDiv w:val="1"/>
      <w:marLeft w:val="0"/>
      <w:marRight w:val="0"/>
      <w:marTop w:val="0"/>
      <w:marBottom w:val="0"/>
      <w:divBdr>
        <w:top w:val="none" w:sz="0" w:space="0" w:color="auto"/>
        <w:left w:val="none" w:sz="0" w:space="0" w:color="auto"/>
        <w:bottom w:val="none" w:sz="0" w:space="0" w:color="auto"/>
        <w:right w:val="none" w:sz="0" w:space="0" w:color="auto"/>
      </w:divBdr>
    </w:div>
    <w:div w:id="2112966019">
      <w:bodyDiv w:val="1"/>
      <w:marLeft w:val="0"/>
      <w:marRight w:val="0"/>
      <w:marTop w:val="0"/>
      <w:marBottom w:val="0"/>
      <w:divBdr>
        <w:top w:val="none" w:sz="0" w:space="0" w:color="auto"/>
        <w:left w:val="none" w:sz="0" w:space="0" w:color="auto"/>
        <w:bottom w:val="none" w:sz="0" w:space="0" w:color="auto"/>
        <w:right w:val="none" w:sz="0" w:space="0" w:color="auto"/>
      </w:divBdr>
    </w:div>
    <w:div w:id="2113550492">
      <w:bodyDiv w:val="1"/>
      <w:marLeft w:val="0"/>
      <w:marRight w:val="0"/>
      <w:marTop w:val="0"/>
      <w:marBottom w:val="0"/>
      <w:divBdr>
        <w:top w:val="none" w:sz="0" w:space="0" w:color="auto"/>
        <w:left w:val="none" w:sz="0" w:space="0" w:color="auto"/>
        <w:bottom w:val="none" w:sz="0" w:space="0" w:color="auto"/>
        <w:right w:val="none" w:sz="0" w:space="0" w:color="auto"/>
      </w:divBdr>
      <w:divsChild>
        <w:div w:id="1591356949">
          <w:marLeft w:val="0"/>
          <w:marRight w:val="0"/>
          <w:marTop w:val="0"/>
          <w:marBottom w:val="0"/>
          <w:divBdr>
            <w:top w:val="none" w:sz="0" w:space="0" w:color="auto"/>
            <w:left w:val="none" w:sz="0" w:space="0" w:color="auto"/>
            <w:bottom w:val="none" w:sz="0" w:space="0" w:color="auto"/>
            <w:right w:val="none" w:sz="0" w:space="0" w:color="auto"/>
          </w:divBdr>
        </w:div>
      </w:divsChild>
    </w:div>
    <w:div w:id="2122064200">
      <w:bodyDiv w:val="1"/>
      <w:marLeft w:val="0"/>
      <w:marRight w:val="0"/>
      <w:marTop w:val="0"/>
      <w:marBottom w:val="0"/>
      <w:divBdr>
        <w:top w:val="none" w:sz="0" w:space="0" w:color="auto"/>
        <w:left w:val="none" w:sz="0" w:space="0" w:color="auto"/>
        <w:bottom w:val="none" w:sz="0" w:space="0" w:color="auto"/>
        <w:right w:val="none" w:sz="0" w:space="0" w:color="auto"/>
      </w:divBdr>
    </w:div>
    <w:div w:id="214153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08e7268c-d30a-41d8-a51f-5209239997e2" TargetMode="External"/><Relationship Id="rId18" Type="http://schemas.openxmlformats.org/officeDocument/2006/relationships/hyperlink" Target="mailto:beatrice.cagnoni@bc-communication.i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cid:8927962b-1465-4534-8aa3-34e56696cd4c"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1af46ff4-988f-449b-9d32-567d242ac7ab" TargetMode="External"/><Relationship Id="rId5" Type="http://schemas.openxmlformats.org/officeDocument/2006/relationships/webSettings" Target="webSettings.xml"/><Relationship Id="rId15" Type="http://schemas.openxmlformats.org/officeDocument/2006/relationships/image" Target="cid:f0b9c52f-0123-42b1-b6b3-185e83c8797e"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federica.guerrini@bc-communication.it" TargetMode="External"/><Relationship Id="rId4" Type="http://schemas.openxmlformats.org/officeDocument/2006/relationships/settings" Target="settings.xml"/><Relationship Id="rId9" Type="http://schemas.openxmlformats.org/officeDocument/2006/relationships/image" Target="cid:f24a6aa6-9496-4178-9131-a999f7fad7a5" TargetMode="Externa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CFFE5-B047-49CF-9171-3213CB95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Pages>
  <Words>647</Words>
  <Characters>3689</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Intermonte SIM</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dc:creator>
  <cp:lastModifiedBy>Giulia Franzoni  - BC Communication</cp:lastModifiedBy>
  <cp:revision>72</cp:revision>
  <cp:lastPrinted>2023-03-23T08:36:00Z</cp:lastPrinted>
  <dcterms:created xsi:type="dcterms:W3CDTF">2021-10-28T14:10:00Z</dcterms:created>
  <dcterms:modified xsi:type="dcterms:W3CDTF">2023-06-13T13:54:00Z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5fe31f-9de1-4167-a753-111c0df8115f_Enabled">
    <vt:lpwstr>True</vt:lpwstr>
  </property>
  <property fmtid="{D5CDD505-2E9C-101B-9397-08002B2CF9AE}" pid="3" name="MSIP_Label_5f5fe31f-9de1-4167-a753-111c0df8115f_SiteId">
    <vt:lpwstr>cc4baf00-15c9-48dd-9f59-88c98bde2be7</vt:lpwstr>
  </property>
  <property fmtid="{D5CDD505-2E9C-101B-9397-08002B2CF9AE}" pid="4" name="MSIP_Label_5f5fe31f-9de1-4167-a753-111c0df8115f_Owner">
    <vt:lpwstr>marco.isolani@intesasanpaolo.com</vt:lpwstr>
  </property>
  <property fmtid="{D5CDD505-2E9C-101B-9397-08002B2CF9AE}" pid="5" name="MSIP_Label_5f5fe31f-9de1-4167-a753-111c0df8115f_SetDate">
    <vt:lpwstr>2021-10-02T10:12:20.6673382Z</vt:lpwstr>
  </property>
  <property fmtid="{D5CDD505-2E9C-101B-9397-08002B2CF9AE}" pid="6" name="MSIP_Label_5f5fe31f-9de1-4167-a753-111c0df8115f_Name">
    <vt:lpwstr>Public</vt:lpwstr>
  </property>
  <property fmtid="{D5CDD505-2E9C-101B-9397-08002B2CF9AE}" pid="7" name="MSIP_Label_5f5fe31f-9de1-4167-a753-111c0df8115f_Application">
    <vt:lpwstr>Microsoft Azure Information Protection</vt:lpwstr>
  </property>
  <property fmtid="{D5CDD505-2E9C-101B-9397-08002B2CF9AE}" pid="8" name="MSIP_Label_5f5fe31f-9de1-4167-a753-111c0df8115f_ActionId">
    <vt:lpwstr>5571939f-b0c2-4c51-b9cb-2769fe955d8a</vt:lpwstr>
  </property>
  <property fmtid="{D5CDD505-2E9C-101B-9397-08002B2CF9AE}" pid="9" name="MSIP_Label_5f5fe31f-9de1-4167-a753-111c0df8115f_Extended_MSFT_Method">
    <vt:lpwstr>Automatic</vt:lpwstr>
  </property>
  <property fmtid="{D5CDD505-2E9C-101B-9397-08002B2CF9AE}" pid="10" name="Sensitivity">
    <vt:lpwstr>Public</vt:lpwstr>
  </property>
</Properties>
</file>