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2" w:rsidRDefault="002A124D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6682" w:rsidRDefault="003C6682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3C6682" w:rsidRDefault="003C6682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3C6682" w:rsidRDefault="003C6682">
      <w:pPr>
        <w:rPr>
          <w:rFonts w:ascii="Times New Roman" w:eastAsia="Times New Roman" w:hAnsi="Times New Roman" w:cs="Times New Roman"/>
          <w:b w:val="0"/>
          <w:bCs w:val="0"/>
        </w:rPr>
      </w:pPr>
    </w:p>
    <w:p w:rsidR="003C6682" w:rsidRDefault="003C6682">
      <w:pPr>
        <w:rPr>
          <w:i/>
          <w:iCs/>
        </w:rPr>
      </w:pPr>
    </w:p>
    <w:p w:rsidR="003C6682" w:rsidRDefault="003C6682">
      <w:pPr>
        <w:jc w:val="right"/>
        <w:rPr>
          <w:i/>
          <w:iCs/>
        </w:rPr>
      </w:pPr>
    </w:p>
    <w:p w:rsidR="003C6682" w:rsidRDefault="003C6682">
      <w:pPr>
        <w:jc w:val="right"/>
      </w:pPr>
    </w:p>
    <w:p w:rsidR="003C6682" w:rsidRDefault="003C6682">
      <w:pPr>
        <w:jc w:val="right"/>
      </w:pPr>
    </w:p>
    <w:p w:rsidR="003C6682" w:rsidRDefault="0082334D">
      <w:pPr>
        <w:jc w:val="right"/>
        <w:rPr>
          <w:b w:val="0"/>
          <w:bCs w:val="0"/>
          <w:i/>
          <w:iCs/>
          <w:color w:val="000000"/>
        </w:rPr>
      </w:pPr>
      <w:r>
        <w:rPr>
          <w:b w:val="0"/>
          <w:bCs w:val="0"/>
          <w:i/>
          <w:iCs/>
          <w:color w:val="000000"/>
        </w:rPr>
        <w:t>Roma,12</w:t>
      </w:r>
      <w:r w:rsidR="002A124D">
        <w:rPr>
          <w:b w:val="0"/>
          <w:bCs w:val="0"/>
          <w:i/>
          <w:iCs/>
          <w:color w:val="000000"/>
        </w:rPr>
        <w:t xml:space="preserve"> giugno 2023</w:t>
      </w:r>
    </w:p>
    <w:p w:rsidR="003C6682" w:rsidRDefault="003C6682">
      <w:pPr>
        <w:jc w:val="right"/>
        <w:rPr>
          <w:color w:val="003366"/>
          <w:u w:val="single" w:color="003366"/>
        </w:rPr>
      </w:pPr>
    </w:p>
    <w:p w:rsidR="003C6682" w:rsidRDefault="003C6682">
      <w:pPr>
        <w:rPr>
          <w:color w:val="003366"/>
          <w:sz w:val="16"/>
          <w:szCs w:val="16"/>
          <w:u w:val="single" w:color="003366"/>
        </w:rPr>
      </w:pPr>
    </w:p>
    <w:p w:rsidR="003C6682" w:rsidRDefault="003C6682">
      <w:pPr>
        <w:rPr>
          <w:color w:val="003366"/>
          <w:sz w:val="16"/>
          <w:szCs w:val="16"/>
          <w:u w:val="single" w:color="003366"/>
        </w:rPr>
      </w:pPr>
    </w:p>
    <w:p w:rsidR="003C6682" w:rsidRDefault="003C6682">
      <w:pPr>
        <w:rPr>
          <w:color w:val="003366"/>
          <w:sz w:val="16"/>
          <w:szCs w:val="16"/>
          <w:u w:val="single" w:color="003366"/>
        </w:rPr>
      </w:pPr>
    </w:p>
    <w:p w:rsidR="003C6682" w:rsidRDefault="002A124D">
      <w:pPr>
        <w:spacing w:line="276" w:lineRule="auto"/>
        <w:rPr>
          <w:b w:val="0"/>
          <w:bCs w:val="0"/>
          <w:color w:val="003366"/>
          <w:sz w:val="20"/>
          <w:szCs w:val="20"/>
          <w:u w:val="single" w:color="003366"/>
        </w:rPr>
      </w:pPr>
      <w:r>
        <w:rPr>
          <w:b w:val="0"/>
          <w:bCs w:val="0"/>
          <w:color w:val="003366"/>
          <w:sz w:val="20"/>
          <w:szCs w:val="20"/>
          <w:u w:val="single" w:color="003366"/>
        </w:rPr>
        <w:t>MERCATO AUTOVEICOLI</w:t>
      </w:r>
    </w:p>
    <w:p w:rsidR="003C6682" w:rsidRDefault="003C6682">
      <w:pPr>
        <w:spacing w:line="276" w:lineRule="auto"/>
        <w:rPr>
          <w:color w:val="003366"/>
          <w:sz w:val="16"/>
          <w:szCs w:val="16"/>
          <w:u w:val="single" w:color="003366"/>
        </w:rPr>
      </w:pPr>
    </w:p>
    <w:p w:rsidR="003C6682" w:rsidRDefault="002A124D">
      <w:pPr>
        <w:rPr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ACI:  SEGNO PIÙ A MAGGIO PER L’AUTO USATA  </w:t>
      </w:r>
    </w:p>
    <w:p w:rsidR="003C6682" w:rsidRDefault="002A124D">
      <w:pPr>
        <w:rPr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>PRIMO BILANCIO POSITIVO DOPO 21 MESI LE RADIAZIONI</w:t>
      </w:r>
    </w:p>
    <w:p w:rsidR="003C6682" w:rsidRDefault="002A12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6682" w:rsidRDefault="003C6682">
      <w:pPr>
        <w:spacing w:line="288" w:lineRule="auto"/>
        <w:jc w:val="both"/>
        <w:rPr>
          <w:sz w:val="20"/>
          <w:szCs w:val="20"/>
        </w:rPr>
      </w:pP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Segno più nel mese di maggio per il mercato dell’auto usata. I</w:t>
      </w:r>
      <w:r>
        <w:rPr>
          <w:color w:val="000000"/>
          <w:sz w:val="20"/>
          <w:szCs w:val="20"/>
        </w:rPr>
        <w:t xml:space="preserve"> passaggi di proprietà delle quattro ruote al netto delle minivolture</w:t>
      </w:r>
      <w:r>
        <w:rPr>
          <w:b w:val="0"/>
          <w:bCs w:val="0"/>
          <w:color w:val="000000"/>
          <w:sz w:val="20"/>
          <w:szCs w:val="20"/>
        </w:rPr>
        <w:t xml:space="preserve"> (trasferimenti temporanei a nome del concessionario in attesa della rivendita al cliente finale) hanno   messo a segno un </w:t>
      </w:r>
      <w:r>
        <w:rPr>
          <w:color w:val="000000"/>
          <w:sz w:val="20"/>
          <w:szCs w:val="20"/>
        </w:rPr>
        <w:t>incremento dell’8,6%</w:t>
      </w:r>
      <w:r>
        <w:rPr>
          <w:b w:val="0"/>
          <w:bCs w:val="0"/>
          <w:color w:val="000000"/>
          <w:sz w:val="20"/>
          <w:szCs w:val="20"/>
        </w:rPr>
        <w:t xml:space="preserve"> rispetto a maggio 2022. </w:t>
      </w:r>
      <w:r>
        <w:rPr>
          <w:color w:val="000000"/>
          <w:sz w:val="20"/>
          <w:szCs w:val="20"/>
        </w:rPr>
        <w:t xml:space="preserve">Per ogni 100 autovetture nuove nel mese di maggio ne sono state vendute 168 di seconda mano (175 nei primi cinque mesi dell’anno). </w:t>
      </w:r>
      <w:r>
        <w:rPr>
          <w:b w:val="0"/>
          <w:bCs w:val="0"/>
          <w:color w:val="000000"/>
          <w:sz w:val="20"/>
          <w:szCs w:val="20"/>
        </w:rPr>
        <w:t xml:space="preserve">Bilancio positivo anche per le </w:t>
      </w:r>
      <w:r>
        <w:rPr>
          <w:color w:val="000000"/>
          <w:sz w:val="20"/>
          <w:szCs w:val="20"/>
        </w:rPr>
        <w:t>minivolture</w:t>
      </w:r>
      <w:r>
        <w:rPr>
          <w:b w:val="0"/>
          <w:bCs w:val="0"/>
          <w:color w:val="000000"/>
          <w:sz w:val="20"/>
          <w:szCs w:val="20"/>
        </w:rPr>
        <w:t xml:space="preserve">, che hanno fatto registrare un </w:t>
      </w:r>
      <w:r>
        <w:rPr>
          <w:color w:val="000000"/>
          <w:sz w:val="20"/>
          <w:szCs w:val="20"/>
        </w:rPr>
        <w:t>incremento mensile del 13,8%</w:t>
      </w:r>
      <w:r>
        <w:rPr>
          <w:b w:val="0"/>
          <w:bCs w:val="0"/>
          <w:color w:val="000000"/>
          <w:sz w:val="20"/>
          <w:szCs w:val="20"/>
        </w:rPr>
        <w:t xml:space="preserve">. </w:t>
      </w:r>
    </w:p>
    <w:p w:rsidR="003C6682" w:rsidRDefault="003C6682">
      <w:pPr>
        <w:spacing w:line="288" w:lineRule="auto"/>
        <w:jc w:val="both"/>
        <w:rPr>
          <w:color w:val="000000"/>
        </w:rPr>
      </w:pP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Ennesima conferma sull’usato del </w:t>
      </w:r>
      <w:r>
        <w:rPr>
          <w:color w:val="000000"/>
          <w:sz w:val="20"/>
          <w:szCs w:val="20"/>
        </w:rPr>
        <w:t>predominio delle tradizionali alimentazioni diesel e benzina</w:t>
      </w:r>
      <w:r>
        <w:rPr>
          <w:b w:val="0"/>
          <w:bCs w:val="0"/>
          <w:color w:val="000000"/>
          <w:sz w:val="20"/>
          <w:szCs w:val="20"/>
        </w:rPr>
        <w:t xml:space="preserve">, con un </w:t>
      </w:r>
      <w:r w:rsidR="00B53AD0">
        <w:rPr>
          <w:b w:val="0"/>
          <w:bCs w:val="0"/>
          <w:color w:val="000000"/>
          <w:sz w:val="20"/>
          <w:szCs w:val="20"/>
        </w:rPr>
        <w:t>quota di</w:t>
      </w:r>
      <w:r>
        <w:rPr>
          <w:b w:val="0"/>
          <w:bCs w:val="0"/>
          <w:color w:val="000000"/>
          <w:sz w:val="20"/>
          <w:szCs w:val="20"/>
        </w:rPr>
        <w:t xml:space="preserve"> mercato</w:t>
      </w:r>
      <w:r>
        <w:rPr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delle </w:t>
      </w:r>
      <w:r>
        <w:rPr>
          <w:color w:val="000000"/>
          <w:sz w:val="20"/>
          <w:szCs w:val="20"/>
        </w:rPr>
        <w:t xml:space="preserve">autovetture ibride a benzina </w:t>
      </w:r>
      <w:r>
        <w:rPr>
          <w:b w:val="0"/>
          <w:bCs w:val="0"/>
          <w:color w:val="000000"/>
          <w:sz w:val="20"/>
          <w:szCs w:val="20"/>
        </w:rPr>
        <w:t xml:space="preserve">che, seppure in lieve diminuzione rispetto allo scorso mese di aprile (dal 5,2% al 4,8%), si mantiene stabile al 4,8% nei primi cinque mesi dell’anno. Le </w:t>
      </w:r>
      <w:r>
        <w:rPr>
          <w:color w:val="000000"/>
          <w:sz w:val="20"/>
          <w:szCs w:val="20"/>
        </w:rPr>
        <w:t>auto elettriche</w:t>
      </w:r>
      <w:r>
        <w:rPr>
          <w:b w:val="0"/>
          <w:bCs w:val="0"/>
          <w:color w:val="000000"/>
          <w:sz w:val="20"/>
          <w:szCs w:val="20"/>
        </w:rPr>
        <w:t xml:space="preserve"> di seconda </w:t>
      </w:r>
      <w:r w:rsidR="00B53AD0">
        <w:rPr>
          <w:b w:val="0"/>
          <w:bCs w:val="0"/>
          <w:color w:val="000000"/>
          <w:sz w:val="20"/>
          <w:szCs w:val="20"/>
        </w:rPr>
        <w:t>mano restano</w:t>
      </w:r>
      <w:r>
        <w:rPr>
          <w:b w:val="0"/>
          <w:bCs w:val="0"/>
          <w:color w:val="000000"/>
          <w:sz w:val="20"/>
          <w:szCs w:val="20"/>
        </w:rPr>
        <w:t xml:space="preserve"> ancora al palo con una quota dello 0,5%, riportando oltretutto una perdita del 15,5% su base mensile. Se</w:t>
      </w:r>
      <w:r>
        <w:rPr>
          <w:b w:val="0"/>
          <w:bCs w:val="0"/>
          <w:color w:val="000000"/>
          <w:sz w:val="20"/>
          <w:szCs w:val="20"/>
        </w:rPr>
        <w:t>m</w:t>
      </w:r>
      <w:r>
        <w:rPr>
          <w:b w:val="0"/>
          <w:bCs w:val="0"/>
          <w:color w:val="000000"/>
          <w:sz w:val="20"/>
          <w:szCs w:val="20"/>
        </w:rPr>
        <w:t xml:space="preserve">pre sugli scudi nelle </w:t>
      </w:r>
      <w:r>
        <w:rPr>
          <w:color w:val="000000"/>
          <w:sz w:val="20"/>
          <w:szCs w:val="20"/>
        </w:rPr>
        <w:t xml:space="preserve">minivolture </w:t>
      </w:r>
      <w:r>
        <w:rPr>
          <w:b w:val="0"/>
          <w:bCs w:val="0"/>
          <w:color w:val="000000"/>
          <w:sz w:val="20"/>
          <w:szCs w:val="20"/>
        </w:rPr>
        <w:t xml:space="preserve">le alimentazioni a gasolio, nonostante il calo della loro quota di mercato (dal 53,7% di maggio 2022 al 52,9% di maggio 2022). L’incidenza delle ibride a benzina, nel caso dei minipassaggi, sale invece questo mese al 5,9%, superata solo </w:t>
      </w:r>
      <w:r w:rsidRPr="0082334D">
        <w:rPr>
          <w:b w:val="0"/>
          <w:bCs w:val="0"/>
          <w:color w:val="000000"/>
          <w:sz w:val="20"/>
          <w:szCs w:val="20"/>
        </w:rPr>
        <w:t>da quell</w:t>
      </w:r>
      <w:r w:rsidR="00B53AD0" w:rsidRPr="0082334D">
        <w:rPr>
          <w:b w:val="0"/>
          <w:bCs w:val="0"/>
          <w:color w:val="000000"/>
          <w:sz w:val="20"/>
          <w:szCs w:val="20"/>
        </w:rPr>
        <w:t>a</w:t>
      </w:r>
      <w:r>
        <w:rPr>
          <w:b w:val="0"/>
          <w:bCs w:val="0"/>
          <w:color w:val="000000"/>
          <w:sz w:val="20"/>
          <w:szCs w:val="20"/>
        </w:rPr>
        <w:t xml:space="preserve"> delle auto a gpl, che si attesta al 7,2%.</w:t>
      </w: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</w:t>
      </w: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Conti in rosso, al contrario, per i </w:t>
      </w:r>
      <w:r>
        <w:rPr>
          <w:color w:val="000000"/>
          <w:sz w:val="20"/>
          <w:szCs w:val="20"/>
        </w:rPr>
        <w:t xml:space="preserve">passaggi di proprietà dei motocicli, </w:t>
      </w:r>
      <w:r>
        <w:rPr>
          <w:b w:val="0"/>
          <w:bCs w:val="0"/>
          <w:color w:val="000000"/>
          <w:sz w:val="20"/>
          <w:szCs w:val="20"/>
        </w:rPr>
        <w:t>che al netto delle minivolture hanno chiuso il bilancio di maggio con una</w:t>
      </w:r>
      <w:r>
        <w:rPr>
          <w:color w:val="000000"/>
          <w:sz w:val="20"/>
          <w:szCs w:val="20"/>
        </w:rPr>
        <w:t xml:space="preserve"> flessione dell’8,9%</w:t>
      </w:r>
      <w:r>
        <w:rPr>
          <w:b w:val="0"/>
          <w:bCs w:val="0"/>
          <w:color w:val="000000"/>
          <w:sz w:val="20"/>
          <w:szCs w:val="20"/>
        </w:rPr>
        <w:t xml:space="preserve"> rispetto all’analogo mese del 2022.</w:t>
      </w:r>
    </w:p>
    <w:p w:rsidR="003C6682" w:rsidRDefault="003C6682">
      <w:pPr>
        <w:pStyle w:val="Pidipagina"/>
        <w:tabs>
          <w:tab w:val="clear" w:pos="4819"/>
          <w:tab w:val="clear" w:pos="9638"/>
        </w:tabs>
        <w:spacing w:line="288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C6682" w:rsidRDefault="002A124D">
      <w:pPr>
        <w:pStyle w:val="Pidipagina"/>
        <w:tabs>
          <w:tab w:val="clear" w:pos="4819"/>
          <w:tab w:val="clear" w:pos="9638"/>
        </w:tabs>
        <w:spacing w:line="288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sz w:val="20"/>
          <w:szCs w:val="20"/>
        </w:rPr>
        <w:t>N</w:t>
      </w:r>
      <w:r>
        <w:rPr>
          <w:rFonts w:ascii="Cambria" w:hAnsi="Cambria"/>
          <w:sz w:val="20"/>
          <w:szCs w:val="20"/>
        </w:rPr>
        <w:t xml:space="preserve">ei primi cinque mesi del 2023 rispetto all’analogo periodo del 2022 i trasferimenti netti di proprietà </w:t>
      </w:r>
      <w:r w:rsidR="00B53AD0">
        <w:rPr>
          <w:rFonts w:ascii="Cambria" w:hAnsi="Cambria"/>
          <w:sz w:val="20"/>
          <w:szCs w:val="20"/>
        </w:rPr>
        <w:t>hanno arch</w:t>
      </w:r>
      <w:r w:rsidR="00B53AD0">
        <w:rPr>
          <w:rFonts w:ascii="Cambria" w:hAnsi="Cambria"/>
          <w:sz w:val="20"/>
          <w:szCs w:val="20"/>
        </w:rPr>
        <w:t>i</w:t>
      </w:r>
      <w:r w:rsidR="00B53AD0">
        <w:rPr>
          <w:rFonts w:ascii="Cambria" w:hAnsi="Cambria"/>
          <w:sz w:val="20"/>
          <w:szCs w:val="20"/>
        </w:rPr>
        <w:t>viato</w:t>
      </w:r>
      <w:r>
        <w:rPr>
          <w:rFonts w:ascii="Cambria" w:hAnsi="Cambria"/>
          <w:sz w:val="20"/>
          <w:szCs w:val="20"/>
        </w:rPr>
        <w:t xml:space="preserve"> aumenti del 6% per le autovetture e del 4,2% per tutti i veicoli, con un calo del 2,2% per i motocicli.</w:t>
      </w:r>
    </w:p>
    <w:p w:rsidR="003C6682" w:rsidRDefault="003C6682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I dati sono riportati nell’ultimo </w:t>
      </w:r>
      <w:r>
        <w:rPr>
          <w:color w:val="000000"/>
          <w:sz w:val="20"/>
          <w:szCs w:val="20"/>
        </w:rPr>
        <w:t>bollettino mensile “Auto-Trend”, l’analisi statistica realizzata dall’Automobile Club d’Italia sui dati del PRA</w:t>
      </w:r>
      <w:r>
        <w:rPr>
          <w:b w:val="0"/>
          <w:bCs w:val="0"/>
          <w:color w:val="000000"/>
          <w:sz w:val="20"/>
          <w:szCs w:val="20"/>
        </w:rPr>
        <w:t>, consultabile sul sito www.aci.it .</w:t>
      </w:r>
    </w:p>
    <w:p w:rsidR="003C6682" w:rsidRDefault="002A124D">
      <w:pP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C6682" w:rsidRDefault="002A124D">
      <w:pP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Primi accenni di ripresa per il settore delle radiazioni, </w:t>
      </w:r>
      <w:r>
        <w:rPr>
          <w:b w:val="0"/>
          <w:bCs w:val="0"/>
          <w:color w:val="000000"/>
          <w:sz w:val="20"/>
          <w:szCs w:val="20"/>
        </w:rPr>
        <w:t xml:space="preserve">che dopo 21 mesi consecutivi di segno negativo a maggio ha fatto registrare un </w:t>
      </w:r>
      <w:r>
        <w:rPr>
          <w:color w:val="000000"/>
          <w:sz w:val="20"/>
          <w:szCs w:val="20"/>
        </w:rPr>
        <w:t xml:space="preserve">aumento dell’1,4% </w:t>
      </w:r>
      <w:r>
        <w:rPr>
          <w:b w:val="0"/>
          <w:bCs w:val="0"/>
          <w:color w:val="000000"/>
          <w:sz w:val="20"/>
          <w:szCs w:val="20"/>
        </w:rPr>
        <w:t>rispetto all’analogo mese del 2022</w:t>
      </w:r>
      <w:r>
        <w:rPr>
          <w:color w:val="000000"/>
          <w:sz w:val="20"/>
          <w:szCs w:val="20"/>
        </w:rPr>
        <w:t>,</w:t>
      </w:r>
      <w:r>
        <w:rPr>
          <w:b w:val="0"/>
          <w:bCs w:val="0"/>
          <w:color w:val="000000"/>
          <w:sz w:val="20"/>
          <w:szCs w:val="20"/>
        </w:rPr>
        <w:t xml:space="preserve"> incremento </w:t>
      </w:r>
      <w:r w:rsidRPr="0082334D">
        <w:rPr>
          <w:b w:val="0"/>
          <w:bCs w:val="0"/>
          <w:color w:val="000000"/>
          <w:sz w:val="20"/>
          <w:szCs w:val="20"/>
        </w:rPr>
        <w:t xml:space="preserve">determinato </w:t>
      </w:r>
      <w:r w:rsidR="00A177DC" w:rsidRPr="0082334D">
        <w:rPr>
          <w:b w:val="0"/>
          <w:bCs w:val="0"/>
          <w:color w:val="000000"/>
          <w:sz w:val="20"/>
          <w:szCs w:val="20"/>
        </w:rPr>
        <w:t>soprattutto</w:t>
      </w:r>
      <w:r>
        <w:rPr>
          <w:b w:val="0"/>
          <w:bCs w:val="0"/>
          <w:color w:val="000000"/>
          <w:sz w:val="20"/>
          <w:szCs w:val="20"/>
        </w:rPr>
        <w:t xml:space="preserve"> da una crescita del 7% delle demolizioni.  </w:t>
      </w:r>
      <w:r>
        <w:rPr>
          <w:color w:val="000000"/>
          <w:sz w:val="20"/>
          <w:szCs w:val="20"/>
        </w:rPr>
        <w:t>Il tasso unitario di sostituzione risulta pari a 0,59 (ogni 100 auto nuove ne sono state radiate 59) e si attesta a 0,60 nei primi cinque mesi del 2023.</w:t>
      </w:r>
    </w:p>
    <w:p w:rsidR="003C6682" w:rsidRDefault="003C6682">
      <w:pPr>
        <w:spacing w:line="288" w:lineRule="auto"/>
        <w:jc w:val="both"/>
        <w:rPr>
          <w:color w:val="000000"/>
          <w:sz w:val="20"/>
          <w:szCs w:val="20"/>
        </w:rPr>
      </w:pPr>
    </w:p>
    <w:p w:rsidR="003C6682" w:rsidRDefault="002A124D">
      <w:pPr>
        <w:spacing w:line="288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Bilancio positivo anche per le </w:t>
      </w:r>
      <w:r>
        <w:rPr>
          <w:color w:val="000000"/>
          <w:sz w:val="20"/>
          <w:szCs w:val="20"/>
        </w:rPr>
        <w:t xml:space="preserve">radiazioni di motocicli, </w:t>
      </w:r>
      <w:r>
        <w:rPr>
          <w:b w:val="0"/>
          <w:bCs w:val="0"/>
          <w:color w:val="000000"/>
          <w:sz w:val="20"/>
          <w:szCs w:val="20"/>
        </w:rPr>
        <w:t xml:space="preserve">che hanno evidenziato un </w:t>
      </w:r>
      <w:r>
        <w:rPr>
          <w:color w:val="000000"/>
          <w:sz w:val="20"/>
          <w:szCs w:val="20"/>
        </w:rPr>
        <w:t>aumento mensile dell’8%</w:t>
      </w:r>
      <w:r>
        <w:rPr>
          <w:b w:val="0"/>
          <w:bCs w:val="0"/>
          <w:color w:val="000000"/>
          <w:sz w:val="20"/>
          <w:szCs w:val="20"/>
        </w:rPr>
        <w:t>.</w:t>
      </w:r>
    </w:p>
    <w:p w:rsidR="003C6682" w:rsidRDefault="002A124D">
      <w:pPr>
        <w:spacing w:line="288" w:lineRule="auto"/>
        <w:jc w:val="both"/>
      </w:pPr>
      <w:r>
        <w:rPr>
          <w:color w:val="000000"/>
          <w:sz w:val="20"/>
          <w:szCs w:val="20"/>
        </w:rPr>
        <w:t xml:space="preserve">      </w:t>
      </w:r>
    </w:p>
    <w:p w:rsidR="003C6682" w:rsidRDefault="002A124D">
      <w:pPr>
        <w:pStyle w:val="Pidipagina"/>
        <w:tabs>
          <w:tab w:val="clear" w:pos="4819"/>
          <w:tab w:val="clear" w:pos="9638"/>
          <w:tab w:val="left" w:pos="8805"/>
        </w:tabs>
        <w:spacing w:line="288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Nel periodo gennaio-maggio 2023 rispetto agli stessi mesi del 2022 le radiazioni hanno comunque archiviato d</w:t>
      </w:r>
      <w:r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>crementi complessivi del 9,5% per le autovetture e dell’8,4% per tutti i veicoli, a fronte di un incremento del 4,5% solo per il comparto motocicli.</w:t>
      </w:r>
    </w:p>
    <w:p w:rsidR="003C6682" w:rsidRDefault="003C6682"/>
    <w:p w:rsidR="003C6682" w:rsidRDefault="003C6682"/>
    <w:p w:rsidR="003C6682" w:rsidRDefault="003C6682"/>
    <w:p w:rsidR="003C6682" w:rsidRDefault="003C6682"/>
    <w:p w:rsidR="003C6682" w:rsidRDefault="003C6682"/>
    <w:p w:rsidR="003C6682" w:rsidRDefault="003C6682"/>
    <w:p w:rsidR="00072A5A" w:rsidRDefault="00072A5A"/>
    <w:p w:rsidR="00072A5A" w:rsidRDefault="00072A5A"/>
    <w:p w:rsidR="003C6682" w:rsidRDefault="003C6682"/>
    <w:p w:rsidR="003C6682" w:rsidRDefault="002A124D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</w:rPr>
        <w:t xml:space="preserve">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RADIAZIONI E USATO A MAGGIO</w:t>
      </w:r>
    </w:p>
    <w:p w:rsidR="003C6682" w:rsidRDefault="003C6682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87"/>
        <w:gridCol w:w="1367"/>
        <w:gridCol w:w="1367"/>
        <w:gridCol w:w="981"/>
        <w:gridCol w:w="1367"/>
        <w:gridCol w:w="1367"/>
        <w:gridCol w:w="981"/>
      </w:tblGrid>
      <w:tr w:rsidR="003C6682">
        <w:trPr>
          <w:trHeight w:val="342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3C6682">
        <w:trPr>
          <w:trHeight w:val="352"/>
          <w:jc w:val="center"/>
        </w:trPr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 MAG ’22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 MAG ’23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 MAG ’22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 MAG ’23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3C6682">
        <w:trPr>
          <w:trHeight w:val="492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89.636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90.931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240.406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261.144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8,6</w:t>
            </w:r>
          </w:p>
        </w:tc>
      </w:tr>
      <w:tr w:rsidR="003C6682">
        <w:trPr>
          <w:trHeight w:val="492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9.643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10.419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74.010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67.403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-8,9</w:t>
            </w:r>
          </w:p>
        </w:tc>
      </w:tr>
      <w:tr w:rsidR="003C6682">
        <w:trPr>
          <w:trHeight w:val="492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u w:color="000099"/>
              </w:rPr>
              <w:t>TUTTI I VEICOLI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109.678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110.668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355.999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371.031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4,2</w:t>
            </w:r>
          </w:p>
        </w:tc>
      </w:tr>
    </w:tbl>
    <w:p w:rsidR="003C6682" w:rsidRDefault="003C6682">
      <w:pPr>
        <w:widowControl w:val="0"/>
        <w:ind w:left="649" w:hanging="649"/>
        <w:rPr>
          <w:color w:val="800000"/>
          <w:sz w:val="12"/>
          <w:szCs w:val="12"/>
          <w:u w:color="800000"/>
        </w:rPr>
      </w:pPr>
    </w:p>
    <w:p w:rsidR="003C6682" w:rsidRDefault="003C6682">
      <w:pPr>
        <w:widowControl w:val="0"/>
        <w:ind w:left="1" w:hanging="1"/>
        <w:rPr>
          <w:color w:val="800000"/>
          <w:sz w:val="6"/>
          <w:szCs w:val="6"/>
          <w:u w:color="800000"/>
        </w:rPr>
      </w:pPr>
    </w:p>
    <w:p w:rsidR="003C6682" w:rsidRDefault="002A124D">
      <w:pPr>
        <w:jc w:val="left"/>
        <w:rPr>
          <w:i/>
          <w:iCs/>
        </w:rPr>
      </w:pPr>
      <w:r>
        <w:t xml:space="preserve">      </w:t>
      </w:r>
      <w:r>
        <w:rPr>
          <w:i/>
          <w:iCs/>
        </w:rPr>
        <w:t>Fonte: ACI – Automobile Club d’Italia      (*) Al netto delle minivolture</w:t>
      </w: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2A124D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RADIAZIONI E USATO DA GENNAIO A MAGGIO</w:t>
      </w:r>
    </w:p>
    <w:p w:rsidR="003C6682" w:rsidRDefault="003C6682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85"/>
        <w:gridCol w:w="1421"/>
        <w:gridCol w:w="1418"/>
        <w:gridCol w:w="880"/>
        <w:gridCol w:w="1366"/>
        <w:gridCol w:w="1366"/>
        <w:gridCol w:w="981"/>
      </w:tblGrid>
      <w:tr w:rsidR="003C6682" w:rsidTr="0082334D">
        <w:trPr>
          <w:trHeight w:val="465"/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3C6682" w:rsidTr="0082334D">
        <w:trPr>
          <w:trHeight w:val="510"/>
          <w:jc w:val="center"/>
        </w:trPr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 GEN-MAG ’22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GEN-MAG ’23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GEN-MAG ’22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GEN-MAG ’23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3C6682" w:rsidTr="0082334D">
        <w:trPr>
          <w:trHeight w:val="49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463.129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419.181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-9,5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1.156.232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1.225.540</w:t>
            </w:r>
          </w:p>
        </w:tc>
        <w:tc>
          <w:tcPr>
            <w:tcW w:w="9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6,0</w:t>
            </w:r>
          </w:p>
        </w:tc>
      </w:tr>
      <w:tr w:rsidR="003C6682" w:rsidTr="0082334D">
        <w:trPr>
          <w:trHeight w:val="49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47.404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49.534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270.825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264.754</w:t>
            </w:r>
          </w:p>
        </w:tc>
        <w:tc>
          <w:tcPr>
            <w:tcW w:w="9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-2,2</w:t>
            </w:r>
          </w:p>
        </w:tc>
      </w:tr>
      <w:tr w:rsidR="003C6682" w:rsidTr="0082334D">
        <w:trPr>
          <w:trHeight w:val="49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TUTTI I VEICOLI</w:t>
            </w:r>
          </w:p>
        </w:tc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562.753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515.292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-8,4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1.627.890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1.697.021</w:t>
            </w:r>
          </w:p>
        </w:tc>
        <w:tc>
          <w:tcPr>
            <w:tcW w:w="9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4,2</w:t>
            </w:r>
          </w:p>
        </w:tc>
      </w:tr>
    </w:tbl>
    <w:p w:rsidR="003C6682" w:rsidRDefault="003C6682">
      <w:pPr>
        <w:widowControl w:val="0"/>
        <w:ind w:left="649" w:hanging="649"/>
        <w:rPr>
          <w:color w:val="800000"/>
          <w:sz w:val="12"/>
          <w:szCs w:val="12"/>
          <w:u w:color="800000"/>
        </w:rPr>
      </w:pPr>
    </w:p>
    <w:p w:rsidR="003C6682" w:rsidRDefault="003C6682">
      <w:pPr>
        <w:widowControl w:val="0"/>
        <w:ind w:left="1" w:hanging="1"/>
        <w:rPr>
          <w:color w:val="800000"/>
          <w:sz w:val="6"/>
          <w:szCs w:val="6"/>
          <w:u w:color="800000"/>
        </w:rPr>
      </w:pPr>
    </w:p>
    <w:p w:rsidR="003C6682" w:rsidRDefault="002A124D">
      <w:pPr>
        <w:jc w:val="left"/>
      </w:pPr>
      <w:r>
        <w:t xml:space="preserve">      </w:t>
      </w:r>
      <w:r>
        <w:rPr>
          <w:i/>
          <w:iCs/>
        </w:rPr>
        <w:t>Fonte: ACI – Automobile Club d’Italia      (*) Al netto delle minivolture</w:t>
      </w: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3C6682">
      <w:pPr>
        <w:jc w:val="left"/>
      </w:pPr>
    </w:p>
    <w:p w:rsidR="003C6682" w:rsidRDefault="002A124D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sz w:val="22"/>
          <w:szCs w:val="22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2023: RADIAZIONI AUTOVETTURE SECONDO LA CLASSE EURO (Val. %)</w:t>
      </w:r>
    </w:p>
    <w:p w:rsidR="003C6682" w:rsidRDefault="003C6682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1"/>
        <w:gridCol w:w="624"/>
        <w:gridCol w:w="624"/>
        <w:gridCol w:w="624"/>
        <w:gridCol w:w="624"/>
        <w:gridCol w:w="624"/>
        <w:gridCol w:w="572"/>
        <w:gridCol w:w="567"/>
        <w:gridCol w:w="559"/>
        <w:gridCol w:w="567"/>
        <w:gridCol w:w="555"/>
        <w:gridCol w:w="562"/>
        <w:gridCol w:w="486"/>
        <w:gridCol w:w="602"/>
      </w:tblGrid>
      <w:tr w:rsidR="003C6682" w:rsidTr="00072A5A">
        <w:trPr>
          <w:trHeight w:hRule="exact" w:val="50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3C6682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u w:color="000099"/>
              </w:rPr>
              <w:t>GEN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072A5A" w:rsidP="00072A5A">
            <w:r>
              <w:t>FEB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MAR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APR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MAG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GIU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LUG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AGO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SET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OTT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NOV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DIC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 w:rsidP="00072A5A">
            <w:r>
              <w:rPr>
                <w:color w:val="000099"/>
                <w:sz w:val="20"/>
                <w:szCs w:val="20"/>
                <w:u w:color="000099"/>
              </w:rPr>
              <w:t>TOT.</w:t>
            </w:r>
          </w:p>
        </w:tc>
      </w:tr>
      <w:tr w:rsidR="003C6682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color w:val="000000"/>
              </w:rPr>
              <w:t>1,0</w:t>
            </w:r>
          </w:p>
        </w:tc>
      </w:tr>
      <w:tr w:rsidR="003C6682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1,9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color w:val="000000"/>
              </w:rPr>
              <w:t>2,0</w:t>
            </w:r>
          </w:p>
        </w:tc>
      </w:tr>
      <w:tr w:rsidR="003C6682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17,7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15,8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b w:val="0"/>
                <w:bCs w:val="0"/>
                <w:color w:val="333333"/>
              </w:rPr>
              <w:t>15,4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3C6682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r>
              <w:rPr>
                <w:rFonts w:eastAsia="Arial Unicode MS" w:cs="Arial Unicode MS"/>
                <w:color w:val="000000"/>
              </w:rPr>
              <w:t>16,2</w:t>
            </w:r>
          </w:p>
        </w:tc>
      </w:tr>
      <w:tr w:rsidR="00072A5A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A5A" w:rsidRDefault="00072A5A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26,1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 w:rsidP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25,5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24,0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color w:val="000000"/>
              </w:rPr>
              <w:t>25,0</w:t>
            </w:r>
          </w:p>
        </w:tc>
      </w:tr>
      <w:tr w:rsidR="00072A5A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A5A" w:rsidRDefault="00072A5A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34,8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36,7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35,2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35,6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35,3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color w:val="000000"/>
              </w:rPr>
              <w:t>35,5</w:t>
            </w:r>
          </w:p>
        </w:tc>
      </w:tr>
      <w:tr w:rsidR="00072A5A" w:rsidTr="00072A5A">
        <w:trPr>
          <w:trHeight w:hRule="exact" w:val="34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A5A" w:rsidRDefault="00072A5A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EURO 5-6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16,9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20,0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19,5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color w:val="000000"/>
              </w:rPr>
              <w:t>18,4</w:t>
            </w:r>
          </w:p>
        </w:tc>
      </w:tr>
      <w:tr w:rsidR="00072A5A" w:rsidTr="00072A5A">
        <w:trPr>
          <w:trHeight w:hRule="exact" w:val="420"/>
          <w:jc w:val="center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A5A" w:rsidRDefault="00072A5A">
            <w:pPr>
              <w:jc w:val="left"/>
            </w:pPr>
            <w:r>
              <w:rPr>
                <w:color w:val="000099"/>
                <w:sz w:val="20"/>
                <w:szCs w:val="20"/>
                <w:u w:color="000099"/>
              </w:rPr>
              <w:t>N.D.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b w:val="0"/>
                <w:bCs w:val="0"/>
                <w:color w:val="333333"/>
              </w:rPr>
              <w:t>2,9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A5A" w:rsidRDefault="00072A5A">
            <w:r>
              <w:rPr>
                <w:rFonts w:eastAsia="Arial Unicode MS" w:cs="Arial Unicode MS"/>
                <w:color w:val="000000"/>
              </w:rPr>
              <w:t>2,0</w:t>
            </w:r>
          </w:p>
        </w:tc>
      </w:tr>
    </w:tbl>
    <w:p w:rsidR="003C6682" w:rsidRDefault="003C6682">
      <w:pPr>
        <w:widowControl w:val="0"/>
        <w:ind w:left="648" w:hanging="648"/>
        <w:rPr>
          <w:color w:val="800000"/>
          <w:sz w:val="12"/>
          <w:szCs w:val="12"/>
          <w:u w:color="800000"/>
        </w:rPr>
      </w:pPr>
    </w:p>
    <w:p w:rsidR="003C6682" w:rsidRDefault="003C6682">
      <w:pPr>
        <w:rPr>
          <w:color w:val="800000"/>
          <w:sz w:val="6"/>
          <w:szCs w:val="6"/>
          <w:u w:color="800000"/>
        </w:rPr>
      </w:pPr>
    </w:p>
    <w:p w:rsidR="003C6682" w:rsidRDefault="002A124D">
      <w:pPr>
        <w:jc w:val="left"/>
        <w:rPr>
          <w:i/>
          <w:iCs/>
        </w:rPr>
      </w:pPr>
      <w:r>
        <w:rPr>
          <w:color w:val="800000"/>
          <w:u w:color="800000"/>
        </w:rPr>
        <w:t xml:space="preserve">      </w:t>
      </w:r>
      <w:r>
        <w:rPr>
          <w:i/>
          <w:iCs/>
        </w:rPr>
        <w:t>Fonte: ACI – Automobile Club d’Italia</w:t>
      </w:r>
    </w:p>
    <w:p w:rsidR="003C6682" w:rsidRDefault="003C6682">
      <w:pPr>
        <w:rPr>
          <w:i/>
          <w:iCs/>
        </w:rPr>
      </w:pPr>
    </w:p>
    <w:p w:rsidR="003C6682" w:rsidRDefault="003C6682">
      <w:pPr>
        <w:rPr>
          <w:i/>
          <w:iCs/>
        </w:rPr>
      </w:pPr>
    </w:p>
    <w:p w:rsidR="003C6682" w:rsidRDefault="003C6682"/>
    <w:p w:rsidR="00072A5A" w:rsidRDefault="00072A5A"/>
    <w:p w:rsidR="00072A5A" w:rsidRDefault="00072A5A"/>
    <w:p w:rsidR="00072A5A" w:rsidRDefault="00072A5A"/>
    <w:p w:rsidR="00072A5A" w:rsidRDefault="00072A5A"/>
    <w:p w:rsidR="00072A5A" w:rsidRDefault="00072A5A"/>
    <w:p w:rsidR="00072A5A" w:rsidRDefault="00072A5A"/>
    <w:p w:rsidR="00072A5A" w:rsidRDefault="00072A5A"/>
    <w:p w:rsidR="003C6682" w:rsidRDefault="002A124D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sz w:val="22"/>
          <w:szCs w:val="22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CONFRONTO PASSAGGI AUTOVETTURE E MINIVOLTURE PER ALIMENTAZIONE</w:t>
      </w:r>
    </w:p>
    <w:p w:rsidR="003C6682" w:rsidRDefault="003C6682">
      <w:pPr>
        <w:rPr>
          <w:sz w:val="12"/>
          <w:szCs w:val="12"/>
        </w:rPr>
      </w:pPr>
    </w:p>
    <w:tbl>
      <w:tblPr>
        <w:tblStyle w:val="TableNormal"/>
        <w:tblW w:w="92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5"/>
        <w:gridCol w:w="1323"/>
        <w:gridCol w:w="1227"/>
        <w:gridCol w:w="940"/>
        <w:gridCol w:w="1337"/>
        <w:gridCol w:w="1307"/>
        <w:gridCol w:w="957"/>
      </w:tblGrid>
      <w:tr w:rsidR="003C6682">
        <w:trPr>
          <w:trHeight w:val="392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6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rFonts w:ascii="Arial" w:hAnsi="Arial"/>
                <w:sz w:val="20"/>
                <w:szCs w:val="20"/>
                <w:u w:color="011892"/>
              </w:rPr>
              <w:t xml:space="preserve">QUOTA </w:t>
            </w:r>
            <w:proofErr w:type="spellStart"/>
            <w:r>
              <w:rPr>
                <w:rFonts w:ascii="Arial" w:hAnsi="Arial"/>
                <w:sz w:val="20"/>
                <w:szCs w:val="20"/>
                <w:u w:color="011892"/>
              </w:rPr>
              <w:t>DI</w:t>
            </w:r>
            <w:proofErr w:type="spellEnd"/>
            <w:r>
              <w:rPr>
                <w:rFonts w:ascii="Arial" w:hAnsi="Arial"/>
                <w:sz w:val="20"/>
                <w:szCs w:val="20"/>
                <w:u w:color="011892"/>
              </w:rPr>
              <w:t xml:space="preserve"> MERCATO (%)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3C6682"/>
        </w:tc>
      </w:tr>
      <w:tr w:rsidR="003C6682">
        <w:trPr>
          <w:trHeight w:val="60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3C6682"/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</w:rPr>
              <w:t>MAG</w:t>
            </w:r>
            <w:r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</w:rPr>
              <w:t>MAG</w:t>
            </w:r>
            <w:r>
              <w:rPr>
                <w:sz w:val="20"/>
                <w:szCs w:val="20"/>
                <w:u w:color="011892"/>
              </w:rPr>
              <w:t xml:space="preserve"> ’23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Pr>
              <w:pStyle w:val="Nessunaspaziatura"/>
            </w:pPr>
            <w:r>
              <w:rPr>
                <w:sz w:val="20"/>
                <w:szCs w:val="20"/>
                <w:u w:color="011892"/>
              </w:rPr>
              <w:t>Var. %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GEN-MAG ’22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GEN-MAG ’23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Var. %</w:t>
            </w:r>
          </w:p>
        </w:tc>
      </w:tr>
      <w:tr w:rsidR="003C6682">
        <w:trPr>
          <w:trHeight w:val="40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 </w:t>
            </w:r>
          </w:p>
        </w:tc>
        <w:tc>
          <w:tcPr>
            <w:tcW w:w="6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4"/>
                <w:szCs w:val="24"/>
                <w:u w:color="000099"/>
              </w:rPr>
              <w:t>PASSAGGI AL NETTO MINIVOLTURE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3C6682"/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BENZINA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38,0%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36,6%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37,4%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37,1%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5,3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47,6%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47,3%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48,0%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46,7%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3,5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BENZINA/GPL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3,6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BENZINA/METANO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9,5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METANO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78,7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FF0000"/>
                <w:sz w:val="24"/>
                <w:szCs w:val="24"/>
              </w:rPr>
              <w:t>-15,5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-27,1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52,5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77,3</w:t>
            </w:r>
          </w:p>
        </w:tc>
      </w:tr>
      <w:tr w:rsidR="003C6682">
        <w:trPr>
          <w:trHeight w:val="40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3C6682"/>
        </w:tc>
        <w:tc>
          <w:tcPr>
            <w:tcW w:w="6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4"/>
                <w:szCs w:val="24"/>
                <w:u w:color="000099"/>
              </w:rPr>
              <w:t>MINIVOLTURE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3C6682"/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BENZINA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30,9%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29,3%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31,0%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29,3%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3,1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53,7%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52,9%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53,1%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9,0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BENZINA/GPL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6,1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BENZINA/METANO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-4,9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METANO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FF0000"/>
                <w:sz w:val="24"/>
                <w:szCs w:val="24"/>
              </w:rPr>
              <w:t>-4,9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17,0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1,5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66,4</w:t>
            </w:r>
          </w:p>
        </w:tc>
      </w:tr>
      <w:tr w:rsidR="003C6682">
        <w:trPr>
          <w:trHeight w:val="360"/>
          <w:jc w:val="center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108,6</w:t>
            </w:r>
          </w:p>
        </w:tc>
      </w:tr>
    </w:tbl>
    <w:p w:rsidR="003C6682" w:rsidRDefault="003C6682">
      <w:pPr>
        <w:widowControl w:val="0"/>
        <w:ind w:left="648" w:hanging="648"/>
        <w:rPr>
          <w:sz w:val="12"/>
          <w:szCs w:val="12"/>
        </w:rPr>
      </w:pPr>
    </w:p>
    <w:p w:rsidR="003C6682" w:rsidRDefault="003C6682">
      <w:pPr>
        <w:widowControl w:val="0"/>
        <w:rPr>
          <w:sz w:val="6"/>
          <w:szCs w:val="6"/>
        </w:rPr>
      </w:pPr>
    </w:p>
    <w:p w:rsidR="003C6682" w:rsidRDefault="002A124D">
      <w:pPr>
        <w:jc w:val="left"/>
        <w:rPr>
          <w:i/>
          <w:iCs/>
        </w:rPr>
      </w:pPr>
      <w:r>
        <w:t xml:space="preserve">             </w:t>
      </w:r>
      <w:r>
        <w:rPr>
          <w:i/>
          <w:iCs/>
        </w:rPr>
        <w:t>Fonte: ACI – Automobile Club d’Italia</w:t>
      </w:r>
    </w:p>
    <w:p w:rsidR="003C6682" w:rsidRDefault="002A124D">
      <w:pPr>
        <w:jc w:val="left"/>
      </w:pPr>
      <w:r>
        <w:rPr>
          <w:i/>
          <w:iCs/>
        </w:rPr>
        <w:t xml:space="preserve">             NOTA: Le variazioni percentuali sono calcolate rispetto ai valori assoluti delle formalità non inseriti in tabella.</w:t>
      </w:r>
    </w:p>
    <w:p w:rsidR="003C6682" w:rsidRDefault="003C6682">
      <w:pPr>
        <w:jc w:val="left"/>
        <w:rPr>
          <w:sz w:val="22"/>
          <w:szCs w:val="22"/>
        </w:rPr>
      </w:pPr>
    </w:p>
    <w:p w:rsidR="003C6682" w:rsidRDefault="003C6682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072A5A" w:rsidRDefault="00072A5A">
      <w:pPr>
        <w:jc w:val="left"/>
        <w:rPr>
          <w:sz w:val="22"/>
          <w:szCs w:val="22"/>
        </w:rPr>
      </w:pPr>
    </w:p>
    <w:p w:rsidR="003C6682" w:rsidRDefault="002A124D">
      <w:pPr>
        <w:rPr>
          <w:sz w:val="22"/>
          <w:szCs w:val="22"/>
        </w:rPr>
      </w:pPr>
      <w:r>
        <w:rPr>
          <w:rFonts w:eastAsia="Arial Unicode MS" w:cs="Arial Unicode MS"/>
          <w:color w:val="800000"/>
          <w:sz w:val="22"/>
          <w:szCs w:val="22"/>
          <w:u w:color="800000"/>
        </w:rPr>
        <w:t>AUTOVETTURE: QUADRO PROVINCIALE (Maggio 2023)</w:t>
      </w:r>
    </w:p>
    <w:p w:rsidR="003C6682" w:rsidRDefault="003C6682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22"/>
        <w:gridCol w:w="1107"/>
        <w:gridCol w:w="1107"/>
        <w:gridCol w:w="1110"/>
        <w:gridCol w:w="1107"/>
        <w:gridCol w:w="1107"/>
        <w:gridCol w:w="1111"/>
      </w:tblGrid>
      <w:tr w:rsidR="003C6682">
        <w:trPr>
          <w:trHeight w:val="365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82" w:rsidRDefault="002A124D">
            <w:r>
              <w:rPr>
                <w:color w:val="000080"/>
                <w:sz w:val="20"/>
                <w:szCs w:val="20"/>
                <w:u w:color="000080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PASSAGGI NETTI</w:t>
            </w:r>
          </w:p>
        </w:tc>
      </w:tr>
      <w:tr w:rsidR="003C6682">
        <w:trPr>
          <w:trHeight w:val="60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3C6682">
            <w:pPr>
              <w:rPr>
                <w:color w:val="000099"/>
                <w:sz w:val="22"/>
                <w:szCs w:val="22"/>
                <w:u w:color="000099"/>
              </w:rPr>
            </w:pPr>
          </w:p>
          <w:p w:rsidR="003C6682" w:rsidRDefault="002A124D">
            <w:r>
              <w:rPr>
                <w:color w:val="000099"/>
                <w:sz w:val="22"/>
                <w:szCs w:val="22"/>
                <w:u w:color="000099"/>
              </w:rPr>
              <w:t>Provincia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2023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>2023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AL (Alessandria)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1.831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2.041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AT (Asti)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BI (Biella)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CN (Cuneo)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2.601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2.905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NO (Novara)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1.517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1.649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TO (Torino)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2.829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2.825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8.990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10.036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VB (Verbania)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VC (Vercelli)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-5,5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PIEMONTE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6.018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6.079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18.055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20.097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11,3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AO (Aosta)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-23,7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VALLE D'AOSTA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301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-23,7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568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651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14,6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BG (Bergamo)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1.521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1.485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4.222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4.597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BS (Brescia)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1.693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1.732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5.125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5.873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CO (Como)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2.455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2.699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CR (Cremona)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1.356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1.542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LC (Lecco)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1.358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LO (Lodi)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MN (Mantova)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1.973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20,0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roofErr w:type="spellStart"/>
            <w:r>
              <w:rPr>
                <w:sz w:val="20"/>
                <w:szCs w:val="20"/>
                <w:u w:color="011892"/>
              </w:rPr>
              <w:t>MI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(Milano)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5.742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5.342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11.488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11.905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MB (Monza Brianza)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1.233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3.137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3.453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PV (Pavia)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2.184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2.479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SO (Sondrio)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18,6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VA (Varese)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3.460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3.840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lastRenderedPageBreak/>
              <w:t>LOMBARDIA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15.484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15.043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-2,8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37.894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41.559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9,7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BZ (Bolzano)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-12,3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2.936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3.252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TN (Trento)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1.049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1.481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2.887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3.181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TRENTINO A.A.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2.421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2.685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10,9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5.823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6.434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10,5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BL (Belluno)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18,0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PD (Padova)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1.493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3.320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3.932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18,4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RO (Rovigo)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22,1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TV (Treviso) 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1.569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2.998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3.488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16,3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VE (Venezia)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2.688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3.068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VR (Verona)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2.021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3.643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4.280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17,5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roofErr w:type="spellStart"/>
            <w:r>
              <w:rPr>
                <w:sz w:val="20"/>
                <w:szCs w:val="20"/>
                <w:u w:color="011892"/>
              </w:rPr>
              <w:t>VI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(Vicenza)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1.587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3.318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3.705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VENETO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7.585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8.709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14,8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17.573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20.401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16,1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GO (Gorizia)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18,7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PN (Pordenone)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1.368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TS (Trieste)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UD (Udine)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1.031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1.091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2.396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FRIULI V.G.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2.392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4.744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5.285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11,4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GE (Genova)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2.582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2.997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16,1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IM (Imperia)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SP (La Spezia)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SV (Savona)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1.091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LIGURIA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1.760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1.961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11,4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5.338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6.028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12,9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BO (Bologna)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1.294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3.590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3.771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FE (Ferrara)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1.463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FO (Forlì)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1.541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1.735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MO (Modena)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1.063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2.933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3.379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PR (Parma)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1.933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2.006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lastRenderedPageBreak/>
              <w:t>PC (Piacenza)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-7,8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17,8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RA (Ravenna)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1.557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1.640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RE (Reggio Emilia)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2.204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2.610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18,4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RN (Rimini)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EMILIA ROMAGNA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6.933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6.762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-2,5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17.234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19.130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11,0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433FF"/>
                <w:sz w:val="20"/>
                <w:szCs w:val="20"/>
                <w:u w:color="000099"/>
              </w:rPr>
              <w:t>NORD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42.803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43.862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2,5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107.229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119.585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11,5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AR (Arezzo)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1.429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1.584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FI (Firenze)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1.598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3.499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3.886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GR (Grosseto)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roofErr w:type="spellStart"/>
            <w:r>
              <w:rPr>
                <w:sz w:val="20"/>
                <w:szCs w:val="20"/>
                <w:u w:color="011892"/>
              </w:rPr>
              <w:t>LI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(Livorno)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-10,8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1.274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LU (Lucca)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1.485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1.602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MS (Massa Carrara)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PI (Pisa)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1.466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22,8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PT (Pistoia)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-6,1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1.440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PO (Prato)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SI (Siena)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1.297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TOSCANA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5.289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5.668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14.202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15.902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12,0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PG (Perugia)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1.073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1.059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2.788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3.197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TR (Terni)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UMBRIA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1.409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1.393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-1,1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3.703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4.213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13,8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AN (Ancona)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1.693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1.959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AP (Ascoli Piceno)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-11,5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FM (Fermo)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-13,9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MC (Macerata)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-8,2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1.126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1.350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19,9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PU (Pesaro e Urbino)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1.194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MARCHE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2.323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2.282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-1,8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5.358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6.079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13,5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FR (Frosinone)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2.239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2.381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lastRenderedPageBreak/>
              <w:t>LT (Latina)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-17,5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2.458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2.627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RI (Rieti)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21,4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RM (Roma)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7.176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7.833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18.709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19.384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VT (Viterbo)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-13,7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1.657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LAZIO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9.881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10.289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25.522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26.832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433FF"/>
                <w:sz w:val="20"/>
                <w:szCs w:val="20"/>
                <w:u w:color="000099"/>
              </w:rPr>
              <w:t>CENTRO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18.902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19.632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3,9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48.785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53.026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8,7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AQ (L'Aquila)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1.418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16,2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CH (Chieti)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-7,6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1.686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PE (Pescara)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25,5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TE (Teramo)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1.323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1.419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ABRUZZO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1.967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1.952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-0,7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5.202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5.933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14,1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CB (Campobasso)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IS (Isernia)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-4,1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MOLISE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539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1.158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114,8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1.388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1.501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AV (Avellino)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1.773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BN (Benevento)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-11,9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CE (Caserta)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-18,6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3.596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4.039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12,3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NA (Napoli)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4.272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3.803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-11,0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11.218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11.430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SA (Salerno)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1.335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1.319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4.296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4.644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CAMPANIA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7.877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7.112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-9,7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21.870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23.063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BA (Bari)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1.794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1.821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5.260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5.599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BT </w:t>
            </w:r>
            <w:r>
              <w:rPr>
                <w:u w:color="011892"/>
              </w:rPr>
              <w:t>(Barletta Andria Trani)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-18,8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1.579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1.645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BR (Brindisi)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1.834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1.892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FG (Foggia)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-22,2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2.895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LE (Lecce)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3.292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3.581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TA (Taranto)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2.483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3,3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PUGLIA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5.857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5.415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-7,5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17.091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18.095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5,9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lastRenderedPageBreak/>
              <w:t xml:space="preserve">MT (Matera)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PZ (Potenza)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1.455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1.554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6,8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BASILICATA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834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840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0,7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2.296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2.378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3,6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CZ (Catanzaro)    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1.408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6,9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CS (Cosenza)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2.854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3.110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KR (Crotone)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RC (Reggio Calabria)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2.048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2.149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>VV (Vibo Valentia)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CALABRIA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2.111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1.964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-6,9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7.580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8.144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AG (Agrigento)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1.771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1.702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-3,9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proofErr w:type="spellStart"/>
            <w:r>
              <w:rPr>
                <w:sz w:val="20"/>
                <w:szCs w:val="20"/>
                <w:u w:color="011892"/>
              </w:rPr>
              <w:t>CL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(Caltanissetta)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1.062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-4,9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CT (Catania)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1.521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5.251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5.255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0,1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EN (Enna)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8,4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ME (Messina)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2.435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PA (Palermo) 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1.598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4.670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4.899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RG (Ragusa)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1.497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1.645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9,9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SR (Siracusa)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1.854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-2,2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TP (Trapani)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1.908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SICILIA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6.380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6.661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4,4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21.133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21.359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1,1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sz w:val="20"/>
                <w:szCs w:val="20"/>
                <w:u w:color="011892"/>
              </w:rPr>
              <w:t>CA (Cagliari)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1.975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2.072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4,9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NU (Nuoro)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1.079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-4,1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OR (Oristano)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10,5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sz w:val="20"/>
                <w:szCs w:val="20"/>
                <w:u w:color="011892"/>
              </w:rPr>
              <w:t xml:space="preserve">SS (Sassari)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2.512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2.561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2,0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682" w:rsidRDefault="002A124D">
            <w:r>
              <w:rPr>
                <w:sz w:val="20"/>
                <w:szCs w:val="20"/>
                <w:u w:color="011892"/>
              </w:rPr>
              <w:t>SU (Sud Sardegna)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-14,9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1.618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suppressAutoHyphens/>
              <w:outlineLvl w:val="0"/>
            </w:pPr>
            <w:r>
              <w:rPr>
                <w:rFonts w:eastAsia="Arial Unicode MS" w:cs="Arial Unicode MS"/>
                <w:b w:val="0"/>
                <w:bCs w:val="0"/>
                <w:color w:val="000000"/>
                <w:sz w:val="24"/>
                <w:szCs w:val="24"/>
              </w:rPr>
              <w:t>1.676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3,6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941100"/>
                <w:sz w:val="20"/>
                <w:szCs w:val="20"/>
                <w:u w:color="993300"/>
              </w:rPr>
              <w:t>SARDEGNA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2.366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2.333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-1,4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7.832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8.060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941100"/>
                <w:sz w:val="24"/>
                <w:szCs w:val="24"/>
              </w:rPr>
              <w:t>2,9</w:t>
            </w:r>
          </w:p>
        </w:tc>
      </w:tr>
      <w:tr w:rsidR="003C6682">
        <w:trPr>
          <w:trHeight w:val="38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682" w:rsidRDefault="002A124D">
            <w:r>
              <w:rPr>
                <w:color w:val="0433FF"/>
                <w:sz w:val="20"/>
                <w:szCs w:val="20"/>
                <w:u w:color="000099"/>
              </w:rPr>
              <w:t>SUD E ISOLE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27.931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27.437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-1,8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84.392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88.533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3C6682" w:rsidRDefault="002A124D">
            <w:pPr>
              <w:tabs>
                <w:tab w:val="left" w:pos="720"/>
              </w:tabs>
            </w:pPr>
            <w:r>
              <w:rPr>
                <w:rFonts w:eastAsia="Arial Unicode MS" w:cs="Arial Unicode MS"/>
                <w:color w:val="0433FF"/>
                <w:sz w:val="24"/>
                <w:szCs w:val="24"/>
              </w:rPr>
              <w:t>4,9</w:t>
            </w:r>
          </w:p>
        </w:tc>
      </w:tr>
    </w:tbl>
    <w:p w:rsidR="003C6682" w:rsidRDefault="003C6682">
      <w:pPr>
        <w:widowControl w:val="0"/>
        <w:ind w:left="703" w:hanging="703"/>
        <w:rPr>
          <w:color w:val="800000"/>
          <w:sz w:val="12"/>
          <w:szCs w:val="12"/>
          <w:u w:color="800000"/>
        </w:rPr>
      </w:pPr>
    </w:p>
    <w:p w:rsidR="003C6682" w:rsidRDefault="003C6682">
      <w:pPr>
        <w:widowControl w:val="0"/>
        <w:ind w:left="55" w:hanging="55"/>
        <w:rPr>
          <w:color w:val="800000"/>
          <w:sz w:val="6"/>
          <w:szCs w:val="6"/>
          <w:u w:color="800000"/>
        </w:rPr>
      </w:pPr>
    </w:p>
    <w:p w:rsidR="003C6682" w:rsidRDefault="002A124D">
      <w:pPr>
        <w:jc w:val="left"/>
      </w:pPr>
      <w:r>
        <w:t xml:space="preserve">        </w:t>
      </w:r>
      <w:r>
        <w:rPr>
          <w:i/>
          <w:iCs/>
        </w:rPr>
        <w:t>Fonte: ACI – Automobile Club d’Italia</w:t>
      </w:r>
    </w:p>
    <w:sectPr w:rsidR="003C6682" w:rsidSect="004E31BB">
      <w:footerReference w:type="default" r:id="rId7"/>
      <w:pgSz w:w="11900" w:h="16840"/>
      <w:pgMar w:top="539" w:right="926" w:bottom="851" w:left="1080" w:header="708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46" w:rsidRDefault="006B7146">
      <w:r>
        <w:separator/>
      </w:r>
    </w:p>
  </w:endnote>
  <w:endnote w:type="continuationSeparator" w:id="0">
    <w:p w:rsidR="006B7146" w:rsidRDefault="006B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4D" w:rsidRDefault="0082334D">
    <w:pPr>
      <w:pStyle w:val="Pidipagina"/>
      <w:pBdr>
        <w:top w:val="single" w:sz="4" w:space="0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ACI – AUTOMOBILE CLUB D’ITALIA</w:t>
    </w:r>
  </w:p>
  <w:p w:rsidR="0082334D" w:rsidRDefault="0082334D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>Ufficio Stampa</w:t>
    </w:r>
  </w:p>
  <w:p w:rsidR="0082334D" w:rsidRDefault="0082334D">
    <w:pPr>
      <w:pStyle w:val="Pidipagina"/>
    </w:pPr>
    <w:r>
      <w:rPr>
        <w:sz w:val="16"/>
        <w:szCs w:val="16"/>
        <w:lang w:val="de-DE"/>
      </w:rPr>
      <w:t>ufficio.stampa@aci.it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46" w:rsidRDefault="006B7146">
      <w:r>
        <w:separator/>
      </w:r>
    </w:p>
  </w:footnote>
  <w:footnote w:type="continuationSeparator" w:id="0">
    <w:p w:rsidR="006B7146" w:rsidRDefault="006B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682"/>
    <w:rsid w:val="00072A5A"/>
    <w:rsid w:val="002A124D"/>
    <w:rsid w:val="003C6682"/>
    <w:rsid w:val="004E31BB"/>
    <w:rsid w:val="006B7146"/>
    <w:rsid w:val="0082334D"/>
    <w:rsid w:val="00A177DC"/>
    <w:rsid w:val="00B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BB"/>
    <w:pPr>
      <w:jc w:val="center"/>
    </w:pPr>
    <w:rPr>
      <w:rFonts w:ascii="Cambria" w:eastAsia="Cambria" w:hAnsi="Cambria" w:cs="Cambria"/>
      <w:b/>
      <w:bCs/>
      <w:color w:val="011892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31BB"/>
    <w:rPr>
      <w:u w:val="single"/>
    </w:rPr>
  </w:style>
  <w:style w:type="table" w:customStyle="1" w:styleId="TableNormal">
    <w:name w:val="Table Normal"/>
    <w:rsid w:val="004E3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E31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4E31BB"/>
    <w:pPr>
      <w:tabs>
        <w:tab w:val="center" w:pos="4819"/>
        <w:tab w:val="right" w:pos="9638"/>
      </w:tabs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essunaspaziatura">
    <w:name w:val="No Spacing"/>
    <w:rsid w:val="004E31BB"/>
    <w:pPr>
      <w:jc w:val="center"/>
    </w:pPr>
    <w:rPr>
      <w:rFonts w:ascii="Cambria" w:hAnsi="Cambria" w:cs="Arial Unicode MS"/>
      <w:b/>
      <w:bCs/>
      <w:color w:val="011892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2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A5A"/>
    <w:rPr>
      <w:rFonts w:ascii="Cambria" w:eastAsia="Cambria" w:hAnsi="Cambria" w:cs="Cambria"/>
      <w:b/>
      <w:bCs/>
      <w:color w:val="01189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745227</cp:lastModifiedBy>
  <cp:revision>5</cp:revision>
  <dcterms:created xsi:type="dcterms:W3CDTF">2023-06-12T07:52:00Z</dcterms:created>
  <dcterms:modified xsi:type="dcterms:W3CDTF">2023-06-12T09:01:00Z</dcterms:modified>
</cp:coreProperties>
</file>