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8C67D" w14:textId="452F952C" w:rsidR="008759AE" w:rsidRPr="00920D36" w:rsidRDefault="00A764C9" w:rsidP="009A78A6">
      <w:pPr>
        <w:spacing w:after="120" w:line="264" w:lineRule="auto"/>
        <w:rPr>
          <w:rFonts w:eastAsia="Times New Roman" w:cstheme="minorHAnsi"/>
          <w:b/>
          <w:bCs/>
          <w:kern w:val="36"/>
          <w:sz w:val="22"/>
          <w:szCs w:val="22"/>
          <w:lang w:val="it-IT" w:eastAsia="en-GB"/>
          <w14:ligatures w14:val="none"/>
        </w:rPr>
      </w:pPr>
      <w:r w:rsidRPr="00920D36">
        <w:rPr>
          <w:rFonts w:eastAsia="Times New Roman" w:cstheme="minorHAnsi"/>
          <w:b/>
          <w:bCs/>
          <w:kern w:val="36"/>
          <w:sz w:val="22"/>
          <w:szCs w:val="22"/>
          <w:lang w:val="it-IT" w:eastAsia="en-GB"/>
          <w14:ligatures w14:val="none"/>
        </w:rPr>
        <w:t xml:space="preserve">Schroders - </w:t>
      </w:r>
      <w:r w:rsidR="008759AE" w:rsidRPr="00920D36">
        <w:rPr>
          <w:rFonts w:eastAsia="Times New Roman" w:cstheme="minorHAnsi"/>
          <w:b/>
          <w:bCs/>
          <w:kern w:val="36"/>
          <w:sz w:val="22"/>
          <w:szCs w:val="22"/>
          <w:lang w:val="it-IT" w:eastAsia="en-GB"/>
          <w14:ligatures w14:val="none"/>
        </w:rPr>
        <w:t xml:space="preserve">Turchia e Grecia: </w:t>
      </w:r>
      <w:r w:rsidR="00920D36" w:rsidRPr="00920D36">
        <w:rPr>
          <w:rFonts w:eastAsia="Times New Roman" w:cstheme="minorHAnsi"/>
          <w:b/>
          <w:bCs/>
          <w:kern w:val="36"/>
          <w:sz w:val="22"/>
          <w:szCs w:val="22"/>
          <w:lang w:val="it-IT" w:eastAsia="en-GB"/>
          <w14:ligatures w14:val="none"/>
        </w:rPr>
        <w:t>geograficamente vicin</w:t>
      </w:r>
      <w:r w:rsidR="00695AC7">
        <w:rPr>
          <w:rFonts w:eastAsia="Times New Roman" w:cstheme="minorHAnsi"/>
          <w:b/>
          <w:bCs/>
          <w:kern w:val="36"/>
          <w:sz w:val="22"/>
          <w:szCs w:val="22"/>
          <w:lang w:val="it-IT" w:eastAsia="en-GB"/>
          <w14:ligatures w14:val="none"/>
        </w:rPr>
        <w:t>e</w:t>
      </w:r>
      <w:r w:rsidR="00920D36" w:rsidRPr="00920D36">
        <w:rPr>
          <w:rFonts w:eastAsia="Times New Roman" w:cstheme="minorHAnsi"/>
          <w:b/>
          <w:bCs/>
          <w:kern w:val="36"/>
          <w:sz w:val="22"/>
          <w:szCs w:val="22"/>
          <w:lang w:val="it-IT" w:eastAsia="en-GB"/>
          <w14:ligatures w14:val="none"/>
        </w:rPr>
        <w:t>, economicamente distanti</w:t>
      </w:r>
      <w:r w:rsidR="00E87726" w:rsidRPr="00920D36">
        <w:rPr>
          <w:rFonts w:eastAsia="Times New Roman" w:cstheme="minorHAnsi"/>
          <w:b/>
          <w:bCs/>
          <w:kern w:val="36"/>
          <w:sz w:val="22"/>
          <w:szCs w:val="22"/>
          <w:lang w:val="it-IT" w:eastAsia="en-GB"/>
          <w14:ligatures w14:val="none"/>
        </w:rPr>
        <w:t xml:space="preserve"> </w:t>
      </w:r>
    </w:p>
    <w:p w14:paraId="56D0A073" w14:textId="6341BEDB" w:rsidR="008759AE" w:rsidRPr="00920D36" w:rsidRDefault="008759AE" w:rsidP="009A78A6">
      <w:pPr>
        <w:spacing w:after="120" w:line="264" w:lineRule="auto"/>
        <w:rPr>
          <w:rFonts w:eastAsia="Times New Roman" w:cstheme="minorHAnsi"/>
          <w:b/>
          <w:bCs/>
          <w:kern w:val="0"/>
          <w:sz w:val="22"/>
          <w:szCs w:val="22"/>
          <w:lang w:val="en-US" w:eastAsia="en-GB"/>
          <w14:ligatures w14:val="none"/>
        </w:rPr>
      </w:pPr>
      <w:r w:rsidRPr="00920D36">
        <w:rPr>
          <w:rFonts w:cstheme="minorHAnsi"/>
          <w:sz w:val="22"/>
          <w:szCs w:val="22"/>
          <w:lang w:val="en-US"/>
        </w:rPr>
        <w:t xml:space="preserve">A cura di </w:t>
      </w:r>
      <w:r w:rsidRPr="00920D36">
        <w:rPr>
          <w:rFonts w:eastAsia="Times New Roman" w:cstheme="minorHAnsi"/>
          <w:b/>
          <w:bCs/>
          <w:kern w:val="0"/>
          <w:sz w:val="22"/>
          <w:szCs w:val="22"/>
          <w:lang w:val="en-US" w:eastAsia="en-GB"/>
          <w14:ligatures w14:val="none"/>
        </w:rPr>
        <w:t xml:space="preserve">Andrew Rymer, CFA, Senior Strategist, Strategic Research Unit, </w:t>
      </w:r>
      <w:r w:rsidRPr="00920D36">
        <w:rPr>
          <w:rFonts w:eastAsia="Times New Roman" w:cstheme="minorHAnsi"/>
          <w:kern w:val="0"/>
          <w:sz w:val="22"/>
          <w:szCs w:val="22"/>
          <w:lang w:val="en-US" w:eastAsia="en-GB"/>
          <w14:ligatures w14:val="none"/>
        </w:rPr>
        <w:t>e</w:t>
      </w:r>
      <w:r w:rsidRPr="00920D36">
        <w:rPr>
          <w:rFonts w:eastAsia="Times New Roman" w:cstheme="minorHAnsi"/>
          <w:b/>
          <w:bCs/>
          <w:kern w:val="0"/>
          <w:sz w:val="22"/>
          <w:szCs w:val="22"/>
          <w:lang w:val="en-US" w:eastAsia="en-GB"/>
          <w14:ligatures w14:val="none"/>
        </w:rPr>
        <w:t xml:space="preserve"> Rollo Roscow, Emerging Markets Fund Manager, Schroders</w:t>
      </w:r>
    </w:p>
    <w:p w14:paraId="7E242EC3" w14:textId="77777777" w:rsidR="008759AE" w:rsidRPr="00920D36" w:rsidRDefault="008759AE" w:rsidP="009A78A6">
      <w:pPr>
        <w:spacing w:after="120" w:line="264" w:lineRule="auto"/>
        <w:rPr>
          <w:rFonts w:eastAsia="Times New Roman" w:cstheme="minorHAnsi"/>
          <w:kern w:val="0"/>
          <w:sz w:val="22"/>
          <w:szCs w:val="22"/>
          <w:lang w:val="en-US" w:eastAsia="en-GB"/>
          <w14:ligatures w14:val="none"/>
        </w:rPr>
      </w:pPr>
    </w:p>
    <w:p w14:paraId="2014997C" w14:textId="00257B10" w:rsidR="008759AE" w:rsidRPr="00920D36" w:rsidRDefault="008759AE" w:rsidP="009A78A6">
      <w:pPr>
        <w:pStyle w:val="Titolo2"/>
        <w:spacing w:before="0" w:after="120" w:line="264" w:lineRule="auto"/>
        <w:rPr>
          <w:rFonts w:asciiTheme="minorHAnsi" w:eastAsia="Times New Roman" w:hAnsiTheme="minorHAnsi" w:cstheme="minorHAnsi"/>
          <w:color w:val="auto"/>
          <w:kern w:val="0"/>
          <w:sz w:val="22"/>
          <w:szCs w:val="22"/>
          <w:lang w:val="it-IT" w:eastAsia="en-GB"/>
          <w14:ligatures w14:val="none"/>
        </w:rPr>
      </w:pPr>
      <w:r w:rsidRPr="00920D36">
        <w:rPr>
          <w:rFonts w:asciiTheme="minorHAnsi" w:eastAsia="Times New Roman" w:hAnsiTheme="minorHAnsi" w:cstheme="minorHAnsi"/>
          <w:color w:val="auto"/>
          <w:kern w:val="0"/>
          <w:sz w:val="22"/>
          <w:szCs w:val="22"/>
          <w:lang w:val="it-IT" w:eastAsia="en-GB"/>
          <w14:ligatures w14:val="none"/>
        </w:rPr>
        <w:t>Pur essendo vicine dal punto di vista geografico, da</w:t>
      </w:r>
      <w:r w:rsidR="00920D36" w:rsidRPr="00920D36">
        <w:rPr>
          <w:rFonts w:asciiTheme="minorHAnsi" w:eastAsia="Times New Roman" w:hAnsiTheme="minorHAnsi" w:cstheme="minorHAnsi"/>
          <w:color w:val="auto"/>
          <w:kern w:val="0"/>
          <w:sz w:val="22"/>
          <w:szCs w:val="22"/>
          <w:lang w:val="it-IT" w:eastAsia="en-GB"/>
          <w14:ligatures w14:val="none"/>
        </w:rPr>
        <w:t xml:space="preserve"> quello</w:t>
      </w:r>
      <w:r w:rsidRPr="00920D36">
        <w:rPr>
          <w:rFonts w:asciiTheme="minorHAnsi" w:eastAsia="Times New Roman" w:hAnsiTheme="minorHAnsi" w:cstheme="minorHAnsi"/>
          <w:color w:val="auto"/>
          <w:kern w:val="0"/>
          <w:sz w:val="22"/>
          <w:szCs w:val="22"/>
          <w:lang w:val="it-IT" w:eastAsia="en-GB"/>
          <w14:ligatures w14:val="none"/>
        </w:rPr>
        <w:t xml:space="preserve"> economico il contrasto tra Grecia e Turchia non potrebbe essere più netto.</w:t>
      </w:r>
    </w:p>
    <w:p w14:paraId="5150ECF5" w14:textId="1C3B7C1E" w:rsidR="008759AE" w:rsidRPr="00920D36" w:rsidRDefault="00AD36FE" w:rsidP="009A78A6">
      <w:pPr>
        <w:pStyle w:val="Titolo2"/>
        <w:spacing w:before="0" w:after="120" w:line="264" w:lineRule="auto"/>
        <w:rPr>
          <w:rFonts w:asciiTheme="minorHAnsi" w:eastAsia="Times New Roman" w:hAnsiTheme="minorHAnsi" w:cstheme="minorHAnsi"/>
          <w:color w:val="auto"/>
          <w:kern w:val="0"/>
          <w:sz w:val="22"/>
          <w:szCs w:val="22"/>
          <w:lang w:val="it-IT" w:eastAsia="en-GB"/>
          <w14:ligatures w14:val="none"/>
        </w:rPr>
      </w:pPr>
      <w:r w:rsidRPr="00920D36">
        <w:rPr>
          <w:rFonts w:asciiTheme="minorHAnsi" w:eastAsia="Times New Roman" w:hAnsiTheme="minorHAnsi" w:cstheme="minorHAnsi"/>
          <w:color w:val="auto"/>
          <w:kern w:val="0"/>
          <w:sz w:val="22"/>
          <w:szCs w:val="22"/>
          <w:lang w:val="it-IT" w:eastAsia="en-GB"/>
          <w14:ligatures w14:val="none"/>
        </w:rPr>
        <w:t xml:space="preserve">Nel contesto degli investimenti azionari </w:t>
      </w:r>
      <w:r w:rsidR="00CC31BD" w:rsidRPr="00920D36">
        <w:rPr>
          <w:rFonts w:asciiTheme="minorHAnsi" w:eastAsia="Times New Roman" w:hAnsiTheme="minorHAnsi" w:cstheme="minorHAnsi"/>
          <w:color w:val="auto"/>
          <w:kern w:val="0"/>
          <w:sz w:val="22"/>
          <w:szCs w:val="22"/>
          <w:lang w:val="it-IT" w:eastAsia="en-GB"/>
          <w14:ligatures w14:val="none"/>
        </w:rPr>
        <w:t>n</w:t>
      </w:r>
      <w:r w:rsidRPr="00920D36">
        <w:rPr>
          <w:rFonts w:asciiTheme="minorHAnsi" w:eastAsia="Times New Roman" w:hAnsiTheme="minorHAnsi" w:cstheme="minorHAnsi"/>
          <w:color w:val="auto"/>
          <w:kern w:val="0"/>
          <w:sz w:val="22"/>
          <w:szCs w:val="22"/>
          <w:lang w:val="it-IT" w:eastAsia="en-GB"/>
          <w14:ligatures w14:val="none"/>
        </w:rPr>
        <w:t xml:space="preserve">ei mercati emergenti </w:t>
      </w:r>
      <w:r w:rsidR="00AC7FE3">
        <w:rPr>
          <w:rFonts w:asciiTheme="minorHAnsi" w:eastAsia="Times New Roman" w:hAnsiTheme="minorHAnsi" w:cstheme="minorHAnsi"/>
          <w:color w:val="auto"/>
          <w:kern w:val="0"/>
          <w:sz w:val="22"/>
          <w:szCs w:val="22"/>
          <w:lang w:val="it-IT" w:eastAsia="en-GB"/>
          <w14:ligatures w14:val="none"/>
        </w:rPr>
        <w:t>a livello globale</w:t>
      </w:r>
      <w:r w:rsidRPr="00920D36" w:rsidDel="00AD36FE">
        <w:rPr>
          <w:rFonts w:asciiTheme="minorHAnsi" w:eastAsia="Times New Roman" w:hAnsiTheme="minorHAnsi" w:cstheme="minorHAnsi"/>
          <w:color w:val="auto"/>
          <w:kern w:val="0"/>
          <w:sz w:val="22"/>
          <w:szCs w:val="22"/>
          <w:lang w:val="it-IT" w:eastAsia="en-GB"/>
          <w14:ligatures w14:val="none"/>
        </w:rPr>
        <w:t xml:space="preserve"> </w:t>
      </w:r>
      <w:r w:rsidRPr="00920D36">
        <w:rPr>
          <w:rFonts w:asciiTheme="minorHAnsi" w:eastAsia="Times New Roman" w:hAnsiTheme="minorHAnsi" w:cstheme="minorHAnsi"/>
          <w:color w:val="auto"/>
          <w:kern w:val="0"/>
          <w:sz w:val="22"/>
          <w:szCs w:val="22"/>
          <w:lang w:val="it-IT" w:eastAsia="en-GB"/>
          <w14:ligatures w14:val="none"/>
        </w:rPr>
        <w:t>si</w:t>
      </w:r>
      <w:r w:rsidR="008759AE" w:rsidRPr="00920D36">
        <w:rPr>
          <w:rFonts w:asciiTheme="minorHAnsi" w:eastAsia="Times New Roman" w:hAnsiTheme="minorHAnsi" w:cstheme="minorHAnsi"/>
          <w:color w:val="auto"/>
          <w:kern w:val="0"/>
          <w:sz w:val="22"/>
          <w:szCs w:val="22"/>
          <w:lang w:val="it-IT" w:eastAsia="en-GB"/>
          <w14:ligatures w14:val="none"/>
        </w:rPr>
        <w:t xml:space="preserve"> tratta di mercati piccoli, ma nell’ultimo decennio </w:t>
      </w:r>
      <w:r w:rsidR="00920D36" w:rsidRPr="00920D36">
        <w:rPr>
          <w:rFonts w:asciiTheme="minorHAnsi" w:eastAsia="Times New Roman" w:hAnsiTheme="minorHAnsi" w:cstheme="minorHAnsi"/>
          <w:color w:val="auto"/>
          <w:kern w:val="0"/>
          <w:sz w:val="22"/>
          <w:szCs w:val="22"/>
          <w:lang w:val="it-IT" w:eastAsia="en-GB"/>
          <w14:ligatures w14:val="none"/>
        </w:rPr>
        <w:t xml:space="preserve">le vicende legate a queste </w:t>
      </w:r>
      <w:r w:rsidR="008759AE" w:rsidRPr="00920D36">
        <w:rPr>
          <w:rFonts w:asciiTheme="minorHAnsi" w:eastAsia="Times New Roman" w:hAnsiTheme="minorHAnsi" w:cstheme="minorHAnsi"/>
          <w:color w:val="auto"/>
          <w:kern w:val="0"/>
          <w:sz w:val="22"/>
          <w:szCs w:val="22"/>
          <w:lang w:val="it-IT" w:eastAsia="en-GB"/>
          <w14:ligatures w14:val="none"/>
        </w:rPr>
        <w:t xml:space="preserve">due economie hanno fatto notizia. La Grecia ha subito i dolorosi effetti di una crisi del debito sovrano che l’ha portata a un passo dall’uscita dall’Eurozona. </w:t>
      </w:r>
      <w:r w:rsidR="00ED63B3" w:rsidRPr="00920D36">
        <w:rPr>
          <w:rFonts w:asciiTheme="minorHAnsi" w:eastAsia="Times New Roman" w:hAnsiTheme="minorHAnsi" w:cstheme="minorHAnsi"/>
          <w:color w:val="auto"/>
          <w:kern w:val="0"/>
          <w:sz w:val="22"/>
          <w:szCs w:val="22"/>
          <w:lang w:val="it-IT" w:eastAsia="en-GB"/>
          <w14:ligatures w14:val="none"/>
        </w:rPr>
        <w:t>Nel frattempo,</w:t>
      </w:r>
      <w:r w:rsidR="008759AE" w:rsidRPr="00920D36">
        <w:rPr>
          <w:rFonts w:asciiTheme="minorHAnsi" w:eastAsia="Times New Roman" w:hAnsiTheme="minorHAnsi" w:cstheme="minorHAnsi"/>
          <w:color w:val="auto"/>
          <w:kern w:val="0"/>
          <w:sz w:val="22"/>
          <w:szCs w:val="22"/>
          <w:lang w:val="it-IT" w:eastAsia="en-GB"/>
          <w14:ligatures w14:val="none"/>
        </w:rPr>
        <w:t xml:space="preserve"> la Turchia, uno dei “</w:t>
      </w:r>
      <w:r w:rsidR="00AC7FE3">
        <w:rPr>
          <w:rFonts w:asciiTheme="minorHAnsi" w:eastAsia="Times New Roman" w:hAnsiTheme="minorHAnsi" w:cstheme="minorHAnsi"/>
          <w:color w:val="auto"/>
          <w:kern w:val="0"/>
          <w:sz w:val="22"/>
          <w:szCs w:val="22"/>
          <w:lang w:val="it-IT" w:eastAsia="en-GB"/>
          <w14:ligatures w14:val="none"/>
        </w:rPr>
        <w:t>fragile five</w:t>
      </w:r>
      <w:r w:rsidR="008759AE" w:rsidRPr="00920D36">
        <w:rPr>
          <w:rFonts w:asciiTheme="minorHAnsi" w:eastAsia="Times New Roman" w:hAnsiTheme="minorHAnsi" w:cstheme="minorHAnsi"/>
          <w:color w:val="auto"/>
          <w:kern w:val="0"/>
          <w:sz w:val="22"/>
          <w:szCs w:val="22"/>
          <w:lang w:val="it-IT" w:eastAsia="en-GB"/>
          <w14:ligatures w14:val="none"/>
        </w:rPr>
        <w:t>”, si è trovata su una traiettoria di deterioramento economico per oltre cinque anni.</w:t>
      </w:r>
    </w:p>
    <w:p w14:paraId="1EACC8FD" w14:textId="17517730" w:rsidR="008759AE" w:rsidRPr="00920D36" w:rsidRDefault="008759AE" w:rsidP="009A78A6">
      <w:pPr>
        <w:pStyle w:val="Titolo2"/>
        <w:spacing w:before="0" w:after="120" w:line="264" w:lineRule="auto"/>
        <w:rPr>
          <w:rStyle w:val="Enfasigrassetto"/>
          <w:rFonts w:asciiTheme="minorHAnsi" w:eastAsia="Times New Roman" w:hAnsiTheme="minorHAnsi" w:cstheme="minorHAnsi"/>
          <w:b w:val="0"/>
          <w:bCs w:val="0"/>
          <w:color w:val="auto"/>
          <w:kern w:val="0"/>
          <w:sz w:val="22"/>
          <w:szCs w:val="22"/>
          <w:lang w:val="it-IT" w:eastAsia="en-GB"/>
          <w14:ligatures w14:val="none"/>
        </w:rPr>
      </w:pPr>
      <w:r w:rsidRPr="009A78A6">
        <w:rPr>
          <w:rFonts w:asciiTheme="minorHAnsi" w:eastAsia="Times New Roman" w:hAnsiTheme="minorHAnsi" w:cstheme="minorHAnsi"/>
          <w:b/>
          <w:bCs/>
          <w:color w:val="auto"/>
          <w:kern w:val="0"/>
          <w:sz w:val="22"/>
          <w:szCs w:val="22"/>
          <w:lang w:val="it-IT" w:eastAsia="en-GB"/>
          <w14:ligatures w14:val="none"/>
        </w:rPr>
        <w:t xml:space="preserve">Oggi la Grecia </w:t>
      </w:r>
      <w:r w:rsidR="00920D36" w:rsidRPr="00920D36">
        <w:rPr>
          <w:rFonts w:asciiTheme="minorHAnsi" w:eastAsia="Times New Roman" w:hAnsiTheme="minorHAnsi" w:cstheme="minorHAnsi"/>
          <w:b/>
          <w:bCs/>
          <w:color w:val="auto"/>
          <w:kern w:val="0"/>
          <w:sz w:val="22"/>
          <w:szCs w:val="22"/>
          <w:lang w:val="it-IT" w:eastAsia="en-GB"/>
          <w14:ligatures w14:val="none"/>
        </w:rPr>
        <w:t>rappresenta</w:t>
      </w:r>
      <w:r w:rsidRPr="009A78A6">
        <w:rPr>
          <w:rFonts w:asciiTheme="minorHAnsi" w:eastAsia="Times New Roman" w:hAnsiTheme="minorHAnsi" w:cstheme="minorHAnsi"/>
          <w:b/>
          <w:bCs/>
          <w:color w:val="auto"/>
          <w:kern w:val="0"/>
          <w:sz w:val="22"/>
          <w:szCs w:val="22"/>
          <w:lang w:val="it-IT" w:eastAsia="en-GB"/>
          <w14:ligatures w14:val="none"/>
        </w:rPr>
        <w:t xml:space="preserve"> una storia di ripresa economica</w:t>
      </w:r>
      <w:r w:rsidRPr="00920D36">
        <w:rPr>
          <w:rFonts w:asciiTheme="minorHAnsi" w:eastAsia="Times New Roman" w:hAnsiTheme="minorHAnsi" w:cstheme="minorHAnsi"/>
          <w:color w:val="auto"/>
          <w:kern w:val="0"/>
          <w:sz w:val="22"/>
          <w:szCs w:val="22"/>
          <w:lang w:val="it-IT" w:eastAsia="en-GB"/>
          <w14:ligatures w14:val="none"/>
        </w:rPr>
        <w:t xml:space="preserve"> sostenuta da riforme strutturali a lungo termine, mentre </w:t>
      </w:r>
      <w:r w:rsidRPr="009A78A6">
        <w:rPr>
          <w:rFonts w:asciiTheme="minorHAnsi" w:eastAsia="Times New Roman" w:hAnsiTheme="minorHAnsi" w:cstheme="minorHAnsi"/>
          <w:b/>
          <w:bCs/>
          <w:color w:val="auto"/>
          <w:kern w:val="0"/>
          <w:sz w:val="22"/>
          <w:szCs w:val="22"/>
          <w:lang w:val="it-IT" w:eastAsia="en-GB"/>
          <w14:ligatures w14:val="none"/>
        </w:rPr>
        <w:t>la Turchia deve affrontare un urgente aggiustamento economico</w:t>
      </w:r>
      <w:r w:rsidRPr="00920D36">
        <w:rPr>
          <w:rFonts w:asciiTheme="minorHAnsi" w:eastAsia="Times New Roman" w:hAnsiTheme="minorHAnsi" w:cstheme="minorHAnsi"/>
          <w:color w:val="auto"/>
          <w:kern w:val="0"/>
          <w:sz w:val="22"/>
          <w:szCs w:val="22"/>
          <w:lang w:val="it-IT" w:eastAsia="en-GB"/>
          <w14:ligatures w14:val="none"/>
        </w:rPr>
        <w:t xml:space="preserve"> per evitare una crisi</w:t>
      </w:r>
      <w:r w:rsidR="00920D36" w:rsidRPr="00920D36">
        <w:rPr>
          <w:rFonts w:asciiTheme="minorHAnsi" w:eastAsia="Times New Roman" w:hAnsiTheme="minorHAnsi" w:cstheme="minorHAnsi"/>
          <w:color w:val="auto"/>
          <w:kern w:val="0"/>
          <w:sz w:val="22"/>
          <w:szCs w:val="22"/>
          <w:lang w:val="it-IT" w:eastAsia="en-GB"/>
          <w14:ligatures w14:val="none"/>
        </w:rPr>
        <w:t xml:space="preserve"> ancora</w:t>
      </w:r>
      <w:r w:rsidRPr="00920D36">
        <w:rPr>
          <w:rFonts w:asciiTheme="minorHAnsi" w:eastAsia="Times New Roman" w:hAnsiTheme="minorHAnsi" w:cstheme="minorHAnsi"/>
          <w:color w:val="auto"/>
          <w:kern w:val="0"/>
          <w:sz w:val="22"/>
          <w:szCs w:val="22"/>
          <w:lang w:val="it-IT" w:eastAsia="en-GB"/>
          <w14:ligatures w14:val="none"/>
        </w:rPr>
        <w:t xml:space="preserve"> più profonda.</w:t>
      </w:r>
    </w:p>
    <w:p w14:paraId="3EF7068B" w14:textId="78EA4C21" w:rsidR="008759AE" w:rsidRPr="00920D36" w:rsidRDefault="00517B69" w:rsidP="009A78A6">
      <w:pPr>
        <w:pStyle w:val="typographyparagraph-sc-numijp-1"/>
        <w:spacing w:before="0" w:beforeAutospacing="0" w:after="120" w:afterAutospacing="0" w:line="264" w:lineRule="auto"/>
        <w:rPr>
          <w:rFonts w:asciiTheme="minorHAnsi" w:hAnsiTheme="minorHAnsi" w:cstheme="minorHAnsi"/>
          <w:sz w:val="22"/>
          <w:szCs w:val="22"/>
          <w:lang w:val="it-IT"/>
        </w:rPr>
      </w:pPr>
      <w:r>
        <w:rPr>
          <w:rStyle w:val="Enfasicorsivo"/>
          <w:rFonts w:asciiTheme="minorHAnsi" w:hAnsiTheme="minorHAnsi" w:cstheme="minorHAnsi"/>
          <w:i w:val="0"/>
          <w:iCs w:val="0"/>
          <w:sz w:val="22"/>
          <w:szCs w:val="22"/>
          <w:u w:val="single"/>
          <w:lang w:val="it-IT"/>
        </w:rPr>
        <w:t>A che punto si trova la</w:t>
      </w:r>
      <w:r w:rsidR="00AD36FE" w:rsidRPr="00920D36">
        <w:rPr>
          <w:rStyle w:val="Enfasicorsivo"/>
          <w:rFonts w:asciiTheme="minorHAnsi" w:hAnsiTheme="minorHAnsi" w:cstheme="minorHAnsi"/>
          <w:i w:val="0"/>
          <w:iCs w:val="0"/>
          <w:sz w:val="22"/>
          <w:szCs w:val="22"/>
          <w:u w:val="single"/>
          <w:lang w:val="it-IT"/>
        </w:rPr>
        <w:t xml:space="preserve"> </w:t>
      </w:r>
      <w:r w:rsidR="008759AE" w:rsidRPr="00920D36">
        <w:rPr>
          <w:rStyle w:val="Enfasicorsivo"/>
          <w:rFonts w:asciiTheme="minorHAnsi" w:hAnsiTheme="minorHAnsi" w:cstheme="minorHAnsi"/>
          <w:i w:val="0"/>
          <w:iCs w:val="0"/>
          <w:sz w:val="22"/>
          <w:szCs w:val="22"/>
          <w:u w:val="single"/>
          <w:lang w:val="it-IT"/>
        </w:rPr>
        <w:t>Grecia</w:t>
      </w:r>
    </w:p>
    <w:p w14:paraId="5C016C19" w14:textId="4F7782F3" w:rsidR="00297912" w:rsidRPr="00920D36" w:rsidRDefault="00297912" w:rsidP="009A78A6">
      <w:pPr>
        <w:pStyle w:val="typographyparagraph-sc-numijp-1"/>
        <w:spacing w:before="0" w:beforeAutospacing="0" w:after="120" w:afterAutospacing="0" w:line="264" w:lineRule="auto"/>
        <w:rPr>
          <w:rFonts w:asciiTheme="minorHAnsi" w:hAnsiTheme="minorHAnsi" w:cstheme="minorHAnsi"/>
          <w:sz w:val="22"/>
          <w:szCs w:val="22"/>
          <w:lang w:val="it-IT"/>
        </w:rPr>
      </w:pPr>
      <w:r w:rsidRPr="00920D36">
        <w:rPr>
          <w:rFonts w:asciiTheme="minorHAnsi" w:hAnsiTheme="minorHAnsi" w:cstheme="minorHAnsi"/>
          <w:sz w:val="22"/>
          <w:szCs w:val="22"/>
          <w:lang w:val="it-IT"/>
        </w:rPr>
        <w:t xml:space="preserve">Le condizioni macroeconomiche in Grecia </w:t>
      </w:r>
      <w:r w:rsidR="00517B69">
        <w:rPr>
          <w:rFonts w:asciiTheme="minorHAnsi" w:hAnsiTheme="minorHAnsi" w:cstheme="minorHAnsi"/>
          <w:sz w:val="22"/>
          <w:szCs w:val="22"/>
          <w:lang w:val="it-IT"/>
        </w:rPr>
        <w:t xml:space="preserve">ora </w:t>
      </w:r>
      <w:r w:rsidRPr="00920D36">
        <w:rPr>
          <w:rFonts w:asciiTheme="minorHAnsi" w:hAnsiTheme="minorHAnsi" w:cstheme="minorHAnsi"/>
          <w:sz w:val="22"/>
          <w:szCs w:val="22"/>
          <w:lang w:val="it-IT"/>
        </w:rPr>
        <w:t xml:space="preserve">sono molto più stabili, e il calo dei prezzi dell’energia negli ultimi nove mesi è stato di supporto. Nel frattempo, i finanziamenti dell’Unione Europea, nell’ambito del Piano di ripresa e resilienza, forniranno </w:t>
      </w:r>
      <w:r w:rsidRPr="009A78A6">
        <w:rPr>
          <w:rFonts w:asciiTheme="minorHAnsi" w:hAnsiTheme="minorHAnsi" w:cstheme="minorHAnsi"/>
          <w:b/>
          <w:bCs/>
          <w:sz w:val="22"/>
          <w:szCs w:val="22"/>
          <w:lang w:val="it-IT"/>
        </w:rPr>
        <w:t>30,5 miliardi di euro tra il 2022 e il 2026, suddivisi in 17,77 miliardi di euro di sovvenzioni e 12,73 miliardi di euro di prestiti.</w:t>
      </w:r>
    </w:p>
    <w:p w14:paraId="3D9CDF69" w14:textId="32D33AA2" w:rsidR="00297912" w:rsidRPr="00920D36" w:rsidRDefault="00297912" w:rsidP="009A78A6">
      <w:pPr>
        <w:pStyle w:val="typographyparagraph-sc-numijp-1"/>
        <w:spacing w:before="0" w:beforeAutospacing="0" w:after="120" w:afterAutospacing="0" w:line="264" w:lineRule="auto"/>
        <w:rPr>
          <w:rFonts w:asciiTheme="minorHAnsi" w:hAnsiTheme="minorHAnsi" w:cstheme="minorHAnsi"/>
          <w:sz w:val="22"/>
          <w:szCs w:val="22"/>
          <w:lang w:val="it-IT"/>
        </w:rPr>
      </w:pPr>
      <w:r w:rsidRPr="009A78A6">
        <w:rPr>
          <w:rFonts w:asciiTheme="minorHAnsi" w:hAnsiTheme="minorHAnsi" w:cstheme="minorHAnsi"/>
          <w:b/>
          <w:bCs/>
          <w:sz w:val="22"/>
          <w:szCs w:val="22"/>
          <w:lang w:val="it-IT"/>
        </w:rPr>
        <w:t>Questi investimenti e le relative riforme si concentrano sulla realizzazione di una crescita più sostenibile a lungo termine</w:t>
      </w:r>
      <w:r w:rsidRPr="00920D36">
        <w:rPr>
          <w:rFonts w:asciiTheme="minorHAnsi" w:hAnsiTheme="minorHAnsi" w:cstheme="minorHAnsi"/>
          <w:sz w:val="22"/>
          <w:szCs w:val="22"/>
          <w:lang w:val="it-IT"/>
        </w:rPr>
        <w:t>, con un’enfasi significativa sull</w:t>
      </w:r>
      <w:r w:rsidR="00645A7C" w:rsidRPr="00920D36">
        <w:rPr>
          <w:rFonts w:asciiTheme="minorHAnsi" w:hAnsiTheme="minorHAnsi" w:cstheme="minorHAnsi"/>
          <w:sz w:val="22"/>
          <w:szCs w:val="22"/>
          <w:lang w:val="it-IT"/>
        </w:rPr>
        <w:t>a</w:t>
      </w:r>
      <w:r w:rsidRPr="00920D36">
        <w:rPr>
          <w:rFonts w:asciiTheme="minorHAnsi" w:hAnsiTheme="minorHAnsi" w:cstheme="minorHAnsi"/>
          <w:sz w:val="22"/>
          <w:szCs w:val="22"/>
          <w:lang w:val="it-IT"/>
        </w:rPr>
        <w:t xml:space="preserve"> transizion</w:t>
      </w:r>
      <w:r w:rsidR="00645A7C" w:rsidRPr="00920D36">
        <w:rPr>
          <w:rFonts w:asciiTheme="minorHAnsi" w:hAnsiTheme="minorHAnsi" w:cstheme="minorHAnsi"/>
          <w:sz w:val="22"/>
          <w:szCs w:val="22"/>
          <w:lang w:val="it-IT"/>
        </w:rPr>
        <w:t>e</w:t>
      </w:r>
      <w:r w:rsidRPr="00920D36">
        <w:rPr>
          <w:rFonts w:asciiTheme="minorHAnsi" w:hAnsiTheme="minorHAnsi" w:cstheme="minorHAnsi"/>
          <w:sz w:val="22"/>
          <w:szCs w:val="22"/>
          <w:lang w:val="it-IT"/>
        </w:rPr>
        <w:t xml:space="preserve"> verd</w:t>
      </w:r>
      <w:r w:rsidR="00645A7C" w:rsidRPr="00920D36">
        <w:rPr>
          <w:rFonts w:asciiTheme="minorHAnsi" w:hAnsiTheme="minorHAnsi" w:cstheme="minorHAnsi"/>
          <w:sz w:val="22"/>
          <w:szCs w:val="22"/>
          <w:lang w:val="it-IT"/>
        </w:rPr>
        <w:t>e</w:t>
      </w:r>
      <w:r w:rsidRPr="00920D36">
        <w:rPr>
          <w:rFonts w:asciiTheme="minorHAnsi" w:hAnsiTheme="minorHAnsi" w:cstheme="minorHAnsi"/>
          <w:sz w:val="22"/>
          <w:szCs w:val="22"/>
          <w:lang w:val="it-IT"/>
        </w:rPr>
        <w:t xml:space="preserve"> e digital</w:t>
      </w:r>
      <w:r w:rsidR="00645A7C" w:rsidRPr="00920D36">
        <w:rPr>
          <w:rFonts w:asciiTheme="minorHAnsi" w:hAnsiTheme="minorHAnsi" w:cstheme="minorHAnsi"/>
          <w:sz w:val="22"/>
          <w:szCs w:val="22"/>
          <w:lang w:val="it-IT"/>
        </w:rPr>
        <w:t>e</w:t>
      </w:r>
      <w:r w:rsidRPr="00920D36">
        <w:rPr>
          <w:rFonts w:asciiTheme="minorHAnsi" w:hAnsiTheme="minorHAnsi" w:cstheme="minorHAnsi"/>
          <w:sz w:val="22"/>
          <w:szCs w:val="22"/>
          <w:lang w:val="it-IT"/>
        </w:rPr>
        <w:t xml:space="preserve">. Infatti, il 37,5% del piano è dedicato al raggiungimento degli obiettivi climatici, mentre un ulteriore 23,3% è incentrato sulla transizione digitale. </w:t>
      </w:r>
      <w:r w:rsidRPr="009A78A6">
        <w:rPr>
          <w:rFonts w:asciiTheme="minorHAnsi" w:hAnsiTheme="minorHAnsi" w:cstheme="minorHAnsi"/>
          <w:b/>
          <w:bCs/>
          <w:sz w:val="22"/>
          <w:szCs w:val="22"/>
          <w:lang w:val="it-IT"/>
        </w:rPr>
        <w:t>La Grecia punta al Net Zero entro il 2050</w:t>
      </w:r>
      <w:r w:rsidRPr="00920D36">
        <w:rPr>
          <w:rFonts w:asciiTheme="minorHAnsi" w:hAnsiTheme="minorHAnsi" w:cstheme="minorHAnsi"/>
          <w:sz w:val="22"/>
          <w:szCs w:val="22"/>
          <w:lang w:val="it-IT"/>
        </w:rPr>
        <w:t>. La bozza del Piano nazionale per l’energia e il clima, pubblicata all’inizio di quest’anno e attualmente in fase di consultazione, prevede un aumento significativo della produzione di elettricità da fonti rinnovabili.</w:t>
      </w:r>
    </w:p>
    <w:p w14:paraId="4633A14D" w14:textId="3851B465" w:rsidR="00297912" w:rsidRPr="00920D36" w:rsidRDefault="00297912" w:rsidP="009A78A6">
      <w:pPr>
        <w:pStyle w:val="typographyparagraph-sc-numijp-1"/>
        <w:spacing w:before="0" w:beforeAutospacing="0" w:after="120" w:afterAutospacing="0" w:line="264" w:lineRule="auto"/>
        <w:rPr>
          <w:rFonts w:asciiTheme="minorHAnsi" w:hAnsiTheme="minorHAnsi" w:cstheme="minorHAnsi"/>
          <w:sz w:val="22"/>
          <w:szCs w:val="22"/>
          <w:lang w:val="it-IT"/>
        </w:rPr>
      </w:pPr>
      <w:r w:rsidRPr="009A78A6">
        <w:rPr>
          <w:rFonts w:asciiTheme="minorHAnsi" w:hAnsiTheme="minorHAnsi" w:cstheme="minorHAnsi"/>
          <w:b/>
          <w:bCs/>
          <w:sz w:val="22"/>
          <w:szCs w:val="22"/>
          <w:lang w:val="it-IT"/>
        </w:rPr>
        <w:t>Il turismo rimane un importante motore di crescita e si stima che contribuisca direttamente al 20% del P</w:t>
      </w:r>
      <w:r w:rsidR="00702049" w:rsidRPr="009A78A6">
        <w:rPr>
          <w:rFonts w:asciiTheme="minorHAnsi" w:hAnsiTheme="minorHAnsi" w:cstheme="minorHAnsi"/>
          <w:b/>
          <w:bCs/>
          <w:sz w:val="22"/>
          <w:szCs w:val="22"/>
          <w:lang w:val="it-IT"/>
        </w:rPr>
        <w:t>il</w:t>
      </w:r>
      <w:r w:rsidRPr="009A78A6">
        <w:rPr>
          <w:rFonts w:asciiTheme="minorHAnsi" w:hAnsiTheme="minorHAnsi" w:cstheme="minorHAnsi"/>
          <w:b/>
          <w:bCs/>
          <w:sz w:val="22"/>
          <w:szCs w:val="22"/>
          <w:lang w:val="it-IT"/>
        </w:rPr>
        <w:t xml:space="preserve">. </w:t>
      </w:r>
      <w:r w:rsidRPr="00920D36">
        <w:rPr>
          <w:rFonts w:asciiTheme="minorHAnsi" w:hAnsiTheme="minorHAnsi" w:cstheme="minorHAnsi"/>
          <w:sz w:val="22"/>
          <w:szCs w:val="22"/>
          <w:lang w:val="it-IT"/>
        </w:rPr>
        <w:t xml:space="preserve">Circa il 25% della forza lavoro è impiegata nel turismo. Si tratta di un settore ciclico, ma le prospettive per quest’anno continuano a essere incoraggianti e il Paese sta conquistando quote di mercato da altri Paesi europei. </w:t>
      </w:r>
      <w:r w:rsidRPr="009A78A6">
        <w:rPr>
          <w:rFonts w:asciiTheme="minorHAnsi" w:hAnsiTheme="minorHAnsi" w:cstheme="minorHAnsi"/>
          <w:b/>
          <w:bCs/>
          <w:sz w:val="22"/>
          <w:szCs w:val="22"/>
          <w:lang w:val="it-IT"/>
        </w:rPr>
        <w:t>Per quest’anno si prevede una crescita del P</w:t>
      </w:r>
      <w:r w:rsidR="00645A7C" w:rsidRPr="009A78A6">
        <w:rPr>
          <w:rFonts w:asciiTheme="minorHAnsi" w:hAnsiTheme="minorHAnsi" w:cstheme="minorHAnsi"/>
          <w:b/>
          <w:bCs/>
          <w:sz w:val="22"/>
          <w:szCs w:val="22"/>
          <w:lang w:val="it-IT"/>
        </w:rPr>
        <w:t>il</w:t>
      </w:r>
      <w:r w:rsidRPr="009A78A6">
        <w:rPr>
          <w:rFonts w:asciiTheme="minorHAnsi" w:hAnsiTheme="minorHAnsi" w:cstheme="minorHAnsi"/>
          <w:b/>
          <w:bCs/>
          <w:sz w:val="22"/>
          <w:szCs w:val="22"/>
          <w:lang w:val="it-IT"/>
        </w:rPr>
        <w:t xml:space="preserve"> nominale di circa il 2,6%.</w:t>
      </w:r>
    </w:p>
    <w:p w14:paraId="45BFDEDD" w14:textId="318247BB" w:rsidR="00297912" w:rsidRPr="00920D36" w:rsidRDefault="00297912" w:rsidP="009A78A6">
      <w:pPr>
        <w:pStyle w:val="typographyparagraph-sc-numijp-1"/>
        <w:spacing w:before="0" w:beforeAutospacing="0" w:after="120" w:afterAutospacing="0" w:line="264" w:lineRule="auto"/>
        <w:rPr>
          <w:rFonts w:asciiTheme="minorHAnsi" w:hAnsiTheme="minorHAnsi" w:cstheme="minorHAnsi"/>
          <w:sz w:val="22"/>
          <w:szCs w:val="22"/>
          <w:lang w:val="it-IT"/>
        </w:rPr>
      </w:pPr>
      <w:r w:rsidRPr="00920D36">
        <w:rPr>
          <w:rFonts w:asciiTheme="minorHAnsi" w:hAnsiTheme="minorHAnsi" w:cstheme="minorHAnsi"/>
          <w:sz w:val="22"/>
          <w:szCs w:val="22"/>
          <w:lang w:val="it-IT"/>
        </w:rPr>
        <w:t>L’anno scorso, la Grecia è uscita dalla sorveglianza fiscale dell’U</w:t>
      </w:r>
      <w:r w:rsidR="00751705" w:rsidRPr="00920D36">
        <w:rPr>
          <w:rFonts w:asciiTheme="minorHAnsi" w:hAnsiTheme="minorHAnsi" w:cstheme="minorHAnsi"/>
          <w:sz w:val="22"/>
          <w:szCs w:val="22"/>
          <w:lang w:val="it-IT"/>
        </w:rPr>
        <w:t>e</w:t>
      </w:r>
      <w:r w:rsidRPr="00920D36">
        <w:rPr>
          <w:rFonts w:asciiTheme="minorHAnsi" w:hAnsiTheme="minorHAnsi" w:cstheme="minorHAnsi"/>
          <w:sz w:val="22"/>
          <w:szCs w:val="22"/>
          <w:lang w:val="it-IT"/>
        </w:rPr>
        <w:t>, in vigore da 12 anni nell’ambito degli accordi di salvataggio. La mossa ha fornito al governo una maggiore flessibilità nella spesa di bilancio. L’obiettivo dell’avanzo primario (al lordo dei costi di interesse) è stato abbandonato e la politica fiscale può essere allentata.</w:t>
      </w:r>
    </w:p>
    <w:p w14:paraId="1F14EF72" w14:textId="6972103F" w:rsidR="00ED63B3" w:rsidRPr="00920D36" w:rsidRDefault="00297912" w:rsidP="009A78A6">
      <w:pPr>
        <w:pStyle w:val="typographyparagraph-sc-numijp-1"/>
        <w:spacing w:before="0" w:beforeAutospacing="0" w:after="120" w:afterAutospacing="0" w:line="264" w:lineRule="auto"/>
        <w:rPr>
          <w:rFonts w:asciiTheme="minorHAnsi" w:hAnsiTheme="minorHAnsi" w:cstheme="minorHAnsi"/>
          <w:sz w:val="22"/>
          <w:szCs w:val="22"/>
          <w:lang w:val="it-IT"/>
        </w:rPr>
      </w:pPr>
      <w:r w:rsidRPr="009A78A6">
        <w:rPr>
          <w:rFonts w:asciiTheme="minorHAnsi" w:hAnsiTheme="minorHAnsi" w:cstheme="minorHAnsi"/>
          <w:b/>
          <w:bCs/>
          <w:sz w:val="22"/>
          <w:szCs w:val="22"/>
          <w:lang w:val="it-IT"/>
        </w:rPr>
        <w:t>Il rapporto debito/P</w:t>
      </w:r>
      <w:r w:rsidR="00702049" w:rsidRPr="009A78A6">
        <w:rPr>
          <w:rFonts w:asciiTheme="minorHAnsi" w:hAnsiTheme="minorHAnsi" w:cstheme="minorHAnsi"/>
          <w:b/>
          <w:bCs/>
          <w:sz w:val="22"/>
          <w:szCs w:val="22"/>
          <w:lang w:val="it-IT"/>
        </w:rPr>
        <w:t>il</w:t>
      </w:r>
      <w:r w:rsidRPr="009A78A6">
        <w:rPr>
          <w:rFonts w:asciiTheme="minorHAnsi" w:hAnsiTheme="minorHAnsi" w:cstheme="minorHAnsi"/>
          <w:b/>
          <w:bCs/>
          <w:sz w:val="22"/>
          <w:szCs w:val="22"/>
          <w:lang w:val="it-IT"/>
        </w:rPr>
        <w:t xml:space="preserve"> rimane elevato</w:t>
      </w:r>
      <w:r w:rsidRPr="00920D36">
        <w:rPr>
          <w:rFonts w:asciiTheme="minorHAnsi" w:hAnsiTheme="minorHAnsi" w:cstheme="minorHAnsi"/>
          <w:sz w:val="22"/>
          <w:szCs w:val="22"/>
          <w:lang w:val="it-IT"/>
        </w:rPr>
        <w:t>, avendo raggiunto il 206% del P</w:t>
      </w:r>
      <w:r w:rsidR="00702049" w:rsidRPr="00920D36">
        <w:rPr>
          <w:rFonts w:asciiTheme="minorHAnsi" w:hAnsiTheme="minorHAnsi" w:cstheme="minorHAnsi"/>
          <w:sz w:val="22"/>
          <w:szCs w:val="22"/>
          <w:lang w:val="it-IT"/>
        </w:rPr>
        <w:t>il</w:t>
      </w:r>
      <w:r w:rsidRPr="00920D36">
        <w:rPr>
          <w:rFonts w:asciiTheme="minorHAnsi" w:hAnsiTheme="minorHAnsi" w:cstheme="minorHAnsi"/>
          <w:sz w:val="22"/>
          <w:szCs w:val="22"/>
          <w:lang w:val="it-IT"/>
        </w:rPr>
        <w:t xml:space="preserve"> </w:t>
      </w:r>
      <w:r w:rsidRPr="009A78A6">
        <w:rPr>
          <w:rFonts w:asciiTheme="minorHAnsi" w:hAnsiTheme="minorHAnsi" w:cstheme="minorHAnsi"/>
          <w:sz w:val="22"/>
          <w:szCs w:val="22"/>
          <w:lang w:val="it-IT"/>
        </w:rPr>
        <w:t xml:space="preserve">durante la pandemia, </w:t>
      </w:r>
      <w:r w:rsidR="00AC7FE3" w:rsidRPr="009A78A6">
        <w:rPr>
          <w:rFonts w:asciiTheme="minorHAnsi" w:hAnsiTheme="minorHAnsi" w:cstheme="minorHAnsi"/>
          <w:sz w:val="22"/>
          <w:szCs w:val="22"/>
          <w:lang w:val="it-IT"/>
        </w:rPr>
        <w:t xml:space="preserve">anche se </w:t>
      </w:r>
      <w:r w:rsidR="00F31744" w:rsidRPr="009A78A6">
        <w:rPr>
          <w:rFonts w:asciiTheme="minorHAnsi" w:hAnsiTheme="minorHAnsi" w:cstheme="minorHAnsi"/>
          <w:sz w:val="22"/>
          <w:szCs w:val="22"/>
          <w:lang w:val="it-IT"/>
        </w:rPr>
        <w:t>ora</w:t>
      </w:r>
      <w:r w:rsidRPr="009A78A6">
        <w:rPr>
          <w:rFonts w:asciiTheme="minorHAnsi" w:hAnsiTheme="minorHAnsi" w:cstheme="minorHAnsi"/>
          <w:sz w:val="22"/>
          <w:szCs w:val="22"/>
          <w:lang w:val="it-IT"/>
        </w:rPr>
        <w:t xml:space="preserve"> sceso a circa il 170%. Per quanto riguarda </w:t>
      </w:r>
      <w:r w:rsidR="00F31744" w:rsidRPr="009A78A6">
        <w:rPr>
          <w:rFonts w:asciiTheme="minorHAnsi" w:hAnsiTheme="minorHAnsi" w:cstheme="minorHAnsi"/>
          <w:sz w:val="22"/>
          <w:szCs w:val="22"/>
          <w:lang w:val="it-IT"/>
        </w:rPr>
        <w:t xml:space="preserve">il piano </w:t>
      </w:r>
      <w:r w:rsidRPr="009A78A6">
        <w:rPr>
          <w:rFonts w:asciiTheme="minorHAnsi" w:hAnsiTheme="minorHAnsi" w:cstheme="minorHAnsi"/>
          <w:sz w:val="22"/>
          <w:szCs w:val="22"/>
          <w:lang w:val="it-IT"/>
        </w:rPr>
        <w:t>politic</w:t>
      </w:r>
      <w:r w:rsidR="00F31744" w:rsidRPr="009A78A6">
        <w:rPr>
          <w:rFonts w:asciiTheme="minorHAnsi" w:hAnsiTheme="minorHAnsi" w:cstheme="minorHAnsi"/>
          <w:sz w:val="22"/>
          <w:szCs w:val="22"/>
          <w:lang w:val="it-IT"/>
        </w:rPr>
        <w:t>o</w:t>
      </w:r>
      <w:r w:rsidRPr="009A78A6">
        <w:rPr>
          <w:rFonts w:asciiTheme="minorHAnsi" w:hAnsiTheme="minorHAnsi" w:cstheme="minorHAnsi"/>
          <w:sz w:val="22"/>
          <w:szCs w:val="22"/>
          <w:lang w:val="it-IT"/>
        </w:rPr>
        <w:t xml:space="preserve">, è molto probabile che </w:t>
      </w:r>
      <w:r w:rsidR="00F31744" w:rsidRPr="009A78A6">
        <w:rPr>
          <w:rFonts w:asciiTheme="minorHAnsi" w:hAnsiTheme="minorHAnsi" w:cstheme="minorHAnsi"/>
          <w:sz w:val="22"/>
          <w:szCs w:val="22"/>
          <w:lang w:val="it-IT"/>
        </w:rPr>
        <w:t xml:space="preserve">la vittoria </w:t>
      </w:r>
      <w:r w:rsidR="00835BD6" w:rsidRPr="009A78A6">
        <w:rPr>
          <w:rFonts w:asciiTheme="minorHAnsi" w:hAnsiTheme="minorHAnsi" w:cstheme="minorHAnsi"/>
          <w:sz w:val="22"/>
          <w:szCs w:val="22"/>
          <w:lang w:val="it-IT"/>
        </w:rPr>
        <w:t>al secondo turno</w:t>
      </w:r>
      <w:r w:rsidR="00F31744" w:rsidRPr="009A78A6">
        <w:rPr>
          <w:rFonts w:asciiTheme="minorHAnsi" w:hAnsiTheme="minorHAnsi" w:cstheme="minorHAnsi"/>
          <w:sz w:val="22"/>
          <w:szCs w:val="22"/>
          <w:lang w:val="it-IT"/>
        </w:rPr>
        <w:t xml:space="preserve"> del 25 giugno di </w:t>
      </w:r>
      <w:r w:rsidRPr="009A78A6">
        <w:rPr>
          <w:rFonts w:asciiTheme="minorHAnsi" w:hAnsiTheme="minorHAnsi" w:cstheme="minorHAnsi"/>
          <w:sz w:val="22"/>
          <w:szCs w:val="22"/>
          <w:lang w:val="it-IT"/>
        </w:rPr>
        <w:t xml:space="preserve">Nuova Democrazia </w:t>
      </w:r>
      <w:r w:rsidR="00F31744" w:rsidRPr="009A78A6">
        <w:rPr>
          <w:rFonts w:asciiTheme="minorHAnsi" w:hAnsiTheme="minorHAnsi" w:cstheme="minorHAnsi"/>
          <w:sz w:val="22"/>
          <w:szCs w:val="22"/>
          <w:lang w:val="it-IT"/>
        </w:rPr>
        <w:t>favorir</w:t>
      </w:r>
      <w:r w:rsidR="00835BD6" w:rsidRPr="009A78A6">
        <w:rPr>
          <w:rFonts w:asciiTheme="minorHAnsi" w:hAnsiTheme="minorHAnsi" w:cstheme="minorHAnsi"/>
          <w:sz w:val="22"/>
          <w:szCs w:val="22"/>
          <w:lang w:val="it-IT"/>
        </w:rPr>
        <w:t>à</w:t>
      </w:r>
      <w:r w:rsidRPr="009A78A6">
        <w:rPr>
          <w:rFonts w:asciiTheme="minorHAnsi" w:hAnsiTheme="minorHAnsi" w:cstheme="minorHAnsi"/>
          <w:sz w:val="22"/>
          <w:szCs w:val="22"/>
          <w:lang w:val="it-IT"/>
        </w:rPr>
        <w:t xml:space="preserve"> il proseguimento del</w:t>
      </w:r>
      <w:r w:rsidRPr="00920D36">
        <w:rPr>
          <w:rFonts w:asciiTheme="minorHAnsi" w:hAnsiTheme="minorHAnsi" w:cstheme="minorHAnsi"/>
          <w:sz w:val="22"/>
          <w:szCs w:val="22"/>
          <w:lang w:val="it-IT"/>
        </w:rPr>
        <w:t xml:space="preserve"> programma di riforme. La garanzia sulle prospettive politiche </w:t>
      </w:r>
      <w:r w:rsidR="00645A7C" w:rsidRPr="00920D36">
        <w:rPr>
          <w:rFonts w:asciiTheme="minorHAnsi" w:hAnsiTheme="minorHAnsi" w:cstheme="minorHAnsi"/>
          <w:sz w:val="22"/>
          <w:szCs w:val="22"/>
          <w:lang w:val="it-IT"/>
        </w:rPr>
        <w:t xml:space="preserve">potrebbe </w:t>
      </w:r>
      <w:r w:rsidR="00835BD6">
        <w:rPr>
          <w:rFonts w:asciiTheme="minorHAnsi" w:hAnsiTheme="minorHAnsi" w:cstheme="minorHAnsi"/>
          <w:sz w:val="22"/>
          <w:szCs w:val="22"/>
          <w:lang w:val="it-IT"/>
        </w:rPr>
        <w:t>portare</w:t>
      </w:r>
      <w:r w:rsidRPr="00920D36">
        <w:rPr>
          <w:rFonts w:asciiTheme="minorHAnsi" w:hAnsiTheme="minorHAnsi" w:cstheme="minorHAnsi"/>
          <w:sz w:val="22"/>
          <w:szCs w:val="22"/>
          <w:lang w:val="it-IT"/>
        </w:rPr>
        <w:t xml:space="preserve"> la Grecia </w:t>
      </w:r>
      <w:r w:rsidR="00835BD6">
        <w:rPr>
          <w:rFonts w:asciiTheme="minorHAnsi" w:hAnsiTheme="minorHAnsi" w:cstheme="minorHAnsi"/>
          <w:sz w:val="22"/>
          <w:szCs w:val="22"/>
          <w:lang w:val="it-IT"/>
        </w:rPr>
        <w:t xml:space="preserve">a </w:t>
      </w:r>
      <w:r w:rsidRPr="00920D36">
        <w:rPr>
          <w:rFonts w:asciiTheme="minorHAnsi" w:hAnsiTheme="minorHAnsi" w:cstheme="minorHAnsi"/>
          <w:sz w:val="22"/>
          <w:szCs w:val="22"/>
          <w:lang w:val="it-IT"/>
        </w:rPr>
        <w:t>recuper</w:t>
      </w:r>
      <w:r w:rsidR="00835BD6">
        <w:rPr>
          <w:rFonts w:asciiTheme="minorHAnsi" w:hAnsiTheme="minorHAnsi" w:cstheme="minorHAnsi"/>
          <w:sz w:val="22"/>
          <w:szCs w:val="22"/>
          <w:lang w:val="it-IT"/>
        </w:rPr>
        <w:t>e</w:t>
      </w:r>
      <w:r w:rsidRPr="00920D36">
        <w:rPr>
          <w:rFonts w:asciiTheme="minorHAnsi" w:hAnsiTheme="minorHAnsi" w:cstheme="minorHAnsi"/>
          <w:sz w:val="22"/>
          <w:szCs w:val="22"/>
          <w:lang w:val="it-IT"/>
        </w:rPr>
        <w:t xml:space="preserve"> il rating d</w:t>
      </w:r>
      <w:r w:rsidR="00645A7C" w:rsidRPr="00920D36">
        <w:rPr>
          <w:rFonts w:asciiTheme="minorHAnsi" w:hAnsiTheme="minorHAnsi" w:cstheme="minorHAnsi"/>
          <w:sz w:val="22"/>
          <w:szCs w:val="22"/>
          <w:lang w:val="it-IT"/>
        </w:rPr>
        <w:t>i</w:t>
      </w:r>
      <w:r w:rsidRPr="00920D36">
        <w:rPr>
          <w:rFonts w:asciiTheme="minorHAnsi" w:hAnsiTheme="minorHAnsi" w:cstheme="minorHAnsi"/>
          <w:sz w:val="22"/>
          <w:szCs w:val="22"/>
          <w:lang w:val="it-IT"/>
        </w:rPr>
        <w:t xml:space="preserve"> debito investment grade. Questo risultato riporterebbe </w:t>
      </w:r>
      <w:r w:rsidR="00835BD6">
        <w:rPr>
          <w:rFonts w:asciiTheme="minorHAnsi" w:hAnsiTheme="minorHAnsi" w:cstheme="minorHAnsi"/>
          <w:sz w:val="22"/>
          <w:szCs w:val="22"/>
          <w:lang w:val="it-IT"/>
        </w:rPr>
        <w:t>il Paese</w:t>
      </w:r>
      <w:r w:rsidRPr="00920D36">
        <w:rPr>
          <w:rFonts w:asciiTheme="minorHAnsi" w:hAnsiTheme="minorHAnsi" w:cstheme="minorHAnsi"/>
          <w:sz w:val="22"/>
          <w:szCs w:val="22"/>
          <w:lang w:val="it-IT"/>
        </w:rPr>
        <w:t xml:space="preserve"> nel mirino dei grandi investitori istituzionali </w:t>
      </w:r>
      <w:r w:rsidR="00645A7C" w:rsidRPr="00920D36">
        <w:rPr>
          <w:rFonts w:asciiTheme="minorHAnsi" w:hAnsiTheme="minorHAnsi" w:cstheme="minorHAnsi"/>
          <w:sz w:val="22"/>
          <w:szCs w:val="22"/>
          <w:lang w:val="it-IT"/>
        </w:rPr>
        <w:t xml:space="preserve">che investono </w:t>
      </w:r>
      <w:r w:rsidRPr="00920D36">
        <w:rPr>
          <w:rFonts w:asciiTheme="minorHAnsi" w:hAnsiTheme="minorHAnsi" w:cstheme="minorHAnsi"/>
          <w:sz w:val="22"/>
          <w:szCs w:val="22"/>
          <w:lang w:val="it-IT"/>
        </w:rPr>
        <w:t>a lungo termine, consentendo finanziamenti più economici e stabili per gli investimenti futuri.</w:t>
      </w:r>
      <w:r w:rsidR="00ED63B3" w:rsidRPr="00920D36">
        <w:rPr>
          <w:rFonts w:asciiTheme="minorHAnsi" w:hAnsiTheme="minorHAnsi" w:cstheme="minorHAnsi"/>
          <w:sz w:val="22"/>
          <w:szCs w:val="22"/>
          <w:lang w:val="it-IT"/>
        </w:rPr>
        <w:t xml:space="preserve"> </w:t>
      </w:r>
    </w:p>
    <w:p w14:paraId="4A8DF297" w14:textId="35EED174" w:rsidR="00ED63B3" w:rsidRPr="00920D36" w:rsidRDefault="00835BD6" w:rsidP="009A78A6">
      <w:pPr>
        <w:pStyle w:val="typographyparagraph-sc-numijp-1"/>
        <w:spacing w:before="0" w:beforeAutospacing="0" w:after="120" w:afterAutospacing="0" w:line="264" w:lineRule="auto"/>
        <w:rPr>
          <w:rStyle w:val="Enfasicorsivo"/>
          <w:rFonts w:asciiTheme="minorHAnsi" w:eastAsiaTheme="majorEastAsia" w:hAnsiTheme="minorHAnsi" w:cstheme="minorHAnsi"/>
          <w:i w:val="0"/>
          <w:iCs w:val="0"/>
          <w:sz w:val="22"/>
          <w:szCs w:val="22"/>
          <w:u w:val="single"/>
          <w:lang w:val="it-IT"/>
        </w:rPr>
      </w:pPr>
      <w:r>
        <w:rPr>
          <w:rStyle w:val="Enfasicorsivo"/>
          <w:rFonts w:asciiTheme="minorHAnsi" w:eastAsiaTheme="majorEastAsia" w:hAnsiTheme="minorHAnsi" w:cstheme="minorHAnsi"/>
          <w:i w:val="0"/>
          <w:iCs w:val="0"/>
          <w:sz w:val="22"/>
          <w:szCs w:val="22"/>
          <w:u w:val="single"/>
          <w:lang w:val="it-IT"/>
        </w:rPr>
        <w:t>Sul fronte opposto, la</w:t>
      </w:r>
      <w:r w:rsidR="00702049" w:rsidRPr="00920D36">
        <w:rPr>
          <w:rStyle w:val="Enfasicorsivo"/>
          <w:rFonts w:asciiTheme="minorHAnsi" w:eastAsiaTheme="majorEastAsia" w:hAnsiTheme="minorHAnsi" w:cstheme="minorHAnsi"/>
          <w:i w:val="0"/>
          <w:iCs w:val="0"/>
          <w:sz w:val="22"/>
          <w:szCs w:val="22"/>
          <w:u w:val="single"/>
          <w:lang w:val="it-IT"/>
        </w:rPr>
        <w:t xml:space="preserve"> </w:t>
      </w:r>
      <w:r w:rsidR="00297912" w:rsidRPr="00920D36">
        <w:rPr>
          <w:rStyle w:val="Enfasicorsivo"/>
          <w:rFonts w:asciiTheme="minorHAnsi" w:eastAsiaTheme="majorEastAsia" w:hAnsiTheme="minorHAnsi" w:cstheme="minorHAnsi"/>
          <w:i w:val="0"/>
          <w:iCs w:val="0"/>
          <w:sz w:val="22"/>
          <w:szCs w:val="22"/>
          <w:u w:val="single"/>
          <w:lang w:val="it-IT"/>
        </w:rPr>
        <w:t>Turchia</w:t>
      </w:r>
      <w:r w:rsidR="00ED63B3" w:rsidRPr="00920D36">
        <w:rPr>
          <w:rStyle w:val="Enfasicorsivo"/>
          <w:rFonts w:asciiTheme="minorHAnsi" w:eastAsiaTheme="majorEastAsia" w:hAnsiTheme="minorHAnsi" w:cstheme="minorHAnsi"/>
          <w:i w:val="0"/>
          <w:iCs w:val="0"/>
          <w:sz w:val="22"/>
          <w:szCs w:val="22"/>
          <w:u w:val="single"/>
          <w:lang w:val="it-IT"/>
        </w:rPr>
        <w:t xml:space="preserve"> </w:t>
      </w:r>
    </w:p>
    <w:p w14:paraId="4B5C5B5F" w14:textId="7F39EA2D" w:rsidR="00ED63B3" w:rsidRPr="00920D36" w:rsidRDefault="00F2121D" w:rsidP="009A78A6">
      <w:pPr>
        <w:pStyle w:val="typographyparagraph-sc-numijp-1"/>
        <w:spacing w:before="0" w:beforeAutospacing="0" w:after="120" w:afterAutospacing="0" w:line="264" w:lineRule="auto"/>
        <w:rPr>
          <w:rFonts w:asciiTheme="minorHAnsi" w:hAnsiTheme="minorHAnsi" w:cstheme="minorHAnsi"/>
          <w:sz w:val="22"/>
          <w:szCs w:val="22"/>
          <w:lang w:val="it-IT"/>
        </w:rPr>
      </w:pPr>
      <w:r w:rsidRPr="009A78A6">
        <w:rPr>
          <w:rFonts w:asciiTheme="minorHAnsi" w:hAnsiTheme="minorHAnsi" w:cstheme="minorHAnsi"/>
          <w:b/>
          <w:bCs/>
          <w:sz w:val="22"/>
          <w:szCs w:val="22"/>
          <w:lang w:val="it-IT"/>
        </w:rPr>
        <w:lastRenderedPageBreak/>
        <w:t>In Turchia, le prospettive di crescita economica a lungo termine sono sostenute da una popolazione giovane e in crescita</w:t>
      </w:r>
      <w:r w:rsidRPr="00920D36">
        <w:rPr>
          <w:rFonts w:asciiTheme="minorHAnsi" w:hAnsiTheme="minorHAnsi" w:cstheme="minorHAnsi"/>
          <w:sz w:val="22"/>
          <w:szCs w:val="22"/>
          <w:lang w:val="it-IT"/>
        </w:rPr>
        <w:t>. La sua vicinanza ai mercati del Medio Oriente e del Nord Africa, che offrono anch’essi un’opportunità di crescita a lungo termine, potrebbe inoltre fornire interessant</w:t>
      </w:r>
      <w:r w:rsidR="00702049" w:rsidRPr="00920D36">
        <w:rPr>
          <w:rFonts w:asciiTheme="minorHAnsi" w:hAnsiTheme="minorHAnsi" w:cstheme="minorHAnsi"/>
          <w:sz w:val="22"/>
          <w:szCs w:val="22"/>
          <w:lang w:val="it-IT"/>
        </w:rPr>
        <w:t>i</w:t>
      </w:r>
      <w:r w:rsidRPr="00920D36">
        <w:rPr>
          <w:rFonts w:asciiTheme="minorHAnsi" w:hAnsiTheme="minorHAnsi" w:cstheme="minorHAnsi"/>
          <w:sz w:val="22"/>
          <w:szCs w:val="22"/>
          <w:lang w:val="it-IT"/>
        </w:rPr>
        <w:t xml:space="preserve"> opportunità </w:t>
      </w:r>
      <w:r w:rsidR="00835BD6">
        <w:rPr>
          <w:rFonts w:asciiTheme="minorHAnsi" w:hAnsiTheme="minorHAnsi" w:cstheme="minorHAnsi"/>
          <w:sz w:val="22"/>
          <w:szCs w:val="22"/>
          <w:lang w:val="it-IT"/>
        </w:rPr>
        <w:t>per le</w:t>
      </w:r>
      <w:r w:rsidR="00835BD6" w:rsidRPr="00920D36">
        <w:rPr>
          <w:rFonts w:asciiTheme="minorHAnsi" w:hAnsiTheme="minorHAnsi" w:cstheme="minorHAnsi"/>
          <w:sz w:val="22"/>
          <w:szCs w:val="22"/>
          <w:lang w:val="it-IT"/>
        </w:rPr>
        <w:t xml:space="preserve"> </w:t>
      </w:r>
      <w:r w:rsidRPr="00920D36">
        <w:rPr>
          <w:rFonts w:asciiTheme="minorHAnsi" w:hAnsiTheme="minorHAnsi" w:cstheme="minorHAnsi"/>
          <w:sz w:val="22"/>
          <w:szCs w:val="22"/>
          <w:lang w:val="it-IT"/>
        </w:rPr>
        <w:t>esportazion</w:t>
      </w:r>
      <w:r w:rsidR="00835BD6">
        <w:rPr>
          <w:rFonts w:asciiTheme="minorHAnsi" w:hAnsiTheme="minorHAnsi" w:cstheme="minorHAnsi"/>
          <w:sz w:val="22"/>
          <w:szCs w:val="22"/>
          <w:lang w:val="it-IT"/>
        </w:rPr>
        <w:t>i</w:t>
      </w:r>
      <w:r w:rsidRPr="00920D36">
        <w:rPr>
          <w:rFonts w:asciiTheme="minorHAnsi" w:hAnsiTheme="minorHAnsi" w:cstheme="minorHAnsi"/>
          <w:sz w:val="22"/>
          <w:szCs w:val="22"/>
          <w:lang w:val="it-IT"/>
        </w:rPr>
        <w:t>.</w:t>
      </w:r>
      <w:r w:rsidR="00ED63B3" w:rsidRPr="00920D36">
        <w:rPr>
          <w:rFonts w:asciiTheme="minorHAnsi" w:hAnsiTheme="minorHAnsi" w:cstheme="minorHAnsi"/>
          <w:sz w:val="22"/>
          <w:szCs w:val="22"/>
          <w:lang w:val="it-IT"/>
        </w:rPr>
        <w:t xml:space="preserve"> </w:t>
      </w:r>
    </w:p>
    <w:p w14:paraId="06D7B2EF" w14:textId="497D01CE" w:rsidR="00ED63B3" w:rsidRPr="00920D36" w:rsidRDefault="00F2121D" w:rsidP="009A78A6">
      <w:pPr>
        <w:pStyle w:val="typographyparagraph-sc-numijp-1"/>
        <w:spacing w:before="0" w:beforeAutospacing="0" w:after="120" w:afterAutospacing="0" w:line="264" w:lineRule="auto"/>
        <w:rPr>
          <w:rFonts w:asciiTheme="minorHAnsi" w:hAnsiTheme="minorHAnsi" w:cstheme="minorHAnsi"/>
          <w:sz w:val="22"/>
          <w:szCs w:val="22"/>
          <w:lang w:val="it-IT"/>
        </w:rPr>
      </w:pPr>
      <w:r w:rsidRPr="00920D36">
        <w:rPr>
          <w:rFonts w:asciiTheme="minorHAnsi" w:hAnsiTheme="minorHAnsi" w:cstheme="minorHAnsi"/>
          <w:sz w:val="22"/>
          <w:szCs w:val="22"/>
          <w:lang w:val="it-IT"/>
        </w:rPr>
        <w:t xml:space="preserve">A medio termine, tuttavia, la Turchia deve affrontare sfide importanti </w:t>
      </w:r>
      <w:r w:rsidR="00835BD6">
        <w:rPr>
          <w:rFonts w:asciiTheme="minorHAnsi" w:hAnsiTheme="minorHAnsi" w:cstheme="minorHAnsi"/>
          <w:sz w:val="22"/>
          <w:szCs w:val="22"/>
          <w:lang w:val="it-IT"/>
        </w:rPr>
        <w:t>per questo</w:t>
      </w:r>
      <w:r w:rsidR="00835BD6" w:rsidRPr="00920D36">
        <w:rPr>
          <w:rFonts w:asciiTheme="minorHAnsi" w:hAnsiTheme="minorHAnsi" w:cstheme="minorHAnsi"/>
          <w:sz w:val="22"/>
          <w:szCs w:val="22"/>
          <w:lang w:val="it-IT"/>
        </w:rPr>
        <w:t xml:space="preserve"> </w:t>
      </w:r>
      <w:r w:rsidRPr="00920D36">
        <w:rPr>
          <w:rFonts w:asciiTheme="minorHAnsi" w:hAnsiTheme="minorHAnsi" w:cstheme="minorHAnsi"/>
          <w:sz w:val="22"/>
          <w:szCs w:val="22"/>
          <w:lang w:val="it-IT"/>
        </w:rPr>
        <w:t xml:space="preserve">ci aspettiamo che la crescita economica rimanga al di sotto </w:t>
      </w:r>
      <w:proofErr w:type="gramStart"/>
      <w:r w:rsidRPr="00920D36">
        <w:rPr>
          <w:rFonts w:asciiTheme="minorHAnsi" w:hAnsiTheme="minorHAnsi" w:cstheme="minorHAnsi"/>
          <w:sz w:val="22"/>
          <w:szCs w:val="22"/>
          <w:lang w:val="it-IT"/>
        </w:rPr>
        <w:t>del trend</w:t>
      </w:r>
      <w:proofErr w:type="gramEnd"/>
      <w:r w:rsidRPr="00920D36">
        <w:rPr>
          <w:rFonts w:asciiTheme="minorHAnsi" w:hAnsiTheme="minorHAnsi" w:cstheme="minorHAnsi"/>
          <w:sz w:val="22"/>
          <w:szCs w:val="22"/>
          <w:lang w:val="it-IT"/>
        </w:rPr>
        <w:t xml:space="preserve"> per i prossimi due anni circa. </w:t>
      </w:r>
      <w:r w:rsidRPr="009A78A6">
        <w:rPr>
          <w:rFonts w:asciiTheme="minorHAnsi" w:hAnsiTheme="minorHAnsi" w:cstheme="minorHAnsi"/>
          <w:b/>
          <w:bCs/>
          <w:sz w:val="22"/>
          <w:szCs w:val="22"/>
          <w:lang w:val="it-IT"/>
        </w:rPr>
        <w:t>Quest’anno si prevede una crescita del P</w:t>
      </w:r>
      <w:r w:rsidR="00702049" w:rsidRPr="009A78A6">
        <w:rPr>
          <w:rFonts w:asciiTheme="minorHAnsi" w:hAnsiTheme="minorHAnsi" w:cstheme="minorHAnsi"/>
          <w:b/>
          <w:bCs/>
          <w:sz w:val="22"/>
          <w:szCs w:val="22"/>
          <w:lang w:val="it-IT"/>
        </w:rPr>
        <w:t>il</w:t>
      </w:r>
      <w:r w:rsidRPr="009A78A6">
        <w:rPr>
          <w:rFonts w:asciiTheme="minorHAnsi" w:hAnsiTheme="minorHAnsi" w:cstheme="minorHAnsi"/>
          <w:b/>
          <w:bCs/>
          <w:sz w:val="22"/>
          <w:szCs w:val="22"/>
          <w:lang w:val="it-IT"/>
        </w:rPr>
        <w:t xml:space="preserve"> dell’1,9%</w:t>
      </w:r>
      <w:r w:rsidRPr="00920D36">
        <w:rPr>
          <w:rFonts w:asciiTheme="minorHAnsi" w:hAnsiTheme="minorHAnsi" w:cstheme="minorHAnsi"/>
          <w:sz w:val="22"/>
          <w:szCs w:val="22"/>
          <w:lang w:val="it-IT"/>
        </w:rPr>
        <w:t xml:space="preserve"> sostenuta</w:t>
      </w:r>
      <w:r w:rsidR="00835BD6">
        <w:rPr>
          <w:rFonts w:asciiTheme="minorHAnsi" w:hAnsiTheme="minorHAnsi" w:cstheme="minorHAnsi"/>
          <w:sz w:val="22"/>
          <w:szCs w:val="22"/>
          <w:lang w:val="it-IT"/>
        </w:rPr>
        <w:t>,</w:t>
      </w:r>
      <w:r w:rsidRPr="00920D36">
        <w:rPr>
          <w:rFonts w:asciiTheme="minorHAnsi" w:hAnsiTheme="minorHAnsi" w:cstheme="minorHAnsi"/>
          <w:sz w:val="22"/>
          <w:szCs w:val="22"/>
          <w:lang w:val="it-IT"/>
        </w:rPr>
        <w:t xml:space="preserve"> in parte</w:t>
      </w:r>
      <w:r w:rsidR="00835BD6">
        <w:rPr>
          <w:rFonts w:asciiTheme="minorHAnsi" w:hAnsiTheme="minorHAnsi" w:cstheme="minorHAnsi"/>
          <w:sz w:val="22"/>
          <w:szCs w:val="22"/>
          <w:lang w:val="it-IT"/>
        </w:rPr>
        <w:t>,</w:t>
      </w:r>
      <w:r w:rsidRPr="00920D36">
        <w:rPr>
          <w:rFonts w:asciiTheme="minorHAnsi" w:hAnsiTheme="minorHAnsi" w:cstheme="minorHAnsi"/>
          <w:sz w:val="22"/>
          <w:szCs w:val="22"/>
          <w:lang w:val="it-IT"/>
        </w:rPr>
        <w:t xml:space="preserve"> dalla ricostruzione dopo il grave terremoto </w:t>
      </w:r>
      <w:r w:rsidR="00702049" w:rsidRPr="00920D36">
        <w:rPr>
          <w:rFonts w:asciiTheme="minorHAnsi" w:hAnsiTheme="minorHAnsi" w:cstheme="minorHAnsi"/>
          <w:sz w:val="22"/>
          <w:szCs w:val="22"/>
          <w:lang w:val="it-IT"/>
        </w:rPr>
        <w:t xml:space="preserve">di inizio </w:t>
      </w:r>
      <w:r w:rsidRPr="00920D36">
        <w:rPr>
          <w:rFonts w:asciiTheme="minorHAnsi" w:hAnsiTheme="minorHAnsi" w:cstheme="minorHAnsi"/>
          <w:sz w:val="22"/>
          <w:szCs w:val="22"/>
          <w:lang w:val="it-IT"/>
        </w:rPr>
        <w:t xml:space="preserve">anno e dalle spese </w:t>
      </w:r>
      <w:r w:rsidR="00ED63B3" w:rsidRPr="00920D36">
        <w:rPr>
          <w:rFonts w:asciiTheme="minorHAnsi" w:hAnsiTheme="minorHAnsi" w:cstheme="minorHAnsi"/>
          <w:sz w:val="22"/>
          <w:szCs w:val="22"/>
          <w:lang w:val="it-IT"/>
        </w:rPr>
        <w:t>preelettorali</w:t>
      </w:r>
      <w:r w:rsidRPr="00920D36">
        <w:rPr>
          <w:rFonts w:asciiTheme="minorHAnsi" w:hAnsiTheme="minorHAnsi" w:cstheme="minorHAnsi"/>
          <w:sz w:val="22"/>
          <w:szCs w:val="22"/>
          <w:lang w:val="it-IT"/>
        </w:rPr>
        <w:t xml:space="preserve">. </w:t>
      </w:r>
      <w:r w:rsidRPr="009A78A6">
        <w:rPr>
          <w:rFonts w:asciiTheme="minorHAnsi" w:hAnsiTheme="minorHAnsi" w:cstheme="minorHAnsi"/>
          <w:b/>
          <w:bCs/>
          <w:sz w:val="22"/>
          <w:szCs w:val="22"/>
          <w:lang w:val="it-IT"/>
        </w:rPr>
        <w:t>Tuttavia, l’elevato livello di debito in valuta estera del settore aziendale, in particolare delle banche, dovrà essere ristrutturato</w:t>
      </w:r>
      <w:r w:rsidRPr="00920D36">
        <w:rPr>
          <w:rFonts w:asciiTheme="minorHAnsi" w:hAnsiTheme="minorHAnsi" w:cstheme="minorHAnsi"/>
          <w:sz w:val="22"/>
          <w:szCs w:val="22"/>
          <w:lang w:val="it-IT"/>
        </w:rPr>
        <w:t xml:space="preserve"> </w:t>
      </w:r>
      <w:r w:rsidR="00645A7C" w:rsidRPr="00920D36">
        <w:rPr>
          <w:rFonts w:asciiTheme="minorHAnsi" w:hAnsiTheme="minorHAnsi" w:cstheme="minorHAnsi"/>
          <w:sz w:val="22"/>
          <w:szCs w:val="22"/>
          <w:lang w:val="it-IT"/>
        </w:rPr>
        <w:t>e</w:t>
      </w:r>
      <w:r w:rsidRPr="00920D36">
        <w:rPr>
          <w:rFonts w:asciiTheme="minorHAnsi" w:hAnsiTheme="minorHAnsi" w:cstheme="minorHAnsi"/>
          <w:sz w:val="22"/>
          <w:szCs w:val="22"/>
          <w:lang w:val="it-IT"/>
        </w:rPr>
        <w:t xml:space="preserve"> c’è un elevato rischio di rollover del debito estero.</w:t>
      </w:r>
      <w:r w:rsidR="00ED63B3" w:rsidRPr="00920D36">
        <w:rPr>
          <w:rFonts w:asciiTheme="minorHAnsi" w:hAnsiTheme="minorHAnsi" w:cstheme="minorHAnsi"/>
          <w:sz w:val="22"/>
          <w:szCs w:val="22"/>
          <w:lang w:val="it-IT"/>
        </w:rPr>
        <w:t xml:space="preserve"> </w:t>
      </w:r>
    </w:p>
    <w:p w14:paraId="5A17B216" w14:textId="2EE6EF99" w:rsidR="00ED63B3" w:rsidRPr="00920D36" w:rsidRDefault="00F2121D" w:rsidP="009A78A6">
      <w:pPr>
        <w:pStyle w:val="typographyparagraph-sc-numijp-1"/>
        <w:spacing w:before="0" w:beforeAutospacing="0" w:after="120" w:afterAutospacing="0" w:line="264" w:lineRule="auto"/>
        <w:rPr>
          <w:rFonts w:asciiTheme="minorHAnsi" w:hAnsiTheme="minorHAnsi" w:cstheme="minorHAnsi"/>
          <w:sz w:val="22"/>
          <w:szCs w:val="22"/>
          <w:lang w:val="it-IT"/>
        </w:rPr>
      </w:pPr>
      <w:r w:rsidRPr="009A78A6">
        <w:rPr>
          <w:rFonts w:asciiTheme="minorHAnsi" w:hAnsiTheme="minorHAnsi" w:cstheme="minorHAnsi"/>
          <w:b/>
          <w:bCs/>
          <w:sz w:val="22"/>
          <w:szCs w:val="22"/>
          <w:lang w:val="it-IT"/>
        </w:rPr>
        <w:t>Sebbene sia diminuita negli ultimi mesi, l’inflazione rimane non ancorata, con un tasso nominale vicino al 40%</w:t>
      </w:r>
      <w:r w:rsidRPr="00920D36">
        <w:rPr>
          <w:rFonts w:asciiTheme="minorHAnsi" w:hAnsiTheme="minorHAnsi" w:cstheme="minorHAnsi"/>
          <w:sz w:val="22"/>
          <w:szCs w:val="22"/>
          <w:lang w:val="it-IT"/>
        </w:rPr>
        <w:t xml:space="preserve">. Il tasso di riferimento della politica monetaria si attesta ora al 15%, dopo essere stato aumentato dall’8,5% sotto la guida del nuovo governatore della </w:t>
      </w:r>
      <w:r w:rsidR="00702049" w:rsidRPr="00920D36">
        <w:rPr>
          <w:rFonts w:asciiTheme="minorHAnsi" w:hAnsiTheme="minorHAnsi" w:cstheme="minorHAnsi"/>
          <w:sz w:val="22"/>
          <w:szCs w:val="22"/>
          <w:lang w:val="it-IT"/>
        </w:rPr>
        <w:t>b</w:t>
      </w:r>
      <w:r w:rsidRPr="00920D36">
        <w:rPr>
          <w:rFonts w:asciiTheme="minorHAnsi" w:hAnsiTheme="minorHAnsi" w:cstheme="minorHAnsi"/>
          <w:sz w:val="22"/>
          <w:szCs w:val="22"/>
          <w:lang w:val="it-IT"/>
        </w:rPr>
        <w:t xml:space="preserve">anca </w:t>
      </w:r>
      <w:r w:rsidR="00702049" w:rsidRPr="00920D36">
        <w:rPr>
          <w:rFonts w:asciiTheme="minorHAnsi" w:hAnsiTheme="minorHAnsi" w:cstheme="minorHAnsi"/>
          <w:sz w:val="22"/>
          <w:szCs w:val="22"/>
          <w:lang w:val="it-IT"/>
        </w:rPr>
        <w:t>c</w:t>
      </w:r>
      <w:r w:rsidRPr="00920D36">
        <w:rPr>
          <w:rFonts w:asciiTheme="minorHAnsi" w:hAnsiTheme="minorHAnsi" w:cstheme="minorHAnsi"/>
          <w:sz w:val="22"/>
          <w:szCs w:val="22"/>
          <w:lang w:val="it-IT"/>
        </w:rPr>
        <w:t xml:space="preserve">entrale. </w:t>
      </w:r>
      <w:r w:rsidRPr="00920D36">
        <w:rPr>
          <w:rFonts w:asciiTheme="minorHAnsi" w:hAnsiTheme="minorHAnsi" w:cstheme="minorHAnsi"/>
          <w:b/>
          <w:bCs/>
          <w:sz w:val="22"/>
          <w:szCs w:val="22"/>
          <w:lang w:val="it-IT"/>
        </w:rPr>
        <w:t xml:space="preserve">Anche se un ritorno a una politica più ortodossa sarebbe benvenuto, l’indipendenza della </w:t>
      </w:r>
      <w:r w:rsidR="00702049" w:rsidRPr="00920D36">
        <w:rPr>
          <w:rFonts w:asciiTheme="minorHAnsi" w:hAnsiTheme="minorHAnsi" w:cstheme="minorHAnsi"/>
          <w:b/>
          <w:bCs/>
          <w:sz w:val="22"/>
          <w:szCs w:val="22"/>
          <w:lang w:val="it-IT"/>
        </w:rPr>
        <w:t>b</w:t>
      </w:r>
      <w:r w:rsidRPr="00920D36">
        <w:rPr>
          <w:rFonts w:asciiTheme="minorHAnsi" w:hAnsiTheme="minorHAnsi" w:cstheme="minorHAnsi"/>
          <w:b/>
          <w:bCs/>
          <w:sz w:val="22"/>
          <w:szCs w:val="22"/>
          <w:lang w:val="it-IT"/>
        </w:rPr>
        <w:t xml:space="preserve">anca </w:t>
      </w:r>
      <w:r w:rsidR="00702049" w:rsidRPr="00920D36">
        <w:rPr>
          <w:rFonts w:asciiTheme="minorHAnsi" w:hAnsiTheme="minorHAnsi" w:cstheme="minorHAnsi"/>
          <w:b/>
          <w:bCs/>
          <w:sz w:val="22"/>
          <w:szCs w:val="22"/>
          <w:lang w:val="it-IT"/>
        </w:rPr>
        <w:t>c</w:t>
      </w:r>
      <w:r w:rsidRPr="00920D36">
        <w:rPr>
          <w:rFonts w:asciiTheme="minorHAnsi" w:hAnsiTheme="minorHAnsi" w:cstheme="minorHAnsi"/>
          <w:b/>
          <w:bCs/>
          <w:sz w:val="22"/>
          <w:szCs w:val="22"/>
          <w:lang w:val="it-IT"/>
        </w:rPr>
        <w:t>entrale è stata compromessa negli ultimi anni</w:t>
      </w:r>
      <w:r w:rsidRPr="00920D36">
        <w:rPr>
          <w:rFonts w:asciiTheme="minorHAnsi" w:hAnsiTheme="minorHAnsi" w:cstheme="minorHAnsi"/>
          <w:sz w:val="22"/>
          <w:szCs w:val="22"/>
          <w:lang w:val="it-IT"/>
        </w:rPr>
        <w:t xml:space="preserve"> e la credibilità richiederà tempo per essere ripristinata, supponendo che nel frattempo la politica </w:t>
      </w:r>
      <w:r w:rsidR="00645A7C" w:rsidRPr="00920D36">
        <w:rPr>
          <w:rFonts w:asciiTheme="minorHAnsi" w:hAnsiTheme="minorHAnsi" w:cstheme="minorHAnsi"/>
          <w:sz w:val="22"/>
          <w:szCs w:val="22"/>
          <w:lang w:val="it-IT"/>
        </w:rPr>
        <w:t>segua</w:t>
      </w:r>
      <w:r w:rsidRPr="00920D36">
        <w:rPr>
          <w:rFonts w:asciiTheme="minorHAnsi" w:hAnsiTheme="minorHAnsi" w:cstheme="minorHAnsi"/>
          <w:sz w:val="22"/>
          <w:szCs w:val="22"/>
          <w:lang w:val="it-IT"/>
        </w:rPr>
        <w:t xml:space="preserve"> un percorso convenzionale.</w:t>
      </w:r>
      <w:r w:rsidR="00ED63B3" w:rsidRPr="00920D36">
        <w:rPr>
          <w:rFonts w:asciiTheme="minorHAnsi" w:hAnsiTheme="minorHAnsi" w:cstheme="minorHAnsi"/>
          <w:sz w:val="22"/>
          <w:szCs w:val="22"/>
          <w:lang w:val="it-IT"/>
        </w:rPr>
        <w:t xml:space="preserve"> </w:t>
      </w:r>
      <w:r w:rsidRPr="00920D36">
        <w:rPr>
          <w:rFonts w:asciiTheme="minorHAnsi" w:hAnsiTheme="minorHAnsi" w:cstheme="minorHAnsi"/>
          <w:b/>
          <w:bCs/>
          <w:sz w:val="22"/>
          <w:szCs w:val="22"/>
          <w:lang w:val="it-IT"/>
        </w:rPr>
        <w:t xml:space="preserve">Dopo le elezioni, le autorità hanno permesso alla lira di deprezzarsi. </w:t>
      </w:r>
      <w:r w:rsidRPr="00920D36">
        <w:rPr>
          <w:rFonts w:asciiTheme="minorHAnsi" w:hAnsiTheme="minorHAnsi" w:cstheme="minorHAnsi"/>
          <w:sz w:val="22"/>
          <w:szCs w:val="22"/>
          <w:lang w:val="it-IT"/>
        </w:rPr>
        <w:t xml:space="preserve">Era quasi inevitabile, visto che le riserve di valuta estera spendibili sono vicine ai 7 miliardi di dollari, un minimo storico. La stagione turistica </w:t>
      </w:r>
      <w:r w:rsidR="00835BD6">
        <w:rPr>
          <w:rFonts w:asciiTheme="minorHAnsi" w:hAnsiTheme="minorHAnsi" w:cstheme="minorHAnsi"/>
          <w:sz w:val="22"/>
          <w:szCs w:val="22"/>
          <w:lang w:val="it-IT"/>
        </w:rPr>
        <w:t xml:space="preserve">che si prospetta </w:t>
      </w:r>
      <w:r w:rsidRPr="00920D36">
        <w:rPr>
          <w:rFonts w:asciiTheme="minorHAnsi" w:hAnsiTheme="minorHAnsi" w:cstheme="minorHAnsi"/>
          <w:sz w:val="22"/>
          <w:szCs w:val="22"/>
          <w:lang w:val="it-IT"/>
        </w:rPr>
        <w:t>da record, con afflussi fino a 40 miliardi, dovrebbe essere di supporto nel breve termine. Insieme ad alcuni sforzi per migliorare la politica, questo dovrebbe far guadagnare tempo all’economia e scongiurare un’imminente crisi della bilancia dei pagamenti. Ma la strada da percorrere è ancora lunga.</w:t>
      </w:r>
      <w:r w:rsidR="00ED63B3" w:rsidRPr="00920D36">
        <w:rPr>
          <w:rFonts w:asciiTheme="minorHAnsi" w:hAnsiTheme="minorHAnsi" w:cstheme="minorHAnsi"/>
          <w:sz w:val="22"/>
          <w:szCs w:val="22"/>
          <w:lang w:val="it-IT"/>
        </w:rPr>
        <w:t xml:space="preserve"> </w:t>
      </w:r>
    </w:p>
    <w:p w14:paraId="47E21B36" w14:textId="77777777" w:rsidR="00ED63B3" w:rsidRPr="00920D36" w:rsidRDefault="00BC5B9E" w:rsidP="009A78A6">
      <w:pPr>
        <w:pStyle w:val="typographyparagraph-sc-numijp-1"/>
        <w:spacing w:before="0" w:beforeAutospacing="0" w:after="120" w:afterAutospacing="0" w:line="264" w:lineRule="auto"/>
        <w:rPr>
          <w:rFonts w:asciiTheme="minorHAnsi" w:hAnsiTheme="minorHAnsi" w:cstheme="minorHAnsi"/>
          <w:sz w:val="22"/>
          <w:szCs w:val="22"/>
          <w:u w:val="single"/>
          <w:lang w:val="it-IT"/>
        </w:rPr>
      </w:pPr>
      <w:r w:rsidRPr="00920D36">
        <w:rPr>
          <w:rFonts w:asciiTheme="minorHAnsi" w:hAnsiTheme="minorHAnsi" w:cstheme="minorHAnsi"/>
          <w:sz w:val="22"/>
          <w:szCs w:val="22"/>
          <w:u w:val="single"/>
          <w:lang w:val="it-IT"/>
        </w:rPr>
        <w:t>Quali sono i rischi?</w:t>
      </w:r>
      <w:r w:rsidR="00ED63B3" w:rsidRPr="00920D36">
        <w:rPr>
          <w:rFonts w:asciiTheme="minorHAnsi" w:hAnsiTheme="minorHAnsi" w:cstheme="minorHAnsi"/>
          <w:sz w:val="22"/>
          <w:szCs w:val="22"/>
          <w:u w:val="single"/>
          <w:lang w:val="it-IT"/>
        </w:rPr>
        <w:t xml:space="preserve"> </w:t>
      </w:r>
    </w:p>
    <w:p w14:paraId="743650D5" w14:textId="32CEE203" w:rsidR="00ED63B3" w:rsidRPr="00920D36" w:rsidRDefault="00BC5B9E" w:rsidP="009A78A6">
      <w:pPr>
        <w:pStyle w:val="typographyparagraph-sc-numijp-1"/>
        <w:spacing w:before="0" w:beforeAutospacing="0" w:after="120" w:afterAutospacing="0" w:line="264" w:lineRule="auto"/>
        <w:rPr>
          <w:rFonts w:asciiTheme="minorHAnsi" w:hAnsiTheme="minorHAnsi" w:cstheme="minorHAnsi"/>
          <w:sz w:val="22"/>
          <w:szCs w:val="22"/>
          <w:lang w:val="it-IT"/>
        </w:rPr>
      </w:pPr>
      <w:r w:rsidRPr="00920D36">
        <w:rPr>
          <w:rFonts w:asciiTheme="minorHAnsi" w:hAnsiTheme="minorHAnsi" w:cstheme="minorHAnsi"/>
          <w:sz w:val="22"/>
          <w:szCs w:val="22"/>
          <w:lang w:val="it-IT"/>
        </w:rPr>
        <w:t xml:space="preserve">Negli ultimi anni, </w:t>
      </w:r>
      <w:r w:rsidRPr="00920D36">
        <w:rPr>
          <w:rFonts w:asciiTheme="minorHAnsi" w:hAnsiTheme="minorHAnsi" w:cstheme="minorHAnsi"/>
          <w:b/>
          <w:bCs/>
          <w:sz w:val="22"/>
          <w:szCs w:val="22"/>
          <w:lang w:val="it-IT"/>
        </w:rPr>
        <w:t>la percezione del rischio della Grecia è diminuita in modo significativo.</w:t>
      </w:r>
      <w:r w:rsidRPr="00920D36">
        <w:rPr>
          <w:rFonts w:asciiTheme="minorHAnsi" w:hAnsiTheme="minorHAnsi" w:cstheme="minorHAnsi"/>
          <w:sz w:val="22"/>
          <w:szCs w:val="22"/>
          <w:lang w:val="it-IT"/>
        </w:rPr>
        <w:t xml:space="preserve"> Una politica fiscale più controllata è stata positiva. Il ritorno di Nuova Democrazia nel 2019 ha dato maggiore fiducia </w:t>
      </w:r>
      <w:r w:rsidR="00645A7C" w:rsidRPr="00920D36">
        <w:rPr>
          <w:rFonts w:asciiTheme="minorHAnsi" w:hAnsiTheme="minorHAnsi" w:cstheme="minorHAnsi"/>
          <w:sz w:val="22"/>
          <w:szCs w:val="22"/>
          <w:lang w:val="it-IT"/>
        </w:rPr>
        <w:t xml:space="preserve">riguardo </w:t>
      </w:r>
      <w:r w:rsidR="00835BD6">
        <w:rPr>
          <w:rFonts w:asciiTheme="minorHAnsi" w:hAnsiTheme="minorHAnsi" w:cstheme="minorHAnsi"/>
          <w:sz w:val="22"/>
          <w:szCs w:val="22"/>
          <w:lang w:val="it-IT"/>
        </w:rPr>
        <w:t>al</w:t>
      </w:r>
      <w:r w:rsidR="00645A7C" w:rsidRPr="00920D36">
        <w:rPr>
          <w:rFonts w:asciiTheme="minorHAnsi" w:hAnsiTheme="minorHAnsi" w:cstheme="minorHAnsi"/>
          <w:sz w:val="22"/>
          <w:szCs w:val="22"/>
          <w:lang w:val="it-IT"/>
        </w:rPr>
        <w:t xml:space="preserve">la </w:t>
      </w:r>
      <w:r w:rsidRPr="00920D36">
        <w:rPr>
          <w:rFonts w:asciiTheme="minorHAnsi" w:hAnsiTheme="minorHAnsi" w:cstheme="minorHAnsi"/>
          <w:sz w:val="22"/>
          <w:szCs w:val="22"/>
          <w:lang w:val="it-IT"/>
        </w:rPr>
        <w:t xml:space="preserve">sostenibilità finanziaria. Di conseguenza, il costo dell’assicurazione del debito greco è diminuito ed è ora inferiore </w:t>
      </w:r>
      <w:r w:rsidR="00835BD6">
        <w:rPr>
          <w:rFonts w:asciiTheme="minorHAnsi" w:hAnsiTheme="minorHAnsi" w:cstheme="minorHAnsi"/>
          <w:sz w:val="22"/>
          <w:szCs w:val="22"/>
          <w:lang w:val="it-IT"/>
        </w:rPr>
        <w:t xml:space="preserve">persino </w:t>
      </w:r>
      <w:r w:rsidRPr="00920D36">
        <w:rPr>
          <w:rFonts w:asciiTheme="minorHAnsi" w:hAnsiTheme="minorHAnsi" w:cstheme="minorHAnsi"/>
          <w:sz w:val="22"/>
          <w:szCs w:val="22"/>
          <w:lang w:val="it-IT"/>
        </w:rPr>
        <w:t xml:space="preserve">a quello </w:t>
      </w:r>
      <w:r w:rsidR="00835BD6">
        <w:rPr>
          <w:rFonts w:asciiTheme="minorHAnsi" w:hAnsiTheme="minorHAnsi" w:cstheme="minorHAnsi"/>
          <w:sz w:val="22"/>
          <w:szCs w:val="22"/>
          <w:lang w:val="it-IT"/>
        </w:rPr>
        <w:t>del</w:t>
      </w:r>
      <w:r w:rsidR="00835BD6" w:rsidRPr="00920D36">
        <w:rPr>
          <w:rFonts w:asciiTheme="minorHAnsi" w:hAnsiTheme="minorHAnsi" w:cstheme="minorHAnsi"/>
          <w:sz w:val="22"/>
          <w:szCs w:val="22"/>
          <w:lang w:val="it-IT"/>
        </w:rPr>
        <w:t>l’Italia</w:t>
      </w:r>
      <w:r w:rsidRPr="00920D36">
        <w:rPr>
          <w:rFonts w:asciiTheme="minorHAnsi" w:hAnsiTheme="minorHAnsi" w:cstheme="minorHAnsi"/>
          <w:sz w:val="22"/>
          <w:szCs w:val="22"/>
          <w:lang w:val="it-IT"/>
        </w:rPr>
        <w:t xml:space="preserve">. Per contro, il costo dell’assicurazione del debito turco è triplicato negli ultimi cinque anni. </w:t>
      </w:r>
      <w:r w:rsidR="00ED63B3" w:rsidRPr="00920D36">
        <w:rPr>
          <w:rFonts w:asciiTheme="minorHAnsi" w:hAnsiTheme="minorHAnsi" w:cstheme="minorHAnsi"/>
          <w:sz w:val="22"/>
          <w:szCs w:val="22"/>
          <w:lang w:val="it-IT"/>
        </w:rPr>
        <w:t xml:space="preserve"> </w:t>
      </w:r>
    </w:p>
    <w:p w14:paraId="716123C1" w14:textId="18E6D84F" w:rsidR="00ED63B3" w:rsidRPr="00920D36" w:rsidRDefault="008978C3" w:rsidP="009A78A6">
      <w:pPr>
        <w:pStyle w:val="typographyparagraph-sc-numijp-1"/>
        <w:spacing w:before="0" w:beforeAutospacing="0" w:after="120" w:afterAutospacing="0" w:line="264" w:lineRule="auto"/>
        <w:rPr>
          <w:rStyle w:val="Enfasigrassetto"/>
          <w:rFonts w:asciiTheme="minorHAnsi" w:hAnsiTheme="minorHAnsi" w:cstheme="minorHAnsi"/>
          <w:b w:val="0"/>
          <w:bCs w:val="0"/>
          <w:sz w:val="22"/>
          <w:szCs w:val="22"/>
          <w:u w:val="single"/>
          <w:lang w:val="it-IT"/>
        </w:rPr>
      </w:pPr>
      <w:r w:rsidRPr="00920D36">
        <w:rPr>
          <w:rStyle w:val="Enfasigrassetto"/>
          <w:rFonts w:asciiTheme="minorHAnsi" w:hAnsiTheme="minorHAnsi" w:cstheme="minorHAnsi"/>
          <w:b w:val="0"/>
          <w:bCs w:val="0"/>
          <w:sz w:val="22"/>
          <w:szCs w:val="22"/>
          <w:u w:val="single"/>
          <w:lang w:val="it-IT"/>
        </w:rPr>
        <w:t>Conclusioni</w:t>
      </w:r>
    </w:p>
    <w:p w14:paraId="1E9CB655" w14:textId="65ECE678" w:rsidR="00ED63B3" w:rsidRPr="00920D36" w:rsidRDefault="00835BD6" w:rsidP="009A78A6">
      <w:pPr>
        <w:pStyle w:val="typographyparagraph-sc-numijp-1"/>
        <w:spacing w:before="0" w:beforeAutospacing="0" w:after="120" w:afterAutospacing="0" w:line="264" w:lineRule="auto"/>
        <w:rPr>
          <w:rFonts w:asciiTheme="minorHAnsi" w:hAnsiTheme="minorHAnsi" w:cstheme="minorHAnsi"/>
          <w:sz w:val="22"/>
          <w:szCs w:val="22"/>
          <w:lang w:val="it-IT"/>
        </w:rPr>
      </w:pPr>
      <w:r w:rsidRPr="009A78A6">
        <w:rPr>
          <w:rFonts w:asciiTheme="minorHAnsi" w:hAnsiTheme="minorHAnsi" w:cstheme="minorHAnsi"/>
          <w:sz w:val="22"/>
          <w:szCs w:val="22"/>
          <w:lang w:val="it-IT"/>
        </w:rPr>
        <w:t>Tra le due economie,</w:t>
      </w:r>
      <w:r>
        <w:rPr>
          <w:rFonts w:asciiTheme="minorHAnsi" w:hAnsiTheme="minorHAnsi" w:cstheme="minorHAnsi"/>
          <w:b/>
          <w:bCs/>
          <w:sz w:val="22"/>
          <w:szCs w:val="22"/>
          <w:lang w:val="it-IT"/>
        </w:rPr>
        <w:t xml:space="preserve"> c</w:t>
      </w:r>
      <w:r w:rsidR="00BC5B9E" w:rsidRPr="00920D36">
        <w:rPr>
          <w:rFonts w:asciiTheme="minorHAnsi" w:hAnsiTheme="minorHAnsi" w:cstheme="minorHAnsi"/>
          <w:b/>
          <w:bCs/>
          <w:sz w:val="22"/>
          <w:szCs w:val="22"/>
          <w:lang w:val="it-IT"/>
        </w:rPr>
        <w:t>ontinuiamo a privilegiare la Grecia</w:t>
      </w:r>
      <w:r w:rsidR="00BC5B9E" w:rsidRPr="00920D36">
        <w:rPr>
          <w:rFonts w:asciiTheme="minorHAnsi" w:hAnsiTheme="minorHAnsi" w:cstheme="minorHAnsi"/>
          <w:sz w:val="22"/>
          <w:szCs w:val="22"/>
          <w:lang w:val="it-IT"/>
        </w:rPr>
        <w:t xml:space="preserve">. Le prospettive di crescita economica sono solide, </w:t>
      </w:r>
      <w:r>
        <w:rPr>
          <w:rFonts w:asciiTheme="minorHAnsi" w:hAnsiTheme="minorHAnsi" w:cstheme="minorHAnsi"/>
          <w:sz w:val="22"/>
          <w:szCs w:val="22"/>
          <w:lang w:val="it-IT"/>
        </w:rPr>
        <w:t>grazie al</w:t>
      </w:r>
      <w:r w:rsidR="00BC5B9E" w:rsidRPr="00920D36">
        <w:rPr>
          <w:rFonts w:asciiTheme="minorHAnsi" w:hAnsiTheme="minorHAnsi" w:cstheme="minorHAnsi"/>
          <w:sz w:val="22"/>
          <w:szCs w:val="22"/>
          <w:lang w:val="it-IT"/>
        </w:rPr>
        <w:t xml:space="preserve"> sostegno del Fondo di ripresa dell’U</w:t>
      </w:r>
      <w:r w:rsidR="001A0A37" w:rsidRPr="00920D36">
        <w:rPr>
          <w:rFonts w:asciiTheme="minorHAnsi" w:hAnsiTheme="minorHAnsi" w:cstheme="minorHAnsi"/>
          <w:sz w:val="22"/>
          <w:szCs w:val="22"/>
          <w:lang w:val="it-IT"/>
        </w:rPr>
        <w:t>e</w:t>
      </w:r>
      <w:r w:rsidR="00BC5B9E" w:rsidRPr="00920D36">
        <w:rPr>
          <w:rFonts w:asciiTheme="minorHAnsi" w:hAnsiTheme="minorHAnsi" w:cstheme="minorHAnsi"/>
          <w:sz w:val="22"/>
          <w:szCs w:val="22"/>
          <w:lang w:val="it-IT"/>
        </w:rPr>
        <w:t>, e le valutazioni del mercato in aggregato rimangono interessanti.</w:t>
      </w:r>
      <w:r w:rsidR="00ED63B3" w:rsidRPr="00920D36">
        <w:rPr>
          <w:rFonts w:asciiTheme="minorHAnsi" w:hAnsiTheme="minorHAnsi" w:cstheme="minorHAnsi"/>
          <w:sz w:val="22"/>
          <w:szCs w:val="22"/>
          <w:lang w:val="it-IT"/>
        </w:rPr>
        <w:t xml:space="preserve"> </w:t>
      </w:r>
    </w:p>
    <w:p w14:paraId="332C5E99" w14:textId="28D6BE4E" w:rsidR="00BC5B9E" w:rsidRPr="009A78A6" w:rsidRDefault="00BC5B9E" w:rsidP="009A78A6">
      <w:pPr>
        <w:pStyle w:val="typographyparagraph-sc-numijp-1"/>
        <w:spacing w:before="0" w:beforeAutospacing="0" w:after="120" w:afterAutospacing="0" w:line="264" w:lineRule="auto"/>
        <w:rPr>
          <w:rFonts w:cstheme="minorHAnsi"/>
          <w:b/>
          <w:bCs/>
          <w:sz w:val="22"/>
          <w:szCs w:val="22"/>
          <w:lang w:val="it-IT"/>
        </w:rPr>
      </w:pPr>
      <w:r w:rsidRPr="00920D36">
        <w:rPr>
          <w:rFonts w:asciiTheme="minorHAnsi" w:hAnsiTheme="minorHAnsi" w:cstheme="minorHAnsi"/>
          <w:b/>
          <w:bCs/>
          <w:sz w:val="22"/>
          <w:szCs w:val="22"/>
          <w:lang w:val="it-IT"/>
        </w:rPr>
        <w:t xml:space="preserve">Manteniamo una visione negativa </w:t>
      </w:r>
      <w:r w:rsidR="009A78A6">
        <w:rPr>
          <w:rFonts w:asciiTheme="minorHAnsi" w:hAnsiTheme="minorHAnsi" w:cstheme="minorHAnsi"/>
          <w:b/>
          <w:bCs/>
          <w:sz w:val="22"/>
          <w:szCs w:val="22"/>
          <w:lang w:val="it-IT"/>
        </w:rPr>
        <w:t>sull’azionario</w:t>
      </w:r>
      <w:r w:rsidRPr="00920D36">
        <w:rPr>
          <w:rFonts w:asciiTheme="minorHAnsi" w:hAnsiTheme="minorHAnsi" w:cstheme="minorHAnsi"/>
          <w:b/>
          <w:bCs/>
          <w:sz w:val="22"/>
          <w:szCs w:val="22"/>
          <w:lang w:val="it-IT"/>
        </w:rPr>
        <w:t xml:space="preserve"> turc</w:t>
      </w:r>
      <w:r w:rsidR="009A78A6">
        <w:rPr>
          <w:rFonts w:asciiTheme="minorHAnsi" w:hAnsiTheme="minorHAnsi" w:cstheme="minorHAnsi"/>
          <w:b/>
          <w:bCs/>
          <w:sz w:val="22"/>
          <w:szCs w:val="22"/>
          <w:lang w:val="it-IT"/>
        </w:rPr>
        <w:t>o</w:t>
      </w:r>
      <w:r w:rsidRPr="00920D36">
        <w:rPr>
          <w:rFonts w:asciiTheme="minorHAnsi" w:hAnsiTheme="minorHAnsi" w:cstheme="minorHAnsi"/>
          <w:b/>
          <w:bCs/>
          <w:sz w:val="22"/>
          <w:szCs w:val="22"/>
          <w:lang w:val="it-IT"/>
        </w:rPr>
        <w:t xml:space="preserve">. </w:t>
      </w:r>
      <w:r w:rsidRPr="00920D36">
        <w:rPr>
          <w:rFonts w:asciiTheme="minorHAnsi" w:hAnsiTheme="minorHAnsi" w:cstheme="minorHAnsi"/>
          <w:sz w:val="22"/>
          <w:szCs w:val="22"/>
          <w:lang w:val="it-IT"/>
        </w:rPr>
        <w:t xml:space="preserve">Persistono gravi squilibri nell’economia e il rischio valutario è costante. La nomina di un nuovo Ministro delle Finanze e di un nuovo Governatore della </w:t>
      </w:r>
      <w:r w:rsidR="001A0A37" w:rsidRPr="00920D36">
        <w:rPr>
          <w:rFonts w:asciiTheme="minorHAnsi" w:hAnsiTheme="minorHAnsi" w:cstheme="minorHAnsi"/>
          <w:sz w:val="22"/>
          <w:szCs w:val="22"/>
          <w:lang w:val="it-IT"/>
        </w:rPr>
        <w:t>b</w:t>
      </w:r>
      <w:r w:rsidRPr="00920D36">
        <w:rPr>
          <w:rFonts w:asciiTheme="minorHAnsi" w:hAnsiTheme="minorHAnsi" w:cstheme="minorHAnsi"/>
          <w:sz w:val="22"/>
          <w:szCs w:val="22"/>
          <w:lang w:val="it-IT"/>
        </w:rPr>
        <w:t xml:space="preserve">anca </w:t>
      </w:r>
      <w:r w:rsidR="001A0A37" w:rsidRPr="00920D36">
        <w:rPr>
          <w:rFonts w:asciiTheme="minorHAnsi" w:hAnsiTheme="minorHAnsi" w:cstheme="minorHAnsi"/>
          <w:sz w:val="22"/>
          <w:szCs w:val="22"/>
          <w:lang w:val="it-IT"/>
        </w:rPr>
        <w:t>c</w:t>
      </w:r>
      <w:r w:rsidRPr="00920D36">
        <w:rPr>
          <w:rFonts w:asciiTheme="minorHAnsi" w:hAnsiTheme="minorHAnsi" w:cstheme="minorHAnsi"/>
          <w:sz w:val="22"/>
          <w:szCs w:val="22"/>
          <w:lang w:val="it-IT"/>
        </w:rPr>
        <w:t>entrale porta con sé esperienza e un approccio più ortodosso alla definizione delle politiche</w:t>
      </w:r>
      <w:r w:rsidR="00645A7C" w:rsidRPr="00920D36">
        <w:rPr>
          <w:rFonts w:asciiTheme="minorHAnsi" w:hAnsiTheme="minorHAnsi" w:cstheme="minorHAnsi"/>
          <w:sz w:val="22"/>
          <w:szCs w:val="22"/>
          <w:lang w:val="it-IT"/>
        </w:rPr>
        <w:t xml:space="preserve"> monetarie</w:t>
      </w:r>
      <w:r w:rsidRPr="00920D36">
        <w:rPr>
          <w:rFonts w:asciiTheme="minorHAnsi" w:hAnsiTheme="minorHAnsi" w:cstheme="minorHAnsi"/>
          <w:sz w:val="22"/>
          <w:szCs w:val="22"/>
          <w:lang w:val="it-IT"/>
        </w:rPr>
        <w:t xml:space="preserve">. Tuttavia, </w:t>
      </w:r>
      <w:r w:rsidRPr="00920D36">
        <w:rPr>
          <w:rFonts w:asciiTheme="minorHAnsi" w:hAnsiTheme="minorHAnsi" w:cstheme="minorHAnsi"/>
          <w:b/>
          <w:bCs/>
          <w:sz w:val="22"/>
          <w:szCs w:val="22"/>
          <w:lang w:val="it-IT"/>
        </w:rPr>
        <w:t>la mancanza di credibilità del governo, dopo una serie di inversioni di rotta negli ultimi anni, ci fa rimanere cauti.</w:t>
      </w:r>
      <w:r w:rsidRPr="00920D36">
        <w:rPr>
          <w:rFonts w:asciiTheme="minorHAnsi" w:hAnsiTheme="minorHAnsi" w:cstheme="minorHAnsi"/>
          <w:sz w:val="22"/>
          <w:szCs w:val="22"/>
          <w:lang w:val="it-IT"/>
        </w:rPr>
        <w:t xml:space="preserve"> Detto questo, in caso di ripristino della stabilità macroeconomica, la Turchia offre una serie di potenziali opportunità azionarie. </w:t>
      </w:r>
      <w:r w:rsidRPr="009A78A6">
        <w:rPr>
          <w:rFonts w:asciiTheme="minorHAnsi" w:hAnsiTheme="minorHAnsi" w:cstheme="minorHAnsi"/>
          <w:sz w:val="22"/>
          <w:szCs w:val="22"/>
          <w:lang w:val="it-IT"/>
        </w:rPr>
        <w:t xml:space="preserve">Sebbene </w:t>
      </w:r>
      <w:r w:rsidRPr="009A78A6">
        <w:rPr>
          <w:rFonts w:asciiTheme="minorHAnsi" w:hAnsiTheme="minorHAnsi" w:cstheme="minorHAnsi"/>
          <w:b/>
          <w:bCs/>
          <w:sz w:val="22"/>
          <w:szCs w:val="22"/>
          <w:lang w:val="it-IT"/>
        </w:rPr>
        <w:t xml:space="preserve">in Turchia </w:t>
      </w:r>
      <w:r w:rsidRPr="009A78A6">
        <w:rPr>
          <w:rFonts w:asciiTheme="minorHAnsi" w:hAnsiTheme="minorHAnsi" w:cstheme="minorHAnsi"/>
          <w:sz w:val="22"/>
          <w:szCs w:val="22"/>
          <w:lang w:val="it-IT"/>
        </w:rPr>
        <w:t>si stiano adottando le prime misure per adeguare l</w:t>
      </w:r>
      <w:r w:rsidR="002A1E13" w:rsidRPr="009A78A6">
        <w:rPr>
          <w:rFonts w:asciiTheme="minorHAnsi" w:hAnsiTheme="minorHAnsi" w:cstheme="minorHAnsi"/>
          <w:sz w:val="22"/>
          <w:szCs w:val="22"/>
          <w:lang w:val="it-IT"/>
        </w:rPr>
        <w:t>e</w:t>
      </w:r>
      <w:r w:rsidRPr="009A78A6">
        <w:rPr>
          <w:rFonts w:asciiTheme="minorHAnsi" w:hAnsiTheme="minorHAnsi" w:cstheme="minorHAnsi"/>
          <w:sz w:val="22"/>
          <w:szCs w:val="22"/>
          <w:lang w:val="it-IT"/>
        </w:rPr>
        <w:t xml:space="preserve"> policy e portare l’economia su basi più sostenibili, </w:t>
      </w:r>
      <w:r w:rsidRPr="009A78A6">
        <w:rPr>
          <w:rFonts w:asciiTheme="minorHAnsi" w:hAnsiTheme="minorHAnsi" w:cstheme="minorHAnsi"/>
          <w:b/>
          <w:bCs/>
          <w:sz w:val="22"/>
          <w:szCs w:val="22"/>
          <w:lang w:val="it-IT"/>
        </w:rPr>
        <w:t>permangono rischi significativi</w:t>
      </w:r>
      <w:r w:rsidRPr="009A78A6">
        <w:rPr>
          <w:rFonts w:asciiTheme="minorHAnsi" w:hAnsiTheme="minorHAnsi" w:cstheme="minorHAnsi"/>
          <w:sz w:val="22"/>
          <w:szCs w:val="22"/>
          <w:lang w:val="it-IT"/>
        </w:rPr>
        <w:t xml:space="preserve">. Nel frattempo, i mercati si interrogheranno sulla longevità di questo impegno. </w:t>
      </w:r>
      <w:r w:rsidRPr="009A78A6">
        <w:rPr>
          <w:rFonts w:asciiTheme="minorHAnsi" w:hAnsiTheme="minorHAnsi" w:cstheme="minorHAnsi"/>
          <w:b/>
          <w:bCs/>
          <w:sz w:val="22"/>
          <w:szCs w:val="22"/>
          <w:lang w:val="it-IT"/>
        </w:rPr>
        <w:t>Dall’altra parte dell’Egeo, le prospettive sono le più rosee da oltre 15 anni.</w:t>
      </w:r>
    </w:p>
    <w:sectPr w:rsidR="00BC5B9E" w:rsidRPr="009A78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E99"/>
    <w:rsid w:val="001A0A37"/>
    <w:rsid w:val="001F1E0E"/>
    <w:rsid w:val="00212737"/>
    <w:rsid w:val="0025779E"/>
    <w:rsid w:val="00297912"/>
    <w:rsid w:val="002A1E13"/>
    <w:rsid w:val="004909A5"/>
    <w:rsid w:val="00517B69"/>
    <w:rsid w:val="00645A7C"/>
    <w:rsid w:val="00695AC7"/>
    <w:rsid w:val="006E49B2"/>
    <w:rsid w:val="00702049"/>
    <w:rsid w:val="00751705"/>
    <w:rsid w:val="00835BD6"/>
    <w:rsid w:val="008759AE"/>
    <w:rsid w:val="008978C3"/>
    <w:rsid w:val="00920D36"/>
    <w:rsid w:val="009A78A6"/>
    <w:rsid w:val="009F4F2C"/>
    <w:rsid w:val="00A764C9"/>
    <w:rsid w:val="00A96E99"/>
    <w:rsid w:val="00AC7FE3"/>
    <w:rsid w:val="00AD36FE"/>
    <w:rsid w:val="00BC4C71"/>
    <w:rsid w:val="00BC5B9E"/>
    <w:rsid w:val="00CC31BD"/>
    <w:rsid w:val="00E87726"/>
    <w:rsid w:val="00ED63B3"/>
    <w:rsid w:val="00F02C67"/>
    <w:rsid w:val="00F2121D"/>
    <w:rsid w:val="00F31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C710"/>
  <w15:chartTrackingRefBased/>
  <w15:docId w15:val="{1BDB0E77-63AA-6A4D-A218-C3E9AB4E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8759AE"/>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paragraph" w:styleId="Titolo2">
    <w:name w:val="heading 2"/>
    <w:basedOn w:val="Normale"/>
    <w:next w:val="Normale"/>
    <w:link w:val="Titolo2Carattere"/>
    <w:uiPriority w:val="9"/>
    <w:semiHidden/>
    <w:unhideWhenUsed/>
    <w:qFormat/>
    <w:rsid w:val="008759A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759AE"/>
    <w:rPr>
      <w:rFonts w:ascii="Times New Roman" w:eastAsia="Times New Roman" w:hAnsi="Times New Roman" w:cs="Times New Roman"/>
      <w:b/>
      <w:bCs/>
      <w:kern w:val="36"/>
      <w:sz w:val="48"/>
      <w:szCs w:val="48"/>
      <w:lang w:eastAsia="en-GB"/>
      <w14:ligatures w14:val="none"/>
    </w:rPr>
  </w:style>
  <w:style w:type="paragraph" w:customStyle="1" w:styleId="utilsstyledtypography-sc-1yp2xd1-0">
    <w:name w:val="utils__styledtypography-sc-1yp2xd1-0"/>
    <w:basedOn w:val="Normale"/>
    <w:rsid w:val="008759AE"/>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uthorstyledauthorname-sc-wzv1n4-6">
    <w:name w:val="authorstyled__authorname-sc-wzv1n4-6"/>
    <w:basedOn w:val="Carpredefinitoparagrafo"/>
    <w:rsid w:val="008759AE"/>
  </w:style>
  <w:style w:type="character" w:customStyle="1" w:styleId="Titolo2Carattere">
    <w:name w:val="Titolo 2 Carattere"/>
    <w:basedOn w:val="Carpredefinitoparagrafo"/>
    <w:link w:val="Titolo2"/>
    <w:uiPriority w:val="9"/>
    <w:semiHidden/>
    <w:rsid w:val="008759AE"/>
    <w:rPr>
      <w:rFonts w:asciiTheme="majorHAnsi" w:eastAsiaTheme="majorEastAsia" w:hAnsiTheme="majorHAnsi" w:cstheme="majorBidi"/>
      <w:color w:val="2F5496" w:themeColor="accent1" w:themeShade="BF"/>
      <w:sz w:val="26"/>
      <w:szCs w:val="26"/>
    </w:rPr>
  </w:style>
  <w:style w:type="paragraph" w:customStyle="1" w:styleId="typographyparagraph-sc-numijp-1">
    <w:name w:val="typography__paragraph-sc-numijp-1"/>
    <w:basedOn w:val="Normale"/>
    <w:rsid w:val="008759AE"/>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nfasigrassetto">
    <w:name w:val="Strong"/>
    <w:basedOn w:val="Carpredefinitoparagrafo"/>
    <w:uiPriority w:val="22"/>
    <w:qFormat/>
    <w:rsid w:val="008759AE"/>
    <w:rPr>
      <w:b/>
      <w:bCs/>
    </w:rPr>
  </w:style>
  <w:style w:type="character" w:styleId="Collegamentoipertestuale">
    <w:name w:val="Hyperlink"/>
    <w:basedOn w:val="Carpredefinitoparagrafo"/>
    <w:uiPriority w:val="99"/>
    <w:semiHidden/>
    <w:unhideWhenUsed/>
    <w:rsid w:val="008759AE"/>
    <w:rPr>
      <w:color w:val="0000FF"/>
      <w:u w:val="single"/>
    </w:rPr>
  </w:style>
  <w:style w:type="character" w:styleId="Enfasicorsivo">
    <w:name w:val="Emphasis"/>
    <w:basedOn w:val="Carpredefinitoparagrafo"/>
    <w:uiPriority w:val="20"/>
    <w:qFormat/>
    <w:rsid w:val="008759AE"/>
    <w:rPr>
      <w:i/>
      <w:iCs/>
    </w:rPr>
  </w:style>
  <w:style w:type="character" w:customStyle="1" w:styleId="typographybodycopy-sc-numijp-0">
    <w:name w:val="typography__bodycopy-sc-numijp-0"/>
    <w:basedOn w:val="Carpredefinitoparagrafo"/>
    <w:rsid w:val="008759AE"/>
  </w:style>
  <w:style w:type="paragraph" w:styleId="Revisione">
    <w:name w:val="Revision"/>
    <w:hidden/>
    <w:uiPriority w:val="99"/>
    <w:semiHidden/>
    <w:rsid w:val="00A764C9"/>
  </w:style>
  <w:style w:type="character" w:styleId="Rimandocommento">
    <w:name w:val="annotation reference"/>
    <w:basedOn w:val="Carpredefinitoparagrafo"/>
    <w:uiPriority w:val="99"/>
    <w:semiHidden/>
    <w:unhideWhenUsed/>
    <w:rsid w:val="00645A7C"/>
    <w:rPr>
      <w:sz w:val="16"/>
      <w:szCs w:val="16"/>
    </w:rPr>
  </w:style>
  <w:style w:type="paragraph" w:styleId="Testocommento">
    <w:name w:val="annotation text"/>
    <w:basedOn w:val="Normale"/>
    <w:link w:val="TestocommentoCarattere"/>
    <w:uiPriority w:val="99"/>
    <w:unhideWhenUsed/>
    <w:rsid w:val="00645A7C"/>
    <w:rPr>
      <w:sz w:val="20"/>
      <w:szCs w:val="20"/>
    </w:rPr>
  </w:style>
  <w:style w:type="character" w:customStyle="1" w:styleId="TestocommentoCarattere">
    <w:name w:val="Testo commento Carattere"/>
    <w:basedOn w:val="Carpredefinitoparagrafo"/>
    <w:link w:val="Testocommento"/>
    <w:uiPriority w:val="99"/>
    <w:rsid w:val="00645A7C"/>
    <w:rPr>
      <w:sz w:val="20"/>
      <w:szCs w:val="20"/>
    </w:rPr>
  </w:style>
  <w:style w:type="paragraph" w:styleId="Soggettocommento">
    <w:name w:val="annotation subject"/>
    <w:basedOn w:val="Testocommento"/>
    <w:next w:val="Testocommento"/>
    <w:link w:val="SoggettocommentoCarattere"/>
    <w:uiPriority w:val="99"/>
    <w:semiHidden/>
    <w:unhideWhenUsed/>
    <w:rsid w:val="00645A7C"/>
    <w:rPr>
      <w:b/>
      <w:bCs/>
    </w:rPr>
  </w:style>
  <w:style w:type="character" w:customStyle="1" w:styleId="SoggettocommentoCarattere">
    <w:name w:val="Soggetto commento Carattere"/>
    <w:basedOn w:val="TestocommentoCarattere"/>
    <w:link w:val="Soggettocommento"/>
    <w:uiPriority w:val="99"/>
    <w:semiHidden/>
    <w:rsid w:val="00645A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7909">
      <w:bodyDiv w:val="1"/>
      <w:marLeft w:val="0"/>
      <w:marRight w:val="0"/>
      <w:marTop w:val="0"/>
      <w:marBottom w:val="0"/>
      <w:divBdr>
        <w:top w:val="none" w:sz="0" w:space="0" w:color="auto"/>
        <w:left w:val="none" w:sz="0" w:space="0" w:color="auto"/>
        <w:bottom w:val="none" w:sz="0" w:space="0" w:color="auto"/>
        <w:right w:val="none" w:sz="0" w:space="0" w:color="auto"/>
      </w:divBdr>
    </w:div>
    <w:div w:id="813571689">
      <w:bodyDiv w:val="1"/>
      <w:marLeft w:val="0"/>
      <w:marRight w:val="0"/>
      <w:marTop w:val="0"/>
      <w:marBottom w:val="0"/>
      <w:divBdr>
        <w:top w:val="none" w:sz="0" w:space="0" w:color="auto"/>
        <w:left w:val="none" w:sz="0" w:space="0" w:color="auto"/>
        <w:bottom w:val="none" w:sz="0" w:space="0" w:color="auto"/>
        <w:right w:val="none" w:sz="0" w:space="0" w:color="auto"/>
      </w:divBdr>
    </w:div>
    <w:div w:id="965502495">
      <w:bodyDiv w:val="1"/>
      <w:marLeft w:val="0"/>
      <w:marRight w:val="0"/>
      <w:marTop w:val="0"/>
      <w:marBottom w:val="0"/>
      <w:divBdr>
        <w:top w:val="none" w:sz="0" w:space="0" w:color="auto"/>
        <w:left w:val="none" w:sz="0" w:space="0" w:color="auto"/>
        <w:bottom w:val="none" w:sz="0" w:space="0" w:color="auto"/>
        <w:right w:val="none" w:sz="0" w:space="0" w:color="auto"/>
      </w:divBdr>
      <w:divsChild>
        <w:div w:id="293602122">
          <w:marLeft w:val="0"/>
          <w:marRight w:val="0"/>
          <w:marTop w:val="0"/>
          <w:marBottom w:val="60"/>
          <w:divBdr>
            <w:top w:val="none" w:sz="0" w:space="0" w:color="auto"/>
            <w:left w:val="none" w:sz="0" w:space="0" w:color="auto"/>
            <w:bottom w:val="none" w:sz="0" w:space="0" w:color="auto"/>
            <w:right w:val="none" w:sz="0" w:space="0" w:color="auto"/>
          </w:divBdr>
        </w:div>
      </w:divsChild>
    </w:div>
    <w:div w:id="1150826119">
      <w:bodyDiv w:val="1"/>
      <w:marLeft w:val="0"/>
      <w:marRight w:val="0"/>
      <w:marTop w:val="0"/>
      <w:marBottom w:val="0"/>
      <w:divBdr>
        <w:top w:val="none" w:sz="0" w:space="0" w:color="auto"/>
        <w:left w:val="none" w:sz="0" w:space="0" w:color="auto"/>
        <w:bottom w:val="none" w:sz="0" w:space="0" w:color="auto"/>
        <w:right w:val="none" w:sz="0" w:space="0" w:color="auto"/>
      </w:divBdr>
    </w:div>
    <w:div w:id="1360349204">
      <w:bodyDiv w:val="1"/>
      <w:marLeft w:val="0"/>
      <w:marRight w:val="0"/>
      <w:marTop w:val="0"/>
      <w:marBottom w:val="0"/>
      <w:divBdr>
        <w:top w:val="none" w:sz="0" w:space="0" w:color="auto"/>
        <w:left w:val="none" w:sz="0" w:space="0" w:color="auto"/>
        <w:bottom w:val="none" w:sz="0" w:space="0" w:color="auto"/>
        <w:right w:val="none" w:sz="0" w:space="0" w:color="auto"/>
      </w:divBdr>
    </w:div>
    <w:div w:id="1574048567">
      <w:bodyDiv w:val="1"/>
      <w:marLeft w:val="0"/>
      <w:marRight w:val="0"/>
      <w:marTop w:val="0"/>
      <w:marBottom w:val="0"/>
      <w:divBdr>
        <w:top w:val="none" w:sz="0" w:space="0" w:color="auto"/>
        <w:left w:val="none" w:sz="0" w:space="0" w:color="auto"/>
        <w:bottom w:val="none" w:sz="0" w:space="0" w:color="auto"/>
        <w:right w:val="none" w:sz="0" w:space="0" w:color="auto"/>
      </w:divBdr>
      <w:divsChild>
        <w:div w:id="49380059">
          <w:marLeft w:val="0"/>
          <w:marRight w:val="0"/>
          <w:marTop w:val="0"/>
          <w:marBottom w:val="60"/>
          <w:divBdr>
            <w:top w:val="none" w:sz="0" w:space="0" w:color="auto"/>
            <w:left w:val="none" w:sz="0" w:space="0" w:color="auto"/>
            <w:bottom w:val="none" w:sz="0" w:space="0" w:color="auto"/>
            <w:right w:val="none" w:sz="0" w:space="0" w:color="auto"/>
          </w:divBdr>
        </w:div>
      </w:divsChild>
    </w:div>
    <w:div w:id="1607689915">
      <w:bodyDiv w:val="1"/>
      <w:marLeft w:val="0"/>
      <w:marRight w:val="0"/>
      <w:marTop w:val="0"/>
      <w:marBottom w:val="0"/>
      <w:divBdr>
        <w:top w:val="none" w:sz="0" w:space="0" w:color="auto"/>
        <w:left w:val="none" w:sz="0" w:space="0" w:color="auto"/>
        <w:bottom w:val="none" w:sz="0" w:space="0" w:color="auto"/>
        <w:right w:val="none" w:sz="0" w:space="0" w:color="auto"/>
      </w:divBdr>
      <w:divsChild>
        <w:div w:id="336737539">
          <w:marLeft w:val="0"/>
          <w:marRight w:val="0"/>
          <w:marTop w:val="0"/>
          <w:marBottom w:val="0"/>
          <w:divBdr>
            <w:top w:val="none" w:sz="0" w:space="0" w:color="auto"/>
            <w:left w:val="none" w:sz="0" w:space="0" w:color="auto"/>
            <w:bottom w:val="none" w:sz="0" w:space="0" w:color="auto"/>
            <w:right w:val="none" w:sz="0" w:space="0" w:color="auto"/>
          </w:divBdr>
          <w:divsChild>
            <w:div w:id="31345253">
              <w:marLeft w:val="0"/>
              <w:marRight w:val="0"/>
              <w:marTop w:val="0"/>
              <w:marBottom w:val="0"/>
              <w:divBdr>
                <w:top w:val="none" w:sz="0" w:space="0" w:color="auto"/>
                <w:left w:val="none" w:sz="0" w:space="0" w:color="auto"/>
                <w:bottom w:val="none" w:sz="0" w:space="0" w:color="auto"/>
                <w:right w:val="none" w:sz="0" w:space="0" w:color="auto"/>
              </w:divBdr>
            </w:div>
          </w:divsChild>
        </w:div>
        <w:div w:id="1436902373">
          <w:marLeft w:val="-180"/>
          <w:marRight w:val="-180"/>
          <w:marTop w:val="0"/>
          <w:marBottom w:val="0"/>
          <w:divBdr>
            <w:top w:val="none" w:sz="0" w:space="0" w:color="auto"/>
            <w:left w:val="none" w:sz="0" w:space="0" w:color="auto"/>
            <w:bottom w:val="none" w:sz="0" w:space="0" w:color="auto"/>
            <w:right w:val="none" w:sz="0" w:space="0" w:color="auto"/>
          </w:divBdr>
          <w:divsChild>
            <w:div w:id="895354002">
              <w:marLeft w:val="0"/>
              <w:marRight w:val="0"/>
              <w:marTop w:val="0"/>
              <w:marBottom w:val="0"/>
              <w:divBdr>
                <w:top w:val="none" w:sz="0" w:space="0" w:color="auto"/>
                <w:left w:val="none" w:sz="0" w:space="0" w:color="auto"/>
                <w:bottom w:val="none" w:sz="0" w:space="0" w:color="auto"/>
                <w:right w:val="none" w:sz="0" w:space="0" w:color="auto"/>
              </w:divBdr>
              <w:divsChild>
                <w:div w:id="1606764006">
                  <w:marLeft w:val="-180"/>
                  <w:marRight w:val="-180"/>
                  <w:marTop w:val="0"/>
                  <w:marBottom w:val="0"/>
                  <w:divBdr>
                    <w:top w:val="none" w:sz="0" w:space="0" w:color="auto"/>
                    <w:left w:val="none" w:sz="0" w:space="0" w:color="auto"/>
                    <w:bottom w:val="none" w:sz="0" w:space="0" w:color="auto"/>
                    <w:right w:val="none" w:sz="0" w:space="0" w:color="auto"/>
                  </w:divBdr>
                  <w:divsChild>
                    <w:div w:id="109158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808424">
      <w:bodyDiv w:val="1"/>
      <w:marLeft w:val="0"/>
      <w:marRight w:val="0"/>
      <w:marTop w:val="0"/>
      <w:marBottom w:val="0"/>
      <w:divBdr>
        <w:top w:val="none" w:sz="0" w:space="0" w:color="auto"/>
        <w:left w:val="none" w:sz="0" w:space="0" w:color="auto"/>
        <w:bottom w:val="none" w:sz="0" w:space="0" w:color="auto"/>
        <w:right w:val="none" w:sz="0" w:space="0" w:color="auto"/>
      </w:divBdr>
      <w:divsChild>
        <w:div w:id="917597905">
          <w:marLeft w:val="-180"/>
          <w:marRight w:val="-180"/>
          <w:marTop w:val="0"/>
          <w:marBottom w:val="0"/>
          <w:divBdr>
            <w:top w:val="none" w:sz="0" w:space="0" w:color="auto"/>
            <w:left w:val="none" w:sz="0" w:space="0" w:color="auto"/>
            <w:bottom w:val="none" w:sz="0" w:space="0" w:color="auto"/>
            <w:right w:val="none" w:sz="0" w:space="0" w:color="auto"/>
          </w:divBdr>
          <w:divsChild>
            <w:div w:id="625165311">
              <w:marLeft w:val="0"/>
              <w:marRight w:val="0"/>
              <w:marTop w:val="0"/>
              <w:marBottom w:val="0"/>
              <w:divBdr>
                <w:top w:val="none" w:sz="0" w:space="0" w:color="auto"/>
                <w:left w:val="none" w:sz="0" w:space="0" w:color="auto"/>
                <w:bottom w:val="none" w:sz="0" w:space="0" w:color="auto"/>
                <w:right w:val="none" w:sz="0" w:space="0" w:color="auto"/>
              </w:divBdr>
            </w:div>
          </w:divsChild>
        </w:div>
        <w:div w:id="2084646347">
          <w:marLeft w:val="-180"/>
          <w:marRight w:val="-1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1050</Words>
  <Characters>5985</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Sarah Tuggey</dc:creator>
  <cp:keywords/>
  <dc:description/>
  <cp:lastModifiedBy>Denise Bosotti</cp:lastModifiedBy>
  <cp:revision>24</cp:revision>
  <dcterms:created xsi:type="dcterms:W3CDTF">2023-06-27T07:41:00Z</dcterms:created>
  <dcterms:modified xsi:type="dcterms:W3CDTF">2023-07-03T10:29:00Z</dcterms:modified>
</cp:coreProperties>
</file>