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3C5" w14:textId="26158896" w:rsidR="00BF59A0" w:rsidRPr="0043604D" w:rsidRDefault="00BF59A0" w:rsidP="00BF59A0">
      <w:pPr>
        <w:jc w:val="both"/>
        <w:rPr>
          <w:b/>
          <w:bCs/>
          <w:sz w:val="24"/>
          <w:szCs w:val="24"/>
        </w:rPr>
      </w:pPr>
      <w:r w:rsidRPr="0043604D">
        <w:rPr>
          <w:b/>
          <w:bCs/>
          <w:sz w:val="24"/>
          <w:szCs w:val="24"/>
        </w:rPr>
        <w:t>AMCHOR IS</w:t>
      </w:r>
      <w:r w:rsidR="00164CDB" w:rsidRPr="0043604D">
        <w:rPr>
          <w:b/>
          <w:bCs/>
          <w:sz w:val="24"/>
          <w:szCs w:val="24"/>
        </w:rPr>
        <w:t xml:space="preserve"> - </w:t>
      </w:r>
      <w:r w:rsidR="002A198D">
        <w:rPr>
          <w:b/>
          <w:bCs/>
          <w:sz w:val="24"/>
          <w:szCs w:val="24"/>
        </w:rPr>
        <w:t>S</w:t>
      </w:r>
      <w:r w:rsidR="0043604D" w:rsidRPr="003B5868">
        <w:rPr>
          <w:b/>
          <w:bCs/>
          <w:sz w:val="24"/>
          <w:szCs w:val="24"/>
        </w:rPr>
        <w:t>e</w:t>
      </w:r>
      <w:r w:rsidR="0043604D">
        <w:rPr>
          <w:b/>
          <w:bCs/>
          <w:sz w:val="24"/>
          <w:szCs w:val="24"/>
        </w:rPr>
        <w:t>gnali incoraggianti, in attesa della pausa delle banche centrali</w:t>
      </w:r>
    </w:p>
    <w:p w14:paraId="287C5C83" w14:textId="77777777" w:rsidR="00BF59A0" w:rsidRPr="003B5868" w:rsidRDefault="00BF59A0" w:rsidP="00BF59A0">
      <w:pPr>
        <w:jc w:val="both"/>
        <w:rPr>
          <w:color w:val="002E67"/>
          <w:sz w:val="20"/>
          <w:szCs w:val="20"/>
        </w:rPr>
      </w:pPr>
      <w:r w:rsidRPr="003B5868">
        <w:t xml:space="preserve">A cura di </w:t>
      </w:r>
      <w:r w:rsidRPr="003B5868">
        <w:rPr>
          <w:b/>
          <w:bCs/>
        </w:rPr>
        <w:t>Alvaro Sanmartin, Chief Economist, Amchor IS</w:t>
      </w:r>
    </w:p>
    <w:p w14:paraId="55C3145D" w14:textId="77F66EB9" w:rsidR="00376A3A" w:rsidRDefault="0053072A">
      <w:r w:rsidRPr="0053072A">
        <w:t>L'</w:t>
      </w:r>
      <w:r w:rsidRPr="0035079B">
        <w:rPr>
          <w:b/>
          <w:bCs/>
        </w:rPr>
        <w:t>economia statunitense</w:t>
      </w:r>
      <w:r w:rsidRPr="0053072A">
        <w:t xml:space="preserve"> continua a mostrare segni di tenuta, confermando che </w:t>
      </w:r>
      <w:r w:rsidRPr="0035079B">
        <w:rPr>
          <w:b/>
          <w:bCs/>
        </w:rPr>
        <w:t>i rischi di recessione per il resto dell'anno sono piuttosto bassi</w:t>
      </w:r>
      <w:r w:rsidRPr="0053072A">
        <w:t xml:space="preserve">. Allo stesso tempo, sembra che </w:t>
      </w:r>
      <w:r w:rsidRPr="0035079B">
        <w:rPr>
          <w:b/>
          <w:bCs/>
        </w:rPr>
        <w:t>la politica monetaria moderatamente restrittiva della Fed stia iniziando a correggere il forte eccesso di domanda</w:t>
      </w:r>
      <w:r w:rsidRPr="0053072A">
        <w:t xml:space="preserve"> generato dalla pandemia. Sul fronte dei prezzi sottostanti, continuano i segnali di (graduale) moderazione, grazie ai rialzi dei tassi di interesse e anche perché le aspettative di inflazione rimangono ben ancorate. Pertanto, il nostro scenario centrale per gli Stati Uniti rimane invariato: crescita economica moderata</w:t>
      </w:r>
      <w:r w:rsidR="004614D2">
        <w:t>,</w:t>
      </w:r>
      <w:r w:rsidRPr="0053072A">
        <w:t xml:space="preserve"> ma positiva per il resto dell'anno; progressivo controllo dell'inflazione; </w:t>
      </w:r>
      <w:r w:rsidRPr="0035079B">
        <w:rPr>
          <w:b/>
          <w:bCs/>
        </w:rPr>
        <w:t>ulteriori rialzi dei tassi a luglio, seguiti da una pausa prolungata</w:t>
      </w:r>
      <w:r w:rsidRPr="0053072A">
        <w:t>.</w:t>
      </w:r>
    </w:p>
    <w:p w14:paraId="7C80E5A8" w14:textId="5932AC33" w:rsidR="0053072A" w:rsidRDefault="0053072A">
      <w:r w:rsidRPr="0053072A">
        <w:t xml:space="preserve">Nel caso dell'Eurozona, riteniamo che la debolezza recentemente evidenziata da alcuni dati macro sarà temporanea. In particolare, il nostro scenario centrale </w:t>
      </w:r>
      <w:r w:rsidRPr="0035079B">
        <w:rPr>
          <w:b/>
          <w:bCs/>
        </w:rPr>
        <w:t>per l'Eurozona continua a indicare una crescita positiva nei prossimi trimestri</w:t>
      </w:r>
      <w:r w:rsidRPr="0053072A">
        <w:t xml:space="preserve">, con il settore del turismo che gode di prospettive molto favorevoli e con la domanda aggregata che continua a beneficiare di significativi venti </w:t>
      </w:r>
      <w:r w:rsidR="0035079B">
        <w:t xml:space="preserve">favorevoli: </w:t>
      </w:r>
      <w:r w:rsidRPr="0053072A">
        <w:t xml:space="preserve">politica fiscale espansiva, calo dei prezzi delle materie prime importate, aumento dei salari, disoccupazione ai minimi storici, buona posizione </w:t>
      </w:r>
      <w:r w:rsidR="00F631F2">
        <w:t xml:space="preserve">in termini </w:t>
      </w:r>
      <w:r w:rsidRPr="0053072A">
        <w:t>di bilancio di famiglie e imprese.</w:t>
      </w:r>
    </w:p>
    <w:p w14:paraId="64BED620" w14:textId="2408E567" w:rsidR="0053072A" w:rsidRDefault="0053072A">
      <w:r w:rsidRPr="0053072A">
        <w:t xml:space="preserve">Per quanto riguarda la </w:t>
      </w:r>
      <w:r w:rsidRPr="00F631F2">
        <w:rPr>
          <w:b/>
          <w:bCs/>
        </w:rPr>
        <w:t>politica monetaria della B</w:t>
      </w:r>
      <w:r w:rsidR="00F631F2" w:rsidRPr="00F631F2">
        <w:rPr>
          <w:b/>
          <w:bCs/>
        </w:rPr>
        <w:t>ce</w:t>
      </w:r>
      <w:r w:rsidRPr="0053072A">
        <w:t xml:space="preserve">, analogamente a quanto detto per la Fed, ci aspettiamo un </w:t>
      </w:r>
      <w:r w:rsidRPr="00F631F2">
        <w:rPr>
          <w:b/>
          <w:bCs/>
        </w:rPr>
        <w:t>ulteriore rialzo dei tassi a luglio, una pausa prolungata dopo settembre</w:t>
      </w:r>
      <w:r w:rsidRPr="0053072A">
        <w:t xml:space="preserve"> e un appiattimento della curva dei rendimenti dovuto a un movimento verso l'alto nella parte centrale e lunga della curva. </w:t>
      </w:r>
    </w:p>
    <w:p w14:paraId="5AC80A44" w14:textId="5A57B4A7" w:rsidR="0053072A" w:rsidRDefault="00F631F2">
      <w:r w:rsidRPr="00F631F2">
        <w:rPr>
          <w:b/>
          <w:bCs/>
        </w:rPr>
        <w:t>Continuiamo</w:t>
      </w:r>
      <w:r w:rsidR="0053072A" w:rsidRPr="00F631F2">
        <w:rPr>
          <w:b/>
          <w:bCs/>
        </w:rPr>
        <w:t xml:space="preserve"> a essere molto vigili sulla possibilità che l'inflazione impieghi troppo tempo a scendere</w:t>
      </w:r>
      <w:r w:rsidR="0053072A" w:rsidRPr="0053072A">
        <w:t>, con ciò che potrebbe significare in termini di disancoraggio delle aspettative sui prezzi, ulteriori rialzi dei tassi di interesse e una possibile recessione economica nel 2024.</w:t>
      </w:r>
    </w:p>
    <w:p w14:paraId="3CA865AB" w14:textId="045FB933" w:rsidR="0053072A" w:rsidRPr="00F631F2" w:rsidRDefault="00F631F2" w:rsidP="00F631F2">
      <w:pPr>
        <w:rPr>
          <w:b/>
          <w:bCs/>
        </w:rPr>
      </w:pPr>
      <w:r>
        <w:t>Tornando al</w:t>
      </w:r>
      <w:r w:rsidR="0053072A" w:rsidRPr="0053072A">
        <w:t xml:space="preserve">l'economia statunitense </w:t>
      </w:r>
      <w:r>
        <w:t>C</w:t>
      </w:r>
      <w:r w:rsidR="0053072A">
        <w:t xml:space="preserve">osa sta succedendo al </w:t>
      </w:r>
      <w:r w:rsidR="0053072A" w:rsidRPr="00F631F2">
        <w:rPr>
          <w:b/>
          <w:bCs/>
        </w:rPr>
        <w:t>settore manifatturiero</w:t>
      </w:r>
      <w:r w:rsidR="0053072A">
        <w:t xml:space="preserve">? </w:t>
      </w:r>
      <w:r>
        <w:t>N</w:t>
      </w:r>
      <w:r w:rsidR="0053072A">
        <w:t>el</w:t>
      </w:r>
      <w:r>
        <w:t>l’analizzare</w:t>
      </w:r>
      <w:r w:rsidR="0053072A">
        <w:t xml:space="preserve"> i recenti sviluppi del settore manifatturiero negli Stati Uniti (e altrove), occorre tenere presente che </w:t>
      </w:r>
      <w:r w:rsidR="0053072A" w:rsidRPr="00F631F2">
        <w:rPr>
          <w:b/>
          <w:bCs/>
        </w:rPr>
        <w:t>la performance dell'industria è stata fortemente influenzata al rialzo nel periodo immediatamente successivo alla pandemia</w:t>
      </w:r>
      <w:r w:rsidR="0053072A">
        <w:t xml:space="preserve">, per due motivi. </w:t>
      </w:r>
      <w:r w:rsidR="0053072A" w:rsidRPr="0053072A">
        <w:t xml:space="preserve">Da un lato, perché la </w:t>
      </w:r>
      <w:r w:rsidR="0053072A" w:rsidRPr="00F631F2">
        <w:rPr>
          <w:b/>
          <w:bCs/>
        </w:rPr>
        <w:t>domanda aggregata si è inizialmente spostata verso i beni</w:t>
      </w:r>
      <w:r w:rsidR="0053072A" w:rsidRPr="0053072A">
        <w:t xml:space="preserve"> a scapito dei servizi, che hanno impiegato più tempo a normalizzarsi. Dall'altro, perché </w:t>
      </w:r>
      <w:r w:rsidR="0053072A" w:rsidRPr="00F631F2">
        <w:rPr>
          <w:b/>
          <w:bCs/>
        </w:rPr>
        <w:t>le imprese</w:t>
      </w:r>
      <w:r w:rsidR="0053072A" w:rsidRPr="0053072A">
        <w:t xml:space="preserve"> industriali, temendo all'epoca una carenza di forniture, </w:t>
      </w:r>
      <w:r w:rsidR="0053072A" w:rsidRPr="00F631F2">
        <w:rPr>
          <w:b/>
          <w:bCs/>
        </w:rPr>
        <w:t>hanno esagerato i livelli degli ordini per accumulare scorte "cuscinetto"</w:t>
      </w:r>
      <w:r w:rsidR="0053072A" w:rsidRPr="0053072A">
        <w:t xml:space="preserve">. </w:t>
      </w:r>
      <w:r w:rsidR="0053072A" w:rsidRPr="00F631F2">
        <w:rPr>
          <w:b/>
          <w:bCs/>
        </w:rPr>
        <w:t>In questo contesto,</w:t>
      </w:r>
      <w:r w:rsidR="0053072A" w:rsidRPr="00F631F2">
        <w:t xml:space="preserve"> riteniamo possibile che</w:t>
      </w:r>
      <w:r w:rsidR="0053072A" w:rsidRPr="00F631F2">
        <w:rPr>
          <w:b/>
          <w:bCs/>
        </w:rPr>
        <w:t xml:space="preserve"> l'attuale debolezza del settore industriale in molti paesi sia più il riflesso di una normalizzazione degli eccessi del passato che un indicatore anticipatore di recessione.</w:t>
      </w:r>
    </w:p>
    <w:p w14:paraId="1064DA56" w14:textId="19913CB7" w:rsidR="0053072A" w:rsidRDefault="0053072A" w:rsidP="0053072A">
      <w:r w:rsidRPr="0053072A">
        <w:t xml:space="preserve">Per il resto, </w:t>
      </w:r>
      <w:r w:rsidRPr="00F631F2">
        <w:rPr>
          <w:b/>
          <w:bCs/>
        </w:rPr>
        <w:t>negli Stati Uniti le aspettative di inflazione a medio termine rimangono ben ancorate, mentre quelle a breve termine hanno subito una flessione verso il basso</w:t>
      </w:r>
      <w:r w:rsidRPr="0053072A">
        <w:t>.</w:t>
      </w:r>
      <w:r w:rsidR="00F631F2">
        <w:t xml:space="preserve"> </w:t>
      </w:r>
      <w:r w:rsidRPr="0053072A">
        <w:t>Progressivamente, queste aspettative di prezzo ben ancorate e una domanda aggregata un po' più moderata stanno permettendo all'inflazione di fondo di iniziare a muoversi nella giusta direzione.</w:t>
      </w:r>
      <w:r w:rsidR="00F631F2">
        <w:t xml:space="preserve"> </w:t>
      </w:r>
      <w:r w:rsidRPr="0053072A">
        <w:t xml:space="preserve">A loro volta, un'attività economica resistente ma moderata, aspettative d'inflazione ben ancorate e un'inflazione di fondo che inizia a flettere verso il basso </w:t>
      </w:r>
      <w:r w:rsidRPr="00F631F2">
        <w:rPr>
          <w:b/>
          <w:bCs/>
        </w:rPr>
        <w:t>aprono la strada a una sospensione dei rialzi dei tassi da parte della Fed dopo la riunione di luglio e a una successiva lunga pausa</w:t>
      </w:r>
      <w:r w:rsidR="00F631F2">
        <w:t>.</w:t>
      </w:r>
      <w:r w:rsidRPr="0053072A">
        <w:t xml:space="preserve"> </w:t>
      </w:r>
      <w:r w:rsidR="00F631F2">
        <w:t xml:space="preserve">A </w:t>
      </w:r>
      <w:r w:rsidRPr="0053072A">
        <w:t xml:space="preserve">nostro avviso, </w:t>
      </w:r>
      <w:r w:rsidRPr="00F631F2">
        <w:rPr>
          <w:b/>
          <w:bCs/>
        </w:rPr>
        <w:t>perché la Fed inizi a ridurre i tassi, dovranno esserci segnali simultanei di debolezza significativa sia nell'attività che nei prezzi, cosa che riteniamo improbabile nei prossimi trimestri</w:t>
      </w:r>
      <w:r w:rsidRPr="0053072A">
        <w:t>.</w:t>
      </w:r>
    </w:p>
    <w:p w14:paraId="5514F3AB" w14:textId="27630432" w:rsidR="0053072A" w:rsidRDefault="0053072A" w:rsidP="0053072A">
      <w:r w:rsidRPr="00F631F2">
        <w:rPr>
          <w:b/>
          <w:bCs/>
        </w:rPr>
        <w:t>Nell'Eurozona, nonostante la debolezza mostrata da alcuni dati nell'ultimo periodo, riteniamo che alla fine prevarrà uno scenario macro simile a quello degli Stati Uniti</w:t>
      </w:r>
      <w:r w:rsidRPr="0053072A">
        <w:t xml:space="preserve">. In particolare, riteniamo che i buoni fondamentali della domanda aggregata menzionati in precedenza porteranno a una crescita positiva per il resto dell'anno, con </w:t>
      </w:r>
      <w:r w:rsidRPr="003B5868">
        <w:rPr>
          <w:b/>
          <w:bCs/>
        </w:rPr>
        <w:t>una disoccupazione che rimarrà vicina ai minimi storici</w:t>
      </w:r>
      <w:r w:rsidRPr="0053072A">
        <w:t>.</w:t>
      </w:r>
    </w:p>
    <w:p w14:paraId="76063FF5" w14:textId="73D2E9C8" w:rsidR="0053072A" w:rsidRDefault="0053072A" w:rsidP="0053072A">
      <w:r w:rsidRPr="008D6AEC">
        <w:rPr>
          <w:b/>
          <w:bCs/>
        </w:rPr>
        <w:lastRenderedPageBreak/>
        <w:t>Riteniamo inoltre che l'inflazione di fondo inizierà presto a mostrare segni di moderazione</w:t>
      </w:r>
      <w:r>
        <w:t>, grazie alla politica monetaria della B</w:t>
      </w:r>
      <w:r w:rsidR="008D6AEC">
        <w:t>ce</w:t>
      </w:r>
      <w:r>
        <w:t xml:space="preserve"> e al fatto che le aspettative sui prezzi sono ben ancorate anche nel nostro continente.</w:t>
      </w:r>
      <w:r w:rsidR="008D6AEC">
        <w:t xml:space="preserve"> </w:t>
      </w:r>
      <w:r>
        <w:t xml:space="preserve">Questo, a sua volta, potrebbe consentire alla </w:t>
      </w:r>
      <w:r w:rsidRPr="008D6AEC">
        <w:rPr>
          <w:b/>
          <w:bCs/>
        </w:rPr>
        <w:t>B</w:t>
      </w:r>
      <w:r w:rsidR="008D6AEC" w:rsidRPr="008D6AEC">
        <w:rPr>
          <w:b/>
          <w:bCs/>
        </w:rPr>
        <w:t>ce</w:t>
      </w:r>
      <w:r w:rsidRPr="008D6AEC">
        <w:rPr>
          <w:b/>
          <w:bCs/>
        </w:rPr>
        <w:t xml:space="preserve"> di alzare i tassi un'ultima volta a luglio, per poi iniziare una lunga pausa dopo la riunione di settembre</w:t>
      </w:r>
      <w:r>
        <w:t>.</w:t>
      </w:r>
    </w:p>
    <w:p w14:paraId="12192237" w14:textId="257FC9A0" w:rsidR="008D6AEC" w:rsidRPr="008D6AEC" w:rsidRDefault="008D6AEC" w:rsidP="0053072A">
      <w:pPr>
        <w:rPr>
          <w:u w:val="single"/>
        </w:rPr>
      </w:pPr>
      <w:r w:rsidRPr="008D6AEC">
        <w:rPr>
          <w:u w:val="single"/>
        </w:rPr>
        <w:t>Oltre Stati Uniti ed Europa</w:t>
      </w:r>
    </w:p>
    <w:p w14:paraId="4F71481D" w14:textId="5574B27B" w:rsidR="0053072A" w:rsidRDefault="0053072A" w:rsidP="0053072A">
      <w:r w:rsidRPr="0053072A">
        <w:t xml:space="preserve">In Cina, i rischi geopolitici stanno portando, a nostro avviso, a una valutazione eccessivamente negativa della situazione macroeconomica del Paese. A questo proposito, continuiamo a ritenere che la </w:t>
      </w:r>
      <w:r w:rsidRPr="00ED25F4">
        <w:rPr>
          <w:b/>
          <w:bCs/>
        </w:rPr>
        <w:t>crescita economica cinese si attesterà</w:t>
      </w:r>
      <w:r w:rsidRPr="0053072A">
        <w:t xml:space="preserve"> molto probabilmente intorno o </w:t>
      </w:r>
      <w:r w:rsidRPr="00ED25F4">
        <w:rPr>
          <w:b/>
          <w:bCs/>
        </w:rPr>
        <w:t>addirittura sopra il 5,5% quest'anno</w:t>
      </w:r>
      <w:r w:rsidRPr="0053072A">
        <w:t>, con un settore dei servizi dalle prospettive favorevoli e un settore immobiliare che non crediamo possa destare grandi preoccupazioni.</w:t>
      </w:r>
    </w:p>
    <w:p w14:paraId="4709CCCB" w14:textId="506B78A1" w:rsidR="0053072A" w:rsidRDefault="0053072A" w:rsidP="0053072A">
      <w:r w:rsidRPr="0053072A">
        <w:t xml:space="preserve">Allo stesso tempo, </w:t>
      </w:r>
      <w:r w:rsidRPr="00ED25F4">
        <w:rPr>
          <w:b/>
          <w:bCs/>
        </w:rPr>
        <w:t>rimaniamo positivi sull'Asia emergente</w:t>
      </w:r>
      <w:r w:rsidRPr="0053072A">
        <w:t xml:space="preserve"> nel suo complesso </w:t>
      </w:r>
      <w:r w:rsidR="008D6AEC">
        <w:t xml:space="preserve">grazie a </w:t>
      </w:r>
      <w:r w:rsidRPr="0053072A">
        <w:t xml:space="preserve">crescita in linea con il potenziale nel 2023, inflazione in calo, bassi deficit pubblici, buon equilibrio delle partite correnti. </w:t>
      </w:r>
      <w:r w:rsidR="008D6AEC">
        <w:t>V</w:t>
      </w:r>
      <w:r w:rsidRPr="0053072A">
        <w:t xml:space="preserve">ediamo anche </w:t>
      </w:r>
      <w:r w:rsidRPr="00ED25F4">
        <w:rPr>
          <w:b/>
          <w:bCs/>
        </w:rPr>
        <w:t>segnali incoraggianti in alcune economie dell'America Latina come Messico e Brasile</w:t>
      </w:r>
      <w:r w:rsidRPr="0053072A">
        <w:t>.</w:t>
      </w:r>
    </w:p>
    <w:p w14:paraId="441D29DF" w14:textId="00013200" w:rsidR="0053072A" w:rsidRDefault="0053072A" w:rsidP="0053072A">
      <w:r w:rsidRPr="0053072A">
        <w:t xml:space="preserve">Per quanto riguarda il Giappone, </w:t>
      </w:r>
      <w:r w:rsidRPr="00ED25F4">
        <w:rPr>
          <w:b/>
          <w:bCs/>
        </w:rPr>
        <w:t>gode ancora di un'apprezzabile spinta propulsiva "post-pandemia"</w:t>
      </w:r>
      <w:r w:rsidRPr="0053072A">
        <w:t xml:space="preserve">. e di </w:t>
      </w:r>
      <w:r w:rsidRPr="00ED25F4">
        <w:rPr>
          <w:b/>
          <w:bCs/>
        </w:rPr>
        <w:t>politiche monetarie e fiscali chiaramente espansive</w:t>
      </w:r>
      <w:r w:rsidRPr="0053072A">
        <w:t xml:space="preserve">. </w:t>
      </w:r>
      <w:r w:rsidR="00ED25F4">
        <w:t>P</w:t>
      </w:r>
      <w:r w:rsidRPr="0053072A">
        <w:t xml:space="preserve">er i prossimi trimestri </w:t>
      </w:r>
      <w:r w:rsidR="00ED25F4">
        <w:t>prevediamo che</w:t>
      </w:r>
      <w:r w:rsidRPr="0053072A">
        <w:t xml:space="preserve"> la </w:t>
      </w:r>
      <w:r w:rsidRPr="00ED25F4">
        <w:rPr>
          <w:b/>
          <w:bCs/>
        </w:rPr>
        <w:t>crescita economica tenderà ad essere superiore al potenziale</w:t>
      </w:r>
      <w:r w:rsidRPr="0053072A">
        <w:t xml:space="preserve">, con un output gap sempre più positivo. In secondo luogo, </w:t>
      </w:r>
      <w:r w:rsidR="00ED25F4">
        <w:t xml:space="preserve">prevediamo </w:t>
      </w:r>
      <w:r w:rsidRPr="0053072A">
        <w:t xml:space="preserve">un </w:t>
      </w:r>
      <w:r w:rsidRPr="00ED25F4">
        <w:rPr>
          <w:b/>
          <w:bCs/>
        </w:rPr>
        <w:t xml:space="preserve">comportamento sufficientemente dinamico sia dei prezzi sottostanti </w:t>
      </w:r>
      <w:r w:rsidR="00CF70D5">
        <w:rPr>
          <w:b/>
          <w:bCs/>
        </w:rPr>
        <w:t>sia</w:t>
      </w:r>
      <w:r w:rsidR="00CF70D5" w:rsidRPr="00ED25F4">
        <w:rPr>
          <w:b/>
          <w:bCs/>
        </w:rPr>
        <w:t xml:space="preserve"> </w:t>
      </w:r>
      <w:r w:rsidRPr="00ED25F4">
        <w:rPr>
          <w:b/>
          <w:bCs/>
        </w:rPr>
        <w:t>dei salari</w:t>
      </w:r>
      <w:r w:rsidRPr="0053072A">
        <w:t xml:space="preserve">. A loro volta, entrambe le cose apriranno la </w:t>
      </w:r>
      <w:r w:rsidR="00ED25F4">
        <w:t>strada</w:t>
      </w:r>
      <w:r w:rsidR="00ED25F4" w:rsidRPr="0053072A">
        <w:t xml:space="preserve"> </w:t>
      </w:r>
      <w:r w:rsidRPr="0053072A">
        <w:t>a un nuovo allentamento della politica di controllo delle curve da parte della B</w:t>
      </w:r>
      <w:r w:rsidR="00ED25F4">
        <w:t>o</w:t>
      </w:r>
      <w:r w:rsidRPr="0053072A">
        <w:t>J, forse già a luglio o, in caso contrario, entro la fine dell'anno.</w:t>
      </w:r>
    </w:p>
    <w:p w14:paraId="7350494F" w14:textId="48E7EBC9" w:rsidR="0053072A" w:rsidRDefault="00ED25F4" w:rsidP="0053072A">
      <w:r w:rsidRPr="00ED25F4">
        <w:rPr>
          <w:u w:val="single"/>
        </w:rPr>
        <w:t>Market view</w:t>
      </w:r>
    </w:p>
    <w:p w14:paraId="69AB8246" w14:textId="6EDF6A8C" w:rsidR="0053072A" w:rsidRDefault="0053072A" w:rsidP="0053072A">
      <w:r w:rsidRPr="00ED25F4">
        <w:rPr>
          <w:b/>
          <w:bCs/>
        </w:rPr>
        <w:t>Titoli di Stato</w:t>
      </w:r>
      <w:r>
        <w:t xml:space="preserve">: i tassi d'interesse rimarranno relativamente alti più a lungo di quanto attualmente previsto dai mercati. </w:t>
      </w:r>
      <w:r w:rsidR="00ED25F4">
        <w:t>N</w:t>
      </w:r>
      <w:r>
        <w:t xml:space="preserve">on escludiamo che nei prossimi trimestri si possa assistere a un </w:t>
      </w:r>
      <w:r w:rsidRPr="00ED25F4">
        <w:rPr>
          <w:b/>
          <w:bCs/>
        </w:rPr>
        <w:t xml:space="preserve">graduale appiattimento delle curve dei rendimenti sia negli Stati Uniti </w:t>
      </w:r>
      <w:r w:rsidR="00ED25F4">
        <w:rPr>
          <w:b/>
          <w:bCs/>
        </w:rPr>
        <w:t>sia</w:t>
      </w:r>
      <w:r w:rsidRPr="00ED25F4">
        <w:rPr>
          <w:b/>
          <w:bCs/>
        </w:rPr>
        <w:t xml:space="preserve"> in Europa</w:t>
      </w:r>
      <w:r>
        <w:t>, con la parte breve della curva che rimarrà vicina ai livelli di chiusura di giugno e la parte media e lunga della curva che si sposterà leggermente verso l'alto. Continuiamo a vedere chiari rischi di rialzo per la curva dei rendimenti giapponese.</w:t>
      </w:r>
    </w:p>
    <w:p w14:paraId="3855ECFB" w14:textId="18C15F44" w:rsidR="0053072A" w:rsidRDefault="0053072A" w:rsidP="0053072A">
      <w:r w:rsidRPr="00ED25F4">
        <w:rPr>
          <w:b/>
          <w:bCs/>
        </w:rPr>
        <w:t>Azioni</w:t>
      </w:r>
      <w:r w:rsidRPr="0053072A">
        <w:t xml:space="preserve">: vista la buona tenuta macro negli Stati Uniti e in Europa e considerando che non escludiamo ulteriori spostamenti verso l'alto delle curve dei rendimenti nei prossimi trimestri, riteniamo che </w:t>
      </w:r>
      <w:r w:rsidRPr="00ED25F4">
        <w:rPr>
          <w:b/>
          <w:bCs/>
        </w:rPr>
        <w:t>il segmento value/ciclico del mercato</w:t>
      </w:r>
      <w:r w:rsidR="00ED25F4" w:rsidRPr="00ED25F4">
        <w:rPr>
          <w:b/>
          <w:bCs/>
        </w:rPr>
        <w:t xml:space="preserve">, </w:t>
      </w:r>
      <w:r w:rsidRPr="00ED25F4">
        <w:rPr>
          <w:b/>
          <w:bCs/>
        </w:rPr>
        <w:t>comprese le banche europee</w:t>
      </w:r>
      <w:r w:rsidR="00ED25F4" w:rsidRPr="00ED25F4">
        <w:rPr>
          <w:b/>
          <w:bCs/>
        </w:rPr>
        <w:t>,</w:t>
      </w:r>
      <w:r w:rsidRPr="00ED25F4">
        <w:rPr>
          <w:b/>
          <w:bCs/>
        </w:rPr>
        <w:t xml:space="preserve"> dovrebbe fare meglio di quello growth/difensivo</w:t>
      </w:r>
      <w:r w:rsidRPr="0053072A">
        <w:t>. Dal punto di vista geografico, alla luce di quanto sopra e dei livelli di valutazione relativi, preferiamo i mercati europei e dell'Asia emergente agli Stati Uniti.</w:t>
      </w:r>
    </w:p>
    <w:p w14:paraId="5055C85F" w14:textId="2C0121E5" w:rsidR="0053072A" w:rsidRDefault="0053072A" w:rsidP="0053072A">
      <w:r w:rsidRPr="00ED25F4">
        <w:rPr>
          <w:b/>
          <w:bCs/>
        </w:rPr>
        <w:t>Credito</w:t>
      </w:r>
      <w:r>
        <w:t xml:space="preserve">: </w:t>
      </w:r>
      <w:r w:rsidRPr="00ED25F4">
        <w:rPr>
          <w:b/>
          <w:bCs/>
        </w:rPr>
        <w:t>continuiamo a preferire le obbligazioni societarie</w:t>
      </w:r>
      <w:r>
        <w:t xml:space="preserve"> perché nel nostro scenario macro centrale i tassi di default non dovrebbero aumentare troppo. In ogni caso, visto che gli spread sono tornati a scendere sensibilmente, riteniamo sensato combinare l'esposizione al credito con posizioni ben selezionate in </w:t>
      </w:r>
      <w:r w:rsidRPr="00ED25F4">
        <w:rPr>
          <w:b/>
          <w:bCs/>
        </w:rPr>
        <w:t>obbligazioni governative emergenti in valuta locale</w:t>
      </w:r>
      <w:r w:rsidR="00542A08">
        <w:t xml:space="preserve"> grazie a</w:t>
      </w:r>
      <w:r>
        <w:t xml:space="preserve"> un gruppo di Paesi emergenti per i quali prevediamo elevati tassi di crescita relativa e che beneficiano anche di una solida governance economica, di bassi deficit pubblici e di un'inflazione ragionevolmente bassa. </w:t>
      </w:r>
    </w:p>
    <w:p w14:paraId="49CA498A" w14:textId="0DA3633D" w:rsidR="0053072A" w:rsidRDefault="0053072A">
      <w:r w:rsidRPr="00ED25F4">
        <w:rPr>
          <w:b/>
          <w:bCs/>
        </w:rPr>
        <w:t>Valute</w:t>
      </w:r>
      <w:r>
        <w:t xml:space="preserve">: </w:t>
      </w:r>
      <w:r w:rsidRPr="00542A08">
        <w:rPr>
          <w:b/>
          <w:bCs/>
        </w:rPr>
        <w:t>i livelli del dollaro intorno a 1,10 ci sembrano interessanti per rendere questa valuta una buona copertura per gli investitori in euro</w:t>
      </w:r>
      <w:r>
        <w:t xml:space="preserve">. Allo stesso tempo, visti i buoni segnali che il Giappone sta generando, riteniamo che </w:t>
      </w:r>
      <w:r w:rsidRPr="00542A08">
        <w:rPr>
          <w:b/>
          <w:bCs/>
        </w:rPr>
        <w:t>anche lo yen possa essere una buona posizione di copertura per il resto dell'anno</w:t>
      </w:r>
      <w:r>
        <w:t xml:space="preserve">. Per il resto, abbiamo una visione positiva su valute come </w:t>
      </w:r>
      <w:r w:rsidR="00542A08">
        <w:t>c</w:t>
      </w:r>
      <w:r w:rsidR="00542A08" w:rsidRPr="00542A08">
        <w:t>orona norvegese</w:t>
      </w:r>
      <w:r>
        <w:t xml:space="preserve">, </w:t>
      </w:r>
      <w:r w:rsidR="00542A08">
        <w:t>d</w:t>
      </w:r>
      <w:r w:rsidR="00542A08" w:rsidRPr="00542A08">
        <w:t>ollaro neozelandese</w:t>
      </w:r>
      <w:r w:rsidR="00542A08" w:rsidRPr="00542A08" w:rsidDel="00542A08">
        <w:t xml:space="preserve"> </w:t>
      </w:r>
      <w:r>
        <w:t xml:space="preserve">o </w:t>
      </w:r>
      <w:r w:rsidR="00542A08">
        <w:t>d</w:t>
      </w:r>
      <w:r w:rsidR="00542A08" w:rsidRPr="00542A08">
        <w:t>ollaro australiano</w:t>
      </w:r>
      <w:r>
        <w:t>; continuiamo inoltre ad apprezzare le valute dei mercati emergenti con una buona governance macro.</w:t>
      </w:r>
    </w:p>
    <w:sectPr w:rsidR="00530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2A"/>
    <w:rsid w:val="00164CDB"/>
    <w:rsid w:val="002A198D"/>
    <w:rsid w:val="0035079B"/>
    <w:rsid w:val="00376A3A"/>
    <w:rsid w:val="003B5868"/>
    <w:rsid w:val="0043604D"/>
    <w:rsid w:val="004614D2"/>
    <w:rsid w:val="0053072A"/>
    <w:rsid w:val="00542A08"/>
    <w:rsid w:val="006613B4"/>
    <w:rsid w:val="00772378"/>
    <w:rsid w:val="008D6AEC"/>
    <w:rsid w:val="00BF59A0"/>
    <w:rsid w:val="00CF70D5"/>
    <w:rsid w:val="00EC03D9"/>
    <w:rsid w:val="00ED25F4"/>
    <w:rsid w:val="00ED5BBE"/>
    <w:rsid w:val="00F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D85"/>
  <w15:chartTrackingRefBased/>
  <w15:docId w15:val="{71D3AFFD-11A3-4493-805A-C4F08F8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5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7</cp:revision>
  <dcterms:created xsi:type="dcterms:W3CDTF">2023-07-05T07:42:00Z</dcterms:created>
  <dcterms:modified xsi:type="dcterms:W3CDTF">2023-07-05T14:42:00Z</dcterms:modified>
</cp:coreProperties>
</file>