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901B" w14:textId="29AD6318" w:rsidR="00636775" w:rsidRPr="00BB29F2" w:rsidRDefault="00BB29F2" w:rsidP="00BB29F2">
      <w:pPr>
        <w:spacing w:before="100" w:beforeAutospacing="1" w:after="100" w:afterAutospacing="1"/>
        <w:contextualSpacing/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r w:rsidRPr="00BB29F2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RBC BlueBay</w:t>
      </w:r>
      <w:r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- </w:t>
      </w:r>
      <w:r w:rsidR="00756064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Obbligazionario: i</w:t>
      </w:r>
      <w:r w:rsidR="00756064"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636775"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mercati emergenti beneficiano </w:t>
      </w:r>
      <w:r w:rsidR="00B64837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di </w:t>
      </w:r>
      <w:r w:rsidR="00C5423D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condizioni</w:t>
      </w:r>
      <w:r w:rsidR="00636775"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favorevoli </w:t>
      </w:r>
    </w:p>
    <w:p w14:paraId="01480DE1" w14:textId="77777777" w:rsidR="00636775" w:rsidRPr="00BB29F2" w:rsidRDefault="00636775" w:rsidP="00BB29F2">
      <w:pPr>
        <w:spacing w:before="100" w:beforeAutospacing="1" w:after="100" w:afterAutospacing="1"/>
        <w:contextualSpacing/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</w:p>
    <w:p w14:paraId="3DEC3C28" w14:textId="74285F55" w:rsidR="00636775" w:rsidRPr="00BB29F2" w:rsidRDefault="00636775" w:rsidP="00BB29F2">
      <w:pPr>
        <w:spacing w:before="100" w:beforeAutospacing="1" w:after="100" w:afterAutospacing="1"/>
        <w:contextualSpacing/>
        <w:rPr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</w:pPr>
      <w:r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 xml:space="preserve">A </w:t>
      </w:r>
      <w:proofErr w:type="spellStart"/>
      <w:r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>cura</w:t>
      </w:r>
      <w:proofErr w:type="spellEnd"/>
      <w:r w:rsidRPr="00BB29F2">
        <w:rPr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 xml:space="preserve"> di </w:t>
      </w:r>
      <w:r w:rsidRPr="00BB29F2">
        <w:rPr>
          <w:rFonts w:ascii="Calibri" w:hAnsi="Calibri" w:cs="Calibri"/>
          <w:b/>
          <w:bCs/>
          <w:sz w:val="22"/>
          <w:szCs w:val="22"/>
          <w:lang w:val="en-US"/>
        </w:rPr>
        <w:t xml:space="preserve">Polina Kurdyavko, </w:t>
      </w:r>
      <w:r w:rsidRPr="00BB29F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 xml:space="preserve">Head of BlueBay Emerging Markets, </w:t>
      </w:r>
      <w:r w:rsidRPr="00BB29F2">
        <w:rPr>
          <w:rFonts w:ascii="Calibri" w:hAnsi="Calibri" w:cs="Calibri"/>
          <w:b/>
          <w:bCs/>
          <w:kern w:val="0"/>
          <w:sz w:val="22"/>
          <w:szCs w:val="22"/>
          <w:lang w:val="en-US"/>
        </w:rPr>
        <w:t>RBC BlueBay</w:t>
      </w:r>
    </w:p>
    <w:p w14:paraId="32962913" w14:textId="77777777" w:rsidR="00636775" w:rsidRPr="00BB29F2" w:rsidRDefault="00636775" w:rsidP="00BB29F2">
      <w:pPr>
        <w:pStyle w:val="NormaleWeb"/>
        <w:shd w:val="clear" w:color="auto" w:fill="FFFFFF"/>
        <w:contextualSpacing/>
        <w:rPr>
          <w:rFonts w:ascii="Calibri" w:eastAsiaTheme="majorEastAsia" w:hAnsi="Calibri" w:cs="Calibri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5768E308" w14:textId="59DA8A0D" w:rsidR="00496B36" w:rsidRDefault="00496B36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B29F2">
        <w:rPr>
          <w:rFonts w:ascii="Calibri" w:hAnsi="Calibri" w:cs="Calibri"/>
          <w:sz w:val="22"/>
          <w:szCs w:val="22"/>
          <w:lang w:val="it-IT"/>
        </w:rPr>
        <w:t xml:space="preserve">Nel corso dell’anno, i benchmark </w:t>
      </w:r>
      <w:r w:rsidR="00C5423D">
        <w:rPr>
          <w:rFonts w:ascii="Calibri" w:hAnsi="Calibri" w:cs="Calibri"/>
          <w:sz w:val="22"/>
          <w:szCs w:val="22"/>
          <w:lang w:val="it-IT"/>
        </w:rPr>
        <w:t>obbligazionari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dei mercati emergenti hanno conseguito rendimenti positivi e hanno generalmente sovraperformato i loro omologhi dei mercati sviluppati. I due principali fattori trainanti che hanno permesso a questa asset class di ottenere performance così </w:t>
      </w:r>
      <w:r w:rsidR="00BB29F2">
        <w:rPr>
          <w:rFonts w:ascii="Calibri" w:hAnsi="Calibri" w:cs="Calibri"/>
          <w:sz w:val="22"/>
          <w:szCs w:val="22"/>
          <w:lang w:val="it-IT"/>
        </w:rPr>
        <w:t>positive</w:t>
      </w:r>
      <w:r w:rsidR="00BB29F2" w:rsidRPr="00BB29F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per buona parte degli ultimi due anni </w:t>
      </w:r>
      <w:r w:rsidR="00BB29F2">
        <w:rPr>
          <w:rFonts w:ascii="Calibri" w:hAnsi="Calibri" w:cs="Calibri"/>
          <w:sz w:val="22"/>
          <w:szCs w:val="22"/>
          <w:lang w:val="it-IT"/>
        </w:rPr>
        <w:t>persistono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. In particolare, una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politica monetaria ortodossa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, che si è tradotta in numerosi rialzi in tutti i mercati emergenti – con le </w:t>
      </w:r>
      <w:r w:rsidR="00BB29F2" w:rsidRPr="00B80FEA">
        <w:rPr>
          <w:rFonts w:ascii="Calibri" w:hAnsi="Calibri" w:cs="Calibri"/>
          <w:b/>
          <w:bCs/>
          <w:sz w:val="22"/>
          <w:szCs w:val="22"/>
          <w:lang w:val="it-IT"/>
        </w:rPr>
        <w:t>b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anche </w:t>
      </w:r>
      <w:r w:rsidR="00BB29F2" w:rsidRPr="00B80FEA">
        <w:rPr>
          <w:rFonts w:ascii="Calibri" w:hAnsi="Calibri" w:cs="Calibri"/>
          <w:b/>
          <w:bCs/>
          <w:sz w:val="22"/>
          <w:szCs w:val="22"/>
          <w:lang w:val="it-IT"/>
        </w:rPr>
        <w:t>c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entrali che hanno assunto un atteggiamento più falco</w:t>
      </w:r>
      <w:r w:rsidRPr="00BB29F2">
        <w:rPr>
          <w:rFonts w:ascii="Calibri" w:hAnsi="Calibri" w:cs="Calibri"/>
          <w:sz w:val="22"/>
          <w:szCs w:val="22"/>
          <w:lang w:val="it-IT"/>
        </w:rPr>
        <w:t>. In secondo luogo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, i prezzi delle materie prime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che hanno aiutato i mercati emergenti nella dinamica delle partite correnti. </w:t>
      </w:r>
    </w:p>
    <w:p w14:paraId="5A904CF3" w14:textId="77777777" w:rsidR="00BB29F2" w:rsidRPr="00BB29F2" w:rsidRDefault="00BB29F2" w:rsidP="00BB29F2">
      <w:pPr>
        <w:pStyle w:val="NormaleWeb"/>
        <w:shd w:val="clear" w:color="auto" w:fill="FFFFFF"/>
        <w:contextualSpacing/>
        <w:rPr>
          <w:rFonts w:ascii="Calibri" w:eastAsiaTheme="majorEastAsia" w:hAnsi="Calibri" w:cs="Calibri"/>
          <w:kern w:val="2"/>
          <w:sz w:val="22"/>
          <w:szCs w:val="22"/>
          <w:lang w:val="it-IT" w:eastAsia="en-US"/>
          <w14:ligatures w14:val="standardContextual"/>
        </w:rPr>
      </w:pPr>
    </w:p>
    <w:p w14:paraId="1FD7915D" w14:textId="77777777" w:rsidR="00496B36" w:rsidRPr="00BB29F2" w:rsidRDefault="00496B36" w:rsidP="00BB29F2">
      <w:pPr>
        <w:pStyle w:val="NormaleWeb"/>
        <w:shd w:val="clear" w:color="auto" w:fill="FFFFFF"/>
        <w:contextualSpacing/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</w:pPr>
      <w:r w:rsidRPr="00BB29F2"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  <w:t>Politica monetaria ortodossa</w:t>
      </w:r>
    </w:p>
    <w:p w14:paraId="2E86B808" w14:textId="2814323E" w:rsidR="00496B36" w:rsidRDefault="00496B36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B29F2">
        <w:rPr>
          <w:rFonts w:ascii="Calibri" w:hAnsi="Calibri" w:cs="Calibri"/>
          <w:sz w:val="22"/>
          <w:szCs w:val="22"/>
          <w:lang w:val="it-IT"/>
        </w:rPr>
        <w:t xml:space="preserve">I mercati emergenti sono stati precoci nei cicli di rialzo dei tassi, in parte perché, a differenza delle principali economie globali dei mercati sviluppati, non possono fare affidamento sulle </w:t>
      </w:r>
      <w:r w:rsidR="00BB29F2">
        <w:rPr>
          <w:rFonts w:ascii="Calibri" w:hAnsi="Calibri" w:cs="Calibri"/>
          <w:sz w:val="22"/>
          <w:szCs w:val="22"/>
          <w:lang w:val="it-IT"/>
        </w:rPr>
        <w:t>b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anche </w:t>
      </w:r>
      <w:r w:rsidR="00BB29F2">
        <w:rPr>
          <w:rFonts w:ascii="Calibri" w:hAnsi="Calibri" w:cs="Calibri"/>
          <w:sz w:val="22"/>
          <w:szCs w:val="22"/>
          <w:lang w:val="it-IT"/>
        </w:rPr>
        <w:t>c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entrali per il ruolo di prestatore di ultima istanza. Di conseguenza,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la maggior parte delle </w:t>
      </w:r>
      <w:r w:rsidR="00BB29F2" w:rsidRPr="00B80FEA">
        <w:rPr>
          <w:rFonts w:ascii="Calibri" w:hAnsi="Calibri" w:cs="Calibri"/>
          <w:b/>
          <w:bCs/>
          <w:sz w:val="22"/>
          <w:szCs w:val="22"/>
          <w:lang w:val="it-IT"/>
        </w:rPr>
        <w:t>b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anche </w:t>
      </w:r>
      <w:r w:rsidR="00BB29F2" w:rsidRPr="00B80FEA">
        <w:rPr>
          <w:rFonts w:ascii="Calibri" w:hAnsi="Calibri" w:cs="Calibri"/>
          <w:b/>
          <w:bCs/>
          <w:sz w:val="22"/>
          <w:szCs w:val="22"/>
          <w:lang w:val="it-IT"/>
        </w:rPr>
        <w:t>c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entrali dei mercati emergenti ha iniziato ad aumentare i tassi almeno un anno o, in alcuni casi, addirittura due anni prima che la Federal Reserve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iniziasse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a farlo.</w:t>
      </w:r>
    </w:p>
    <w:p w14:paraId="47C31B21" w14:textId="77777777" w:rsidR="00BB29F2" w:rsidRPr="00BB29F2" w:rsidRDefault="00BB29F2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081810DE" w14:textId="29D82AEC" w:rsidR="00190FBC" w:rsidRDefault="00496B36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B29F2">
        <w:rPr>
          <w:rFonts w:ascii="Calibri" w:hAnsi="Calibri" w:cs="Calibri"/>
          <w:sz w:val="22"/>
          <w:szCs w:val="22"/>
          <w:lang w:val="it-IT"/>
        </w:rPr>
        <w:t xml:space="preserve">Ora che l’ortodossia ha dato i suoi frutti, vediamo che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l’inflazione nella maggior parte dei </w:t>
      </w:r>
      <w:r w:rsidR="00BB29F2" w:rsidRPr="00B80FEA">
        <w:rPr>
          <w:rFonts w:ascii="Calibri" w:hAnsi="Calibri" w:cs="Calibri"/>
          <w:b/>
          <w:bCs/>
          <w:sz w:val="22"/>
          <w:szCs w:val="22"/>
          <w:lang w:val="it-IT"/>
        </w:rPr>
        <w:t>p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aesi dei mercati emergenti </w:t>
      </w:r>
      <w:proofErr w:type="gramStart"/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ha iniziato</w:t>
      </w:r>
      <w:proofErr w:type="gramEnd"/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 a scendere dalla metà dello scorso anno.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In alcuni casi, si è ridotta di oltre il 10%. Ora siamo nella fase in cui ci aspettiamo che le </w:t>
      </w:r>
      <w:r w:rsidR="00BB29F2" w:rsidRPr="00BB29F2">
        <w:rPr>
          <w:rFonts w:ascii="Calibri" w:hAnsi="Calibri" w:cs="Calibri"/>
          <w:sz w:val="22"/>
          <w:szCs w:val="22"/>
          <w:lang w:val="it-IT"/>
        </w:rPr>
        <w:t xml:space="preserve">banche centrali </w:t>
      </w:r>
      <w:r w:rsidRPr="00BB29F2">
        <w:rPr>
          <w:rFonts w:ascii="Calibri" w:hAnsi="Calibri" w:cs="Calibri"/>
          <w:sz w:val="22"/>
          <w:szCs w:val="22"/>
          <w:lang w:val="it-IT"/>
        </w:rPr>
        <w:t>inizino a tagliare i tassi, sostenendo questa mossa con una politica fiscale prudente che dovrebbe aiutare i mercati emergenti ad affrontare meglio il contesto di bassa crescita.</w:t>
      </w:r>
      <w:r w:rsidR="00190FBC" w:rsidRPr="00BB29F2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23A4AE81" w14:textId="77777777" w:rsidR="00BB29F2" w:rsidRPr="00BB29F2" w:rsidRDefault="00BB29F2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6CED3732" w14:textId="77777777" w:rsidR="00190FBC" w:rsidRPr="00BB29F2" w:rsidRDefault="00496B36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BB29F2">
        <w:rPr>
          <w:rFonts w:ascii="Calibri" w:hAnsi="Calibri" w:cs="Calibri"/>
          <w:sz w:val="22"/>
          <w:szCs w:val="22"/>
          <w:u w:val="single"/>
          <w:lang w:val="it-IT"/>
        </w:rPr>
        <w:t xml:space="preserve">Le materie prime aiutano il deficit delle partite correnti </w:t>
      </w:r>
      <w:r w:rsidR="00190FBC" w:rsidRPr="00BB29F2">
        <w:rPr>
          <w:rFonts w:ascii="Calibri" w:hAnsi="Calibri" w:cs="Calibri"/>
          <w:sz w:val="22"/>
          <w:szCs w:val="22"/>
          <w:u w:val="single"/>
          <w:lang w:val="it-IT"/>
        </w:rPr>
        <w:t xml:space="preserve"> </w:t>
      </w:r>
    </w:p>
    <w:p w14:paraId="4C05EAE2" w14:textId="4465C62A" w:rsidR="00190FBC" w:rsidRDefault="00190FBC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B29F2">
        <w:rPr>
          <w:rFonts w:ascii="Calibri" w:hAnsi="Calibri" w:cs="Calibri"/>
          <w:sz w:val="22"/>
          <w:szCs w:val="22"/>
          <w:lang w:val="it-IT"/>
        </w:rPr>
        <w:t xml:space="preserve">I prezzi delle materie prime sono stati molto vantaggiosi per i mercati emergenti per quanto riguarda la dinamica delle partite correnti.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Se si considera l’universo di oltre 70 Paesi, </w:t>
      </w:r>
      <w:r w:rsidR="00BB29F2">
        <w:rPr>
          <w:rFonts w:ascii="Calibri" w:hAnsi="Calibri" w:cs="Calibri"/>
          <w:b/>
          <w:bCs/>
          <w:sz w:val="22"/>
          <w:szCs w:val="22"/>
          <w:lang w:val="it-IT"/>
        </w:rPr>
        <w:t>all’incirca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 xml:space="preserve"> due terzi sono esportatori di materie prime.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L’esposizione alle materie prime nei mercati emergenti è relativamente elevata per quanto riguarda il focus sulle esportazioni. In particolare, molti di questi Paesi hanno utilizzato questo surplus di materie prime per reinvestire e diversificare le loro economie, rendendo la dinamica fiscale molto meno dipendente dalla volatilità dei prezzi delle materie prime. </w:t>
      </w:r>
    </w:p>
    <w:p w14:paraId="1B41CF2D" w14:textId="77777777" w:rsidR="00BB29F2" w:rsidRPr="00BB29F2" w:rsidRDefault="00BB29F2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35A617B7" w14:textId="77777777" w:rsidR="00190FBC" w:rsidRDefault="00190FBC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B29F2">
        <w:rPr>
          <w:rFonts w:ascii="Calibri" w:hAnsi="Calibri" w:cs="Calibri"/>
          <w:sz w:val="22"/>
          <w:szCs w:val="22"/>
          <w:lang w:val="it-IT"/>
        </w:rPr>
        <w:t xml:space="preserve">È interessante notare che nei mercati emergenti stiamo assistendo a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una transizione piuttosto significativa dalle materie prime tradizionali a quelle più incentrate sulle energie rinnovabili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– una transizione che richiede molti finanziamenti. Per questo motivo, </w:t>
      </w: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abbiamo assistito a numerose emissioni in questo settore in tutte e tre le regioni dei mercati emergenti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413C076E" w14:textId="77777777" w:rsidR="00BB29F2" w:rsidRPr="00BB29F2" w:rsidRDefault="00BB29F2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3BA0E952" w14:textId="22D1394A" w:rsidR="00190FBC" w:rsidRPr="00BB29F2" w:rsidRDefault="00190FBC" w:rsidP="00BB29F2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BB29F2">
        <w:rPr>
          <w:rFonts w:ascii="Calibri" w:hAnsi="Calibri" w:cs="Calibri"/>
          <w:sz w:val="22"/>
          <w:szCs w:val="22"/>
          <w:u w:val="single"/>
          <w:lang w:val="it-IT"/>
        </w:rPr>
        <w:t xml:space="preserve">Guardando al futuro </w:t>
      </w:r>
    </w:p>
    <w:p w14:paraId="057CF1E4" w14:textId="0F700E4E" w:rsidR="00636775" w:rsidRPr="00BB29F2" w:rsidRDefault="00190FBC" w:rsidP="00397351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B80FEA">
        <w:rPr>
          <w:rFonts w:ascii="Calibri" w:hAnsi="Calibri" w:cs="Calibri"/>
          <w:b/>
          <w:bCs/>
          <w:sz w:val="22"/>
          <w:szCs w:val="22"/>
          <w:lang w:val="it-IT"/>
        </w:rPr>
        <w:t>Riteniamo che la sovraperformance dei mercati emergenti rispetto a quelli sviluppati sia destinata a continuare.</w:t>
      </w:r>
      <w:r w:rsidRPr="00BB29F2">
        <w:rPr>
          <w:rFonts w:ascii="Calibri" w:hAnsi="Calibri" w:cs="Calibri"/>
          <w:sz w:val="22"/>
          <w:szCs w:val="22"/>
          <w:lang w:val="it-IT"/>
        </w:rPr>
        <w:t xml:space="preserve"> Tuttavia, i fattori che determinano </w:t>
      </w:r>
      <w:r w:rsidR="00BB29F2">
        <w:rPr>
          <w:rFonts w:ascii="Calibri" w:hAnsi="Calibri" w:cs="Calibri"/>
          <w:sz w:val="22"/>
          <w:szCs w:val="22"/>
          <w:lang w:val="it-IT"/>
        </w:rPr>
        <w:t>questa</w:t>
      </w:r>
      <w:r w:rsidR="00BB29F2" w:rsidRPr="00BB29F2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BB29F2">
        <w:rPr>
          <w:rFonts w:ascii="Calibri" w:hAnsi="Calibri" w:cs="Calibri"/>
          <w:sz w:val="22"/>
          <w:szCs w:val="22"/>
          <w:lang w:val="it-IT"/>
        </w:rPr>
        <w:t>sovraperformance</w:t>
      </w:r>
      <w:proofErr w:type="spellEnd"/>
      <w:r w:rsidRPr="00BB29F2">
        <w:rPr>
          <w:rFonts w:ascii="Calibri" w:hAnsi="Calibri" w:cs="Calibri"/>
          <w:sz w:val="22"/>
          <w:szCs w:val="22"/>
          <w:lang w:val="it-IT"/>
        </w:rPr>
        <w:t xml:space="preserve"> potrebbero essere leggermente diversi nel resto dell’anno. L’ortodossia della politica monetaria è ancora saldamente in vigore. Tuttavia, la dinamica dei prezzi delle materie prime potrebbe diventare più volatile.</w:t>
      </w:r>
    </w:p>
    <w:sectPr w:rsidR="00636775" w:rsidRPr="00BB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18"/>
    <w:rsid w:val="00190FBC"/>
    <w:rsid w:val="001F1E0E"/>
    <w:rsid w:val="00212737"/>
    <w:rsid w:val="00397351"/>
    <w:rsid w:val="003D0866"/>
    <w:rsid w:val="00496B36"/>
    <w:rsid w:val="00636775"/>
    <w:rsid w:val="006E49B2"/>
    <w:rsid w:val="00756064"/>
    <w:rsid w:val="00B64837"/>
    <w:rsid w:val="00B80FEA"/>
    <w:rsid w:val="00BB29F2"/>
    <w:rsid w:val="00BC4C71"/>
    <w:rsid w:val="00C5423D"/>
    <w:rsid w:val="00D974A9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72D3"/>
  <w15:chartTrackingRefBased/>
  <w15:docId w15:val="{0F1A4F5B-262F-BD40-8386-CE8DF86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67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6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367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67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6775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6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367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Revisione">
    <w:name w:val="Revision"/>
    <w:hidden/>
    <w:uiPriority w:val="99"/>
    <w:semiHidden/>
    <w:rsid w:val="00BB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10</cp:revision>
  <dcterms:created xsi:type="dcterms:W3CDTF">2023-07-25T10:43:00Z</dcterms:created>
  <dcterms:modified xsi:type="dcterms:W3CDTF">2023-07-26T08:07:00Z</dcterms:modified>
</cp:coreProperties>
</file>