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1070" w14:textId="77777777" w:rsidR="00EA20F2" w:rsidRPr="006D3714" w:rsidRDefault="00EA20F2" w:rsidP="006D3714">
      <w:pPr>
        <w:spacing w:after="0" w:line="20" w:lineRule="atLeast"/>
        <w:jc w:val="both"/>
        <w:rPr>
          <w:rFonts w:ascii="Arial" w:hAnsi="Arial" w:cs="Arial"/>
          <w:b/>
          <w:sz w:val="36"/>
          <w:szCs w:val="36"/>
        </w:rPr>
      </w:pPr>
      <w:bookmarkStart w:id="0" w:name="_Hlk83111918"/>
    </w:p>
    <w:p w14:paraId="69EFBA71" w14:textId="215CD06A" w:rsidR="008D7BD7" w:rsidRPr="006D3714" w:rsidRDefault="00A01F38" w:rsidP="006D3714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</w:rPr>
      </w:pPr>
      <w:r w:rsidRPr="00A01F38">
        <w:rPr>
          <w:rFonts w:ascii="Arial" w:hAnsi="Arial" w:cs="Arial"/>
          <w:b/>
          <w:sz w:val="36"/>
          <w:szCs w:val="36"/>
        </w:rPr>
        <w:t xml:space="preserve">FLASH </w:t>
      </w:r>
      <w:r>
        <w:rPr>
          <w:rFonts w:ascii="Arial" w:hAnsi="Arial" w:cs="Arial"/>
          <w:b/>
          <w:sz w:val="36"/>
          <w:szCs w:val="36"/>
        </w:rPr>
        <w:t>-</w:t>
      </w:r>
      <w:r w:rsidRPr="00A01F38">
        <w:rPr>
          <w:rFonts w:ascii="Arial" w:hAnsi="Arial" w:cs="Arial"/>
          <w:b/>
          <w:sz w:val="36"/>
          <w:szCs w:val="36"/>
        </w:rPr>
        <w:t xml:space="preserve"> </w:t>
      </w:r>
      <w:r w:rsidR="00E22F64" w:rsidRPr="00E22F64">
        <w:rPr>
          <w:rFonts w:ascii="Arial" w:hAnsi="Arial" w:cs="Arial"/>
          <w:b/>
          <w:sz w:val="36"/>
          <w:szCs w:val="36"/>
        </w:rPr>
        <w:t>DATI EURO: alcune conferme e qualche novità</w:t>
      </w:r>
    </w:p>
    <w:p w14:paraId="20580997" w14:textId="77777777" w:rsidR="00A01F38" w:rsidRDefault="00A01F38" w:rsidP="006D3714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199F044" w14:textId="120336BF" w:rsidR="00A76468" w:rsidRPr="006D3714" w:rsidRDefault="00A76468" w:rsidP="006D3714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D3714">
        <w:rPr>
          <w:rFonts w:ascii="Arial" w:hAnsi="Arial" w:cs="Arial"/>
          <w:bCs/>
          <w:i/>
          <w:iCs/>
          <w:sz w:val="24"/>
          <w:szCs w:val="24"/>
        </w:rPr>
        <w:t xml:space="preserve">A cura di Antonio Cesarano, </w:t>
      </w:r>
      <w:proofErr w:type="spellStart"/>
      <w:r w:rsidRPr="006D3714">
        <w:rPr>
          <w:rFonts w:ascii="Arial" w:hAnsi="Arial" w:cs="Arial"/>
          <w:bCs/>
          <w:i/>
          <w:iCs/>
          <w:sz w:val="24"/>
          <w:szCs w:val="24"/>
        </w:rPr>
        <w:t>Chief</w:t>
      </w:r>
      <w:proofErr w:type="spellEnd"/>
      <w:r w:rsidRPr="006D3714">
        <w:rPr>
          <w:rFonts w:ascii="Arial" w:hAnsi="Arial" w:cs="Arial"/>
          <w:bCs/>
          <w:i/>
          <w:iCs/>
          <w:sz w:val="24"/>
          <w:szCs w:val="24"/>
        </w:rPr>
        <w:t xml:space="preserve"> Global Strategist, </w:t>
      </w:r>
      <w:proofErr w:type="spellStart"/>
      <w:r w:rsidRPr="006D3714">
        <w:rPr>
          <w:rFonts w:ascii="Arial" w:hAnsi="Arial" w:cs="Arial"/>
          <w:bCs/>
          <w:i/>
          <w:iCs/>
          <w:sz w:val="24"/>
          <w:szCs w:val="24"/>
        </w:rPr>
        <w:t>Intermonte</w:t>
      </w:r>
      <w:proofErr w:type="spellEnd"/>
    </w:p>
    <w:bookmarkEnd w:id="0"/>
    <w:p w14:paraId="613A8689" w14:textId="77777777" w:rsidR="00BC43BE" w:rsidRDefault="00BC43BE" w:rsidP="00BC43BE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</w:p>
    <w:p w14:paraId="306F6CB7" w14:textId="3628D6F8" w:rsidR="00E22F64" w:rsidRPr="00E22F64" w:rsidRDefault="00E22F64" w:rsidP="00E22F64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E22F64">
        <w:rPr>
          <w:rFonts w:ascii="Arial" w:hAnsi="Arial" w:cs="Arial"/>
          <w:color w:val="000000"/>
          <w:sz w:val="22"/>
          <w:szCs w:val="22"/>
        </w:rPr>
        <w:t>I dati di oggi su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Pil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del se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E22F64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E22F64">
        <w:rPr>
          <w:rFonts w:ascii="Arial" w:hAnsi="Arial" w:cs="Arial"/>
          <w:color w:val="000000"/>
          <w:sz w:val="22"/>
          <w:szCs w:val="22"/>
        </w:rPr>
        <w:t>trimestre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e</w:t>
      </w:r>
      <w:r>
        <w:rPr>
          <w:rFonts w:ascii="Arial" w:hAnsi="Arial" w:cs="Arial"/>
          <w:color w:val="000000"/>
          <w:sz w:val="22"/>
          <w:szCs w:val="22"/>
        </w:rPr>
        <w:t xml:space="preserve"> sull’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inflazione preliminare di </w:t>
      </w:r>
      <w:r w:rsidRPr="00E22F64">
        <w:rPr>
          <w:rFonts w:ascii="Arial" w:hAnsi="Arial" w:cs="Arial"/>
          <w:color w:val="000000"/>
          <w:sz w:val="22"/>
          <w:szCs w:val="22"/>
        </w:rPr>
        <w:t>luglio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dell’area Euro 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hanno fornito alcune indicazioni che in parte confermano </w:t>
      </w:r>
      <w:proofErr w:type="gramStart"/>
      <w:r w:rsidRPr="00E22F64">
        <w:rPr>
          <w:rFonts w:ascii="Arial" w:hAnsi="Arial" w:cs="Arial"/>
          <w:color w:val="000000"/>
          <w:sz w:val="22"/>
          <w:szCs w:val="22"/>
        </w:rPr>
        <w:t>il trend</w:t>
      </w:r>
      <w:proofErr w:type="gramEnd"/>
      <w:r w:rsidRPr="00E22F64">
        <w:rPr>
          <w:rFonts w:ascii="Arial" w:hAnsi="Arial" w:cs="Arial"/>
          <w:color w:val="000000"/>
          <w:sz w:val="22"/>
          <w:szCs w:val="22"/>
        </w:rPr>
        <w:t xml:space="preserve"> già in </w:t>
      </w:r>
      <w:r w:rsidRPr="00E22F64">
        <w:rPr>
          <w:rFonts w:ascii="Arial" w:hAnsi="Arial" w:cs="Arial"/>
          <w:color w:val="000000"/>
          <w:sz w:val="22"/>
          <w:szCs w:val="22"/>
        </w:rPr>
        <w:t>essere</w:t>
      </w:r>
      <w:r w:rsidRPr="00E22F64">
        <w:rPr>
          <w:rFonts w:ascii="Arial" w:hAnsi="Arial" w:cs="Arial"/>
          <w:color w:val="000000"/>
          <w:sz w:val="22"/>
          <w:szCs w:val="22"/>
        </w:rPr>
        <w:t>.</w:t>
      </w:r>
    </w:p>
    <w:p w14:paraId="3DAA6300" w14:textId="71F7990A" w:rsidR="00E22F64" w:rsidRPr="00E22F64" w:rsidRDefault="00E22F64" w:rsidP="00E22F64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E22F64">
        <w:rPr>
          <w:rFonts w:ascii="Arial" w:hAnsi="Arial" w:cs="Arial"/>
          <w:color w:val="000000"/>
          <w:sz w:val="22"/>
          <w:szCs w:val="22"/>
        </w:rPr>
        <w:t xml:space="preserve">Sul fronte </w:t>
      </w:r>
      <w:r>
        <w:rPr>
          <w:rFonts w:ascii="Arial" w:hAnsi="Arial" w:cs="Arial"/>
          <w:color w:val="000000"/>
          <w:sz w:val="22"/>
          <w:szCs w:val="22"/>
        </w:rPr>
        <w:t xml:space="preserve">della </w:t>
      </w:r>
      <w:r w:rsidRPr="00E22F64">
        <w:rPr>
          <w:rFonts w:ascii="Arial" w:hAnsi="Arial" w:cs="Arial"/>
          <w:color w:val="000000"/>
          <w:sz w:val="22"/>
          <w:szCs w:val="22"/>
        </w:rPr>
        <w:t>crescita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è emerso un rallentamento soprattutto nell'ambito di alcuni paesi dell'</w:t>
      </w:r>
      <w:r>
        <w:rPr>
          <w:rFonts w:ascii="Arial" w:hAnsi="Arial" w:cs="Arial"/>
          <w:color w:val="000000"/>
          <w:sz w:val="22"/>
          <w:szCs w:val="22"/>
        </w:rPr>
        <w:t>Eurozona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, con Italia e Portogallo che hanno evidenziato un calo trimestrale. La Germania, dal canto </w:t>
      </w:r>
      <w:r w:rsidRPr="00E22F64">
        <w:rPr>
          <w:rFonts w:ascii="Arial" w:hAnsi="Arial" w:cs="Arial"/>
          <w:color w:val="000000"/>
          <w:sz w:val="22"/>
          <w:szCs w:val="22"/>
        </w:rPr>
        <w:t>suo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continua ad arrancare con </w:t>
      </w:r>
      <w:r>
        <w:rPr>
          <w:rFonts w:ascii="Arial" w:hAnsi="Arial" w:cs="Arial"/>
          <w:color w:val="000000"/>
          <w:sz w:val="22"/>
          <w:szCs w:val="22"/>
        </w:rPr>
        <w:t xml:space="preserve">il 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Pil fermo nel secondo trimestre, a testimonianza del difficile momento </w:t>
      </w:r>
      <w:r>
        <w:rPr>
          <w:rFonts w:ascii="Arial" w:hAnsi="Arial" w:cs="Arial"/>
          <w:color w:val="000000"/>
          <w:sz w:val="22"/>
          <w:szCs w:val="22"/>
        </w:rPr>
        <w:t>che sta attraversando la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manifattura</w:t>
      </w:r>
      <w:r>
        <w:rPr>
          <w:rFonts w:ascii="Arial" w:hAnsi="Arial" w:cs="Arial"/>
          <w:color w:val="000000"/>
          <w:sz w:val="22"/>
          <w:szCs w:val="22"/>
        </w:rPr>
        <w:t xml:space="preserve"> tedesca</w:t>
      </w:r>
      <w:r w:rsidRPr="00E22F64">
        <w:rPr>
          <w:rFonts w:ascii="Arial" w:hAnsi="Arial" w:cs="Arial"/>
          <w:color w:val="000000"/>
          <w:sz w:val="22"/>
          <w:szCs w:val="22"/>
        </w:rPr>
        <w:t>.</w:t>
      </w:r>
    </w:p>
    <w:p w14:paraId="4CA4CB85" w14:textId="1D87B800" w:rsidR="00E22F64" w:rsidRPr="00E22F64" w:rsidRDefault="00E22F64" w:rsidP="00E22F64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E22F64">
        <w:rPr>
          <w:rFonts w:ascii="Arial" w:hAnsi="Arial" w:cs="Arial"/>
          <w:color w:val="000000"/>
          <w:sz w:val="22"/>
          <w:szCs w:val="22"/>
        </w:rPr>
        <w:t>La Spagna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invece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ha mantenuto una solida crescita trimestrale</w:t>
      </w:r>
      <w:r>
        <w:rPr>
          <w:rFonts w:ascii="Arial" w:hAnsi="Arial" w:cs="Arial"/>
          <w:color w:val="000000"/>
          <w:sz w:val="22"/>
          <w:szCs w:val="22"/>
        </w:rPr>
        <w:t xml:space="preserve">, mentre 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la Francia più di tutti ha sorpreso al rialzo, grazie soprattutto (stando </w:t>
      </w:r>
      <w:r w:rsidRPr="00E22F64">
        <w:rPr>
          <w:rFonts w:ascii="Arial" w:hAnsi="Arial" w:cs="Arial"/>
          <w:color w:val="000000"/>
          <w:sz w:val="22"/>
          <w:szCs w:val="22"/>
        </w:rPr>
        <w:t>alle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22F64">
        <w:rPr>
          <w:rFonts w:ascii="Arial" w:hAnsi="Arial" w:cs="Arial"/>
          <w:color w:val="000000"/>
          <w:sz w:val="22"/>
          <w:szCs w:val="22"/>
        </w:rPr>
        <w:t>dichiarazioni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del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inistro delle 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Pr="00E22F64">
        <w:rPr>
          <w:rFonts w:ascii="Arial" w:hAnsi="Arial" w:cs="Arial"/>
          <w:color w:val="000000"/>
          <w:sz w:val="22"/>
          <w:szCs w:val="22"/>
        </w:rPr>
        <w:t>inanze Le Maire) alle esportazioni e agli investimenti aziendali.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92082F5" w14:textId="70C3ADC6" w:rsidR="00E22F64" w:rsidRPr="00E22F64" w:rsidRDefault="00E22F64" w:rsidP="00E22F64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E22F64">
        <w:rPr>
          <w:rFonts w:ascii="Arial" w:hAnsi="Arial" w:cs="Arial"/>
          <w:color w:val="000000"/>
          <w:sz w:val="22"/>
          <w:szCs w:val="22"/>
        </w:rPr>
        <w:t>Tutto questo si è tradotto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22F64">
        <w:rPr>
          <w:rFonts w:ascii="Arial" w:hAnsi="Arial" w:cs="Arial"/>
          <w:color w:val="000000"/>
          <w:sz w:val="22"/>
          <w:szCs w:val="22"/>
        </w:rPr>
        <w:t>in una crescita del Pil dell'</w:t>
      </w:r>
      <w:r>
        <w:rPr>
          <w:rFonts w:ascii="Arial" w:hAnsi="Arial" w:cs="Arial"/>
          <w:color w:val="000000"/>
          <w:sz w:val="22"/>
          <w:szCs w:val="22"/>
        </w:rPr>
        <w:t>Eurozona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superiore alle attese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nel secondo trimestre, con una variazione migliorativa anche </w:t>
      </w:r>
      <w:r>
        <w:rPr>
          <w:rFonts w:ascii="Arial" w:hAnsi="Arial" w:cs="Arial"/>
          <w:color w:val="000000"/>
          <w:sz w:val="22"/>
          <w:szCs w:val="22"/>
        </w:rPr>
        <w:t>rispetto al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primo trimestre</w:t>
      </w:r>
      <w:r>
        <w:rPr>
          <w:rFonts w:ascii="Arial" w:hAnsi="Arial" w:cs="Arial"/>
          <w:color w:val="000000"/>
          <w:sz w:val="22"/>
          <w:szCs w:val="22"/>
        </w:rPr>
        <w:t xml:space="preserve"> che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cancella la recessione tecnica emersa in precedenza tra </w:t>
      </w:r>
      <w:r>
        <w:rPr>
          <w:rFonts w:ascii="Arial" w:hAnsi="Arial" w:cs="Arial"/>
          <w:color w:val="000000"/>
          <w:sz w:val="22"/>
          <w:szCs w:val="22"/>
        </w:rPr>
        <w:t xml:space="preserve">il 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quarto trimestre 2022 e </w:t>
      </w:r>
      <w:r>
        <w:rPr>
          <w:rFonts w:ascii="Arial" w:hAnsi="Arial" w:cs="Arial"/>
          <w:color w:val="000000"/>
          <w:sz w:val="22"/>
          <w:szCs w:val="22"/>
        </w:rPr>
        <w:t xml:space="preserve">il </w:t>
      </w:r>
      <w:r w:rsidRPr="00E22F64">
        <w:rPr>
          <w:rFonts w:ascii="Arial" w:hAnsi="Arial" w:cs="Arial"/>
          <w:color w:val="000000"/>
          <w:sz w:val="22"/>
          <w:szCs w:val="22"/>
        </w:rPr>
        <w:t>primo 2023.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4CE273" w14:textId="77777777" w:rsidR="00E22F64" w:rsidRPr="00E22F64" w:rsidRDefault="00E22F64" w:rsidP="00E22F64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</w:p>
    <w:p w14:paraId="63980967" w14:textId="6920D69D" w:rsidR="00E22F64" w:rsidRPr="00E22F64" w:rsidRDefault="00E22F64" w:rsidP="00E22F64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E22F64">
        <w:rPr>
          <w:rFonts w:ascii="Arial" w:hAnsi="Arial" w:cs="Arial"/>
          <w:b/>
          <w:bCs/>
          <w:color w:val="000000"/>
          <w:sz w:val="22"/>
          <w:szCs w:val="22"/>
        </w:rPr>
        <w:t xml:space="preserve">Sul fronte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dell’</w:t>
      </w:r>
      <w:r w:rsidRPr="00E22F64">
        <w:rPr>
          <w:rFonts w:ascii="Arial" w:hAnsi="Arial" w:cs="Arial"/>
          <w:b/>
          <w:bCs/>
          <w:color w:val="000000"/>
          <w:sz w:val="22"/>
          <w:szCs w:val="22"/>
        </w:rPr>
        <w:t>inflazione</w:t>
      </w:r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i segnali di rallentamento </w:t>
      </w:r>
      <w:r>
        <w:rPr>
          <w:rFonts w:ascii="Arial" w:hAnsi="Arial" w:cs="Arial"/>
          <w:color w:val="000000"/>
          <w:sz w:val="22"/>
          <w:szCs w:val="22"/>
        </w:rPr>
        <w:t>dei prezzi dell’energia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sono stati complessivamente bilanciati dalla componente alimentare, dalle utenze e ancora una volta dai servizi, dove la componente ricreazione/viaggi riveste un ruolo centrale.</w:t>
      </w:r>
    </w:p>
    <w:p w14:paraId="5AAD9406" w14:textId="7D753171" w:rsidR="00E22F64" w:rsidRPr="00E22F64" w:rsidRDefault="00E22F64" w:rsidP="00E22F64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E22F64">
        <w:rPr>
          <w:rFonts w:ascii="Arial" w:hAnsi="Arial" w:cs="Arial"/>
          <w:color w:val="000000"/>
          <w:sz w:val="22"/>
          <w:szCs w:val="22"/>
        </w:rPr>
        <w:t xml:space="preserve">L'impatto finale si è </w:t>
      </w:r>
      <w:r w:rsidRPr="00E22F64">
        <w:rPr>
          <w:rFonts w:ascii="Arial" w:hAnsi="Arial" w:cs="Arial"/>
          <w:color w:val="000000"/>
          <w:sz w:val="22"/>
          <w:szCs w:val="22"/>
        </w:rPr>
        <w:t>condensato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in un'inflazione core che, per la prima volta dagli inizi del 2021, si è posizionata </w:t>
      </w:r>
      <w:r>
        <w:rPr>
          <w:rFonts w:ascii="Arial" w:hAnsi="Arial" w:cs="Arial"/>
          <w:color w:val="000000"/>
          <w:sz w:val="22"/>
          <w:szCs w:val="22"/>
        </w:rPr>
        <w:t>al di sopra di q</w:t>
      </w:r>
      <w:r w:rsidRPr="00E22F64">
        <w:rPr>
          <w:rFonts w:ascii="Arial" w:hAnsi="Arial" w:cs="Arial"/>
          <w:color w:val="000000"/>
          <w:sz w:val="22"/>
          <w:szCs w:val="22"/>
        </w:rPr>
        <w:t>uella generale (5,5% vs 5,3%, vedi grafico), facendo ancora rimanere aperta la possibilità di un ulteriore rialzo dei tassi a settembre. </w:t>
      </w:r>
    </w:p>
    <w:p w14:paraId="5014A1B1" w14:textId="7F8D3B31" w:rsidR="00E22F64" w:rsidRPr="00E22F64" w:rsidRDefault="00E22F64" w:rsidP="005C1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22F64">
        <w:rPr>
          <w:rFonts w:ascii="Arial" w:eastAsia="Times New Roman" w:hAnsi="Arial" w:cs="Arial"/>
          <w:color w:val="000000"/>
        </w:rPr>
        <w:t>Lagarde</w:t>
      </w:r>
      <w:r>
        <w:rPr>
          <w:rFonts w:ascii="Arial" w:eastAsia="Times New Roman" w:hAnsi="Arial" w:cs="Arial"/>
          <w:color w:val="000000"/>
        </w:rPr>
        <w:t>,</w:t>
      </w:r>
      <w:r w:rsidRPr="00E22F64">
        <w:rPr>
          <w:rFonts w:ascii="Arial" w:eastAsia="Times New Roman" w:hAnsi="Arial" w:cs="Arial"/>
          <w:color w:val="000000"/>
        </w:rPr>
        <w:t xml:space="preserve"> tra l'altro</w:t>
      </w:r>
      <w:r>
        <w:rPr>
          <w:rFonts w:ascii="Arial" w:eastAsia="Times New Roman" w:hAnsi="Arial" w:cs="Arial"/>
          <w:color w:val="000000"/>
        </w:rPr>
        <w:t>,</w:t>
      </w:r>
      <w:r w:rsidRPr="00E22F6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in un’intervista rilasciata recentemente, </w:t>
      </w:r>
      <w:r w:rsidRPr="00E22F64">
        <w:rPr>
          <w:rFonts w:ascii="Arial" w:eastAsia="Times New Roman" w:hAnsi="Arial" w:cs="Arial"/>
          <w:color w:val="000000"/>
        </w:rPr>
        <w:t xml:space="preserve">ha precisato che, anche laddove si optasse per una pausa a settembre, non sarebbe da considerarsi necessariamente </w:t>
      </w:r>
      <w:r w:rsidR="005C1538">
        <w:rPr>
          <w:rFonts w:ascii="Arial" w:eastAsia="Times New Roman" w:hAnsi="Arial" w:cs="Arial"/>
          <w:color w:val="000000"/>
        </w:rPr>
        <w:t>uno stop</w:t>
      </w:r>
      <w:r w:rsidRPr="00E22F64">
        <w:rPr>
          <w:rFonts w:ascii="Arial" w:eastAsia="Times New Roman" w:hAnsi="Arial" w:cs="Arial"/>
          <w:color w:val="000000"/>
        </w:rPr>
        <w:t xml:space="preserve"> </w:t>
      </w:r>
      <w:r w:rsidRPr="00E22F64">
        <w:rPr>
          <w:rFonts w:ascii="Arial" w:eastAsia="Times New Roman" w:hAnsi="Arial" w:cs="Arial"/>
          <w:color w:val="000000"/>
        </w:rPr>
        <w:t>definitiv</w:t>
      </w:r>
      <w:r w:rsidR="005C1538">
        <w:rPr>
          <w:rFonts w:ascii="Arial" w:eastAsia="Times New Roman" w:hAnsi="Arial" w:cs="Arial"/>
          <w:color w:val="000000"/>
        </w:rPr>
        <w:t>o</w:t>
      </w:r>
      <w:r w:rsidRPr="00E22F64">
        <w:rPr>
          <w:rFonts w:ascii="Arial" w:eastAsia="Times New Roman" w:hAnsi="Arial" w:cs="Arial"/>
          <w:color w:val="000000"/>
        </w:rPr>
        <w:t xml:space="preserve">, segnalando di fondo il timore di </w:t>
      </w:r>
      <w:r>
        <w:rPr>
          <w:rFonts w:ascii="Arial" w:eastAsia="Times New Roman" w:hAnsi="Arial" w:cs="Arial"/>
          <w:color w:val="000000"/>
        </w:rPr>
        <w:t xml:space="preserve">una </w:t>
      </w:r>
      <w:r w:rsidRPr="00E22F64">
        <w:rPr>
          <w:rFonts w:ascii="Arial" w:eastAsia="Times New Roman" w:hAnsi="Arial" w:cs="Arial"/>
          <w:color w:val="000000"/>
        </w:rPr>
        <w:t>recrudescenza</w:t>
      </w:r>
      <w:r w:rsidRPr="00E22F64">
        <w:rPr>
          <w:rFonts w:ascii="Arial" w:eastAsia="Times New Roman" w:hAnsi="Arial" w:cs="Arial"/>
          <w:color w:val="000000"/>
        </w:rPr>
        <w:t xml:space="preserve"> dell'</w:t>
      </w:r>
      <w:r w:rsidRPr="00E22F64">
        <w:rPr>
          <w:rFonts w:ascii="Arial" w:eastAsia="Times New Roman" w:hAnsi="Arial" w:cs="Arial"/>
          <w:color w:val="000000"/>
        </w:rPr>
        <w:t>inflazione</w:t>
      </w:r>
      <w:r w:rsidRPr="00E22F64">
        <w:rPr>
          <w:rFonts w:ascii="Arial" w:eastAsia="Times New Roman" w:hAnsi="Arial" w:cs="Arial"/>
          <w:color w:val="000000"/>
        </w:rPr>
        <w:t xml:space="preserve"> dopo i</w:t>
      </w:r>
      <w:r w:rsidR="005C1538">
        <w:rPr>
          <w:rFonts w:ascii="Arial" w:eastAsia="Times New Roman" w:hAnsi="Arial" w:cs="Arial"/>
          <w:color w:val="000000"/>
        </w:rPr>
        <w:t>l</w:t>
      </w:r>
      <w:r w:rsidRPr="00E22F64">
        <w:rPr>
          <w:rFonts w:ascii="Arial" w:eastAsia="Times New Roman" w:hAnsi="Arial" w:cs="Arial"/>
          <w:color w:val="000000"/>
        </w:rPr>
        <w:t xml:space="preserve"> rallentamento degli ultimi mesi.</w:t>
      </w:r>
    </w:p>
    <w:p w14:paraId="428BD246" w14:textId="77777777" w:rsidR="00E22F64" w:rsidRPr="00E22F64" w:rsidRDefault="00E22F64" w:rsidP="00E22F64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</w:p>
    <w:p w14:paraId="090EB282" w14:textId="23DF3BCA" w:rsidR="00E22F64" w:rsidRPr="00E22F64" w:rsidRDefault="00E22F64" w:rsidP="00E22F64">
      <w:pPr>
        <w:jc w:val="center"/>
        <w:rPr>
          <w:rFonts w:ascii="Arial" w:hAnsi="Arial" w:cs="Arial"/>
          <w:color w:val="000000"/>
        </w:rPr>
      </w:pPr>
      <w:r w:rsidRPr="00E22F64">
        <w:rPr>
          <w:rFonts w:ascii="Arial" w:hAnsi="Arial" w:cs="Arial"/>
          <w:noProof/>
          <w:color w:val="000000"/>
        </w:rPr>
        <w:drawing>
          <wp:inline distT="0" distB="0" distL="0" distR="0" wp14:anchorId="55621FEB" wp14:editId="20D4EEF0">
            <wp:extent cx="5695950" cy="2143125"/>
            <wp:effectExtent l="0" t="0" r="0" b="9525"/>
            <wp:docPr id="194828538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lect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2C7FF" w14:textId="77777777" w:rsidR="00E22F64" w:rsidRPr="00E22F64" w:rsidRDefault="00E22F64" w:rsidP="00E22F64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</w:p>
    <w:p w14:paraId="7E1F3FE6" w14:textId="1FCE7278" w:rsidR="00E22F64" w:rsidRPr="00E22F64" w:rsidRDefault="00E22F64" w:rsidP="00E22F64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E22F64">
        <w:rPr>
          <w:rFonts w:ascii="Arial" w:hAnsi="Arial" w:cs="Arial"/>
          <w:b/>
          <w:bCs/>
          <w:color w:val="000000"/>
          <w:sz w:val="22"/>
          <w:szCs w:val="22"/>
        </w:rPr>
        <w:t>In estrema sintesi,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i dati di oggi su P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l ed inflazione confermano in buona parte </w:t>
      </w:r>
      <w:proofErr w:type="gramStart"/>
      <w:r w:rsidRPr="00E22F64">
        <w:rPr>
          <w:rFonts w:ascii="Arial" w:hAnsi="Arial" w:cs="Arial"/>
          <w:color w:val="000000"/>
          <w:sz w:val="22"/>
          <w:szCs w:val="22"/>
        </w:rPr>
        <w:t>i trend</w:t>
      </w:r>
      <w:proofErr w:type="gramEnd"/>
      <w:r w:rsidRPr="00E22F64">
        <w:rPr>
          <w:rFonts w:ascii="Arial" w:hAnsi="Arial" w:cs="Arial"/>
          <w:color w:val="000000"/>
          <w:sz w:val="22"/>
          <w:szCs w:val="22"/>
        </w:rPr>
        <w:t xml:space="preserve"> </w:t>
      </w:r>
      <w:r w:rsidR="005C1538">
        <w:rPr>
          <w:rFonts w:ascii="Arial" w:hAnsi="Arial" w:cs="Arial"/>
          <w:color w:val="000000"/>
          <w:sz w:val="22"/>
          <w:szCs w:val="22"/>
        </w:rPr>
        <w:t xml:space="preserve">già 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in essere: la prima economia dell'area </w:t>
      </w:r>
      <w:r w:rsidR="005C1538">
        <w:rPr>
          <w:rFonts w:ascii="Arial" w:hAnsi="Arial" w:cs="Arial"/>
          <w:color w:val="000000"/>
          <w:sz w:val="22"/>
          <w:szCs w:val="22"/>
        </w:rPr>
        <w:t xml:space="preserve">Euro 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che stenta a rientrare dalla fase recessiva, alcuni paesi del sud che dopo </w:t>
      </w:r>
      <w:r w:rsidRPr="00E22F64">
        <w:rPr>
          <w:rFonts w:ascii="Arial" w:hAnsi="Arial" w:cs="Arial"/>
          <w:color w:val="000000"/>
          <w:sz w:val="22"/>
          <w:szCs w:val="22"/>
        </w:rPr>
        <w:t>una buona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partenza d'anno hanno manifestato un rallentamento, come nel caso dell'Italia. </w:t>
      </w:r>
      <w:r w:rsidR="005C1538">
        <w:rPr>
          <w:rFonts w:ascii="Arial" w:hAnsi="Arial" w:cs="Arial"/>
          <w:color w:val="000000"/>
          <w:sz w:val="22"/>
          <w:szCs w:val="22"/>
        </w:rPr>
        <w:t>Per quest’ultima,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</w:t>
      </w:r>
      <w:r w:rsidR="005C1538">
        <w:rPr>
          <w:rFonts w:ascii="Arial" w:hAnsi="Arial" w:cs="Arial"/>
          <w:color w:val="000000"/>
          <w:sz w:val="22"/>
          <w:szCs w:val="22"/>
        </w:rPr>
        <w:t>ha di certo contribuito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(stando alle indicazioni qualitative dell'Istat nella pubblicazione preliminare) un calo della domanda interna</w:t>
      </w:r>
      <w:r w:rsidR="005C1538">
        <w:rPr>
          <w:rFonts w:ascii="Arial" w:hAnsi="Arial" w:cs="Arial"/>
          <w:color w:val="000000"/>
          <w:sz w:val="22"/>
          <w:szCs w:val="22"/>
        </w:rPr>
        <w:t>,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che nel </w:t>
      </w:r>
      <w:r w:rsidRPr="00E22F64">
        <w:rPr>
          <w:rFonts w:ascii="Arial" w:hAnsi="Arial" w:cs="Arial"/>
          <w:color w:val="000000"/>
          <w:sz w:val="22"/>
          <w:szCs w:val="22"/>
        </w:rPr>
        <w:t>trimestre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non ha trovato un contrappeso </w:t>
      </w:r>
      <w:r w:rsidR="005C1538">
        <w:rPr>
          <w:rFonts w:ascii="Arial" w:hAnsi="Arial" w:cs="Arial"/>
          <w:color w:val="000000"/>
          <w:sz w:val="22"/>
          <w:szCs w:val="22"/>
        </w:rPr>
        <w:t>ne</w:t>
      </w:r>
      <w:r w:rsidRPr="00E22F64">
        <w:rPr>
          <w:rFonts w:ascii="Arial" w:hAnsi="Arial" w:cs="Arial"/>
          <w:color w:val="000000"/>
          <w:sz w:val="22"/>
          <w:szCs w:val="22"/>
        </w:rPr>
        <w:t>lle esportazioni nette, che hanno evidenziato una contribuzione nulla. </w:t>
      </w:r>
    </w:p>
    <w:p w14:paraId="0FE35896" w14:textId="77777777" w:rsidR="00E22F64" w:rsidRPr="00E22F64" w:rsidRDefault="00E22F64" w:rsidP="00E22F64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</w:p>
    <w:p w14:paraId="1FCA3A0D" w14:textId="545B5ED7" w:rsidR="00E22F64" w:rsidRPr="00E22F64" w:rsidRDefault="00E22F64" w:rsidP="00E22F64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E22F6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Sul fronte</w:t>
      </w:r>
      <w:r w:rsidR="005C1538">
        <w:rPr>
          <w:rFonts w:ascii="Arial" w:hAnsi="Arial" w:cs="Arial"/>
          <w:b/>
          <w:bCs/>
          <w:color w:val="000000"/>
          <w:sz w:val="22"/>
          <w:szCs w:val="22"/>
        </w:rPr>
        <w:t xml:space="preserve"> dell’</w:t>
      </w:r>
      <w:r w:rsidRPr="00E22F64">
        <w:rPr>
          <w:rFonts w:ascii="Arial" w:hAnsi="Arial" w:cs="Arial"/>
          <w:b/>
          <w:bCs/>
          <w:color w:val="000000"/>
          <w:sz w:val="22"/>
          <w:szCs w:val="22"/>
        </w:rPr>
        <w:t>inflazione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si conferma la possibilità che i servizi frenino il calo della componente core mettendo la BCE sul trampolino di lancio per un eventuale ulteriore rialzo di 25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22F64">
        <w:rPr>
          <w:rFonts w:ascii="Arial" w:hAnsi="Arial" w:cs="Arial"/>
          <w:color w:val="000000"/>
          <w:sz w:val="22"/>
          <w:szCs w:val="22"/>
        </w:rPr>
        <w:t>pb</w:t>
      </w:r>
      <w:proofErr w:type="spellEnd"/>
      <w:r w:rsidRPr="00E22F64">
        <w:rPr>
          <w:rFonts w:ascii="Arial" w:hAnsi="Arial" w:cs="Arial"/>
          <w:color w:val="000000"/>
          <w:sz w:val="22"/>
          <w:szCs w:val="22"/>
        </w:rPr>
        <w:t xml:space="preserve"> entro</w:t>
      </w:r>
      <w:r w:rsidR="005C1538">
        <w:rPr>
          <w:rFonts w:ascii="Arial" w:hAnsi="Arial" w:cs="Arial"/>
          <w:color w:val="000000"/>
          <w:sz w:val="22"/>
          <w:szCs w:val="22"/>
        </w:rPr>
        <w:t xml:space="preserve"> la</w:t>
      </w:r>
      <w:r w:rsidRPr="00E22F64">
        <w:rPr>
          <w:rFonts w:ascii="Arial" w:hAnsi="Arial" w:cs="Arial"/>
          <w:color w:val="000000"/>
          <w:sz w:val="22"/>
          <w:szCs w:val="22"/>
        </w:rPr>
        <w:t xml:space="preserve"> fine </w:t>
      </w:r>
      <w:r w:rsidR="005C1538">
        <w:rPr>
          <w:rFonts w:ascii="Arial" w:hAnsi="Arial" w:cs="Arial"/>
          <w:color w:val="000000"/>
          <w:sz w:val="22"/>
          <w:szCs w:val="22"/>
        </w:rPr>
        <w:t>dell’</w:t>
      </w:r>
      <w:r w:rsidRPr="00E22F64">
        <w:rPr>
          <w:rFonts w:ascii="Arial" w:hAnsi="Arial" w:cs="Arial"/>
          <w:color w:val="000000"/>
          <w:sz w:val="22"/>
          <w:szCs w:val="22"/>
        </w:rPr>
        <w:t>anno.</w:t>
      </w:r>
    </w:p>
    <w:p w14:paraId="658F8C65" w14:textId="77777777" w:rsidR="00216645" w:rsidRDefault="00216645" w:rsidP="00BC43BE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</w:p>
    <w:p w14:paraId="7FCD3608" w14:textId="7AEFEBEB" w:rsidR="00BC43BE" w:rsidRPr="00EA4FCC" w:rsidRDefault="00BC43BE" w:rsidP="00BC43BE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  <w:r w:rsidRPr="00EA4FCC"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  <w:t xml:space="preserve">INTERMONTE </w:t>
      </w:r>
    </w:p>
    <w:p w14:paraId="7E9EC2DE" w14:textId="77777777" w:rsidR="00BC43BE" w:rsidRPr="00EA4FCC" w:rsidRDefault="00BC43BE" w:rsidP="00BC43BE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Intermonte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 è una Investment bank indipendente leader in Italia e punto di riferimento per gli investitori istituzionali italiani e internazionali nel segmento delle </w:t>
      </w: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mid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 &amp; small </w:t>
      </w: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caps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. Quotata sul mercato Euronext </w:t>
      </w: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Growth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 Milan di Borsa Italiana, presenta un modello di business diversificato su quattro linee di attività, “Investment Banking”, “Sales &amp; Trading”, Global Markets” e “Digital </w:t>
      </w: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Division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 &amp; Advisory”. L’Investment Banking offre servizi rivolti a imprese quotate e non quotate in operazioni straordinarie, incluse operazioni di Equity Capital Markets, </w:t>
      </w: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M&amp;A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 e </w:t>
      </w: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Debt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 Capital Markets. Le divisioni Sales &amp; Trading e Global Markets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La divisione “Digital </w:t>
      </w: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Division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 &amp; Advisory” è attiva nel risparmio gestito e consulenza agli investimenti. </w:t>
      </w: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Websim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 è specializzata in produzione di contenuti finanziari destinati a investitori retail. T.I.E. - The </w:t>
      </w: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Intermonte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 Eye - è l’area riservata a consulenti finanziari e private banker.</w:t>
      </w:r>
    </w:p>
    <w:p w14:paraId="2BA6C97E" w14:textId="77777777" w:rsidR="00BC43BE" w:rsidRPr="00EA4FCC" w:rsidRDefault="00BC43BE" w:rsidP="00BC43BE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388CB094" w14:textId="77777777" w:rsidR="00BC43BE" w:rsidRPr="00EA4FCC" w:rsidRDefault="00BC43BE" w:rsidP="00BC43BE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085EF463" w14:textId="77777777" w:rsidR="00BC43BE" w:rsidRPr="00EA4FCC" w:rsidRDefault="00BC43BE" w:rsidP="00BC43BE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EA4FCC">
        <w:rPr>
          <w:rFonts w:ascii="Arial" w:hAnsi="Arial" w:cs="Arial"/>
          <w:b/>
          <w:i/>
          <w:sz w:val="18"/>
          <w:szCs w:val="18"/>
        </w:rPr>
        <w:t xml:space="preserve">Contatti per la stampa: </w:t>
      </w:r>
    </w:p>
    <w:p w14:paraId="3DD22C8B" w14:textId="77777777" w:rsidR="00BC43BE" w:rsidRPr="00EA4FCC" w:rsidRDefault="00BC43BE" w:rsidP="00BC43BE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EA4FCC">
        <w:rPr>
          <w:rFonts w:ascii="Arial" w:hAnsi="Arial" w:cs="Arial"/>
          <w:b/>
          <w:i/>
          <w:sz w:val="18"/>
          <w:szCs w:val="18"/>
        </w:rPr>
        <w:t>BC Communication</w:t>
      </w:r>
    </w:p>
    <w:p w14:paraId="43039B46" w14:textId="77777777" w:rsidR="00BC43BE" w:rsidRPr="00EA4FCC" w:rsidRDefault="00BC43BE" w:rsidP="00BC43BE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EA4FCC">
        <w:rPr>
          <w:rFonts w:ascii="Arial" w:hAnsi="Arial" w:cs="Arial"/>
          <w:b/>
          <w:i/>
          <w:sz w:val="18"/>
          <w:szCs w:val="18"/>
        </w:rPr>
        <w:t xml:space="preserve">Beatrice Cagnoni </w:t>
      </w:r>
      <w:r w:rsidRPr="00EA4FCC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0" w:history="1">
        <w:r w:rsidRPr="00EA4FCC">
          <w:rPr>
            <w:rStyle w:val="Collegamentoipertestuale"/>
            <w:rFonts w:ascii="Arial" w:hAnsi="Arial" w:cs="Arial"/>
            <w:i/>
            <w:sz w:val="18"/>
            <w:szCs w:val="18"/>
          </w:rPr>
          <w:t>beatrice.cagnoni@bc-communication.it</w:t>
        </w:r>
      </w:hyperlink>
      <w:r w:rsidRPr="00EA4FCC">
        <w:rPr>
          <w:rStyle w:val="Collegamentoipertestuale"/>
          <w:rFonts w:ascii="Arial" w:hAnsi="Arial" w:cs="Arial"/>
          <w:i/>
          <w:sz w:val="18"/>
          <w:szCs w:val="18"/>
          <w:u w:val="none"/>
        </w:rPr>
        <w:t xml:space="preserve"> </w:t>
      </w:r>
      <w:r w:rsidRPr="00EA4FCC">
        <w:rPr>
          <w:rFonts w:ascii="Arial" w:hAnsi="Arial" w:cs="Arial"/>
          <w:bCs/>
          <w:i/>
          <w:sz w:val="18"/>
          <w:szCs w:val="18"/>
        </w:rPr>
        <w:t xml:space="preserve">– </w:t>
      </w:r>
      <w:r w:rsidRPr="00EA4FCC">
        <w:rPr>
          <w:rFonts w:ascii="Arial" w:hAnsi="Arial" w:cs="Arial"/>
          <w:b/>
          <w:i/>
          <w:sz w:val="18"/>
          <w:szCs w:val="18"/>
        </w:rPr>
        <w:t>+39 335 5635111</w:t>
      </w:r>
    </w:p>
    <w:p w14:paraId="7C68B0E8" w14:textId="77777777" w:rsidR="00BC43BE" w:rsidRPr="00EA4FCC" w:rsidRDefault="00BC43BE" w:rsidP="00BC43BE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EA4FCC">
        <w:rPr>
          <w:rFonts w:ascii="Arial" w:hAnsi="Arial" w:cs="Arial"/>
          <w:b/>
          <w:i/>
          <w:sz w:val="18"/>
          <w:szCs w:val="18"/>
        </w:rPr>
        <w:t xml:space="preserve">Federica Guerrini </w:t>
      </w:r>
      <w:r w:rsidRPr="00EA4FCC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1" w:history="1">
        <w:r w:rsidRPr="00EA4FCC">
          <w:rPr>
            <w:rStyle w:val="Collegamentoipertestuale"/>
            <w:rFonts w:ascii="Arial" w:hAnsi="Arial" w:cs="Arial"/>
            <w:bCs/>
            <w:i/>
            <w:sz w:val="18"/>
            <w:szCs w:val="18"/>
          </w:rPr>
          <w:t>federica.guerrini@bc-communication.it</w:t>
        </w:r>
      </w:hyperlink>
      <w:r w:rsidRPr="00EA4FCC">
        <w:rPr>
          <w:rFonts w:ascii="Arial" w:hAnsi="Arial" w:cs="Arial"/>
          <w:bCs/>
          <w:i/>
          <w:sz w:val="18"/>
          <w:szCs w:val="18"/>
        </w:rPr>
        <w:t xml:space="preserve"> - </w:t>
      </w:r>
      <w:r w:rsidRPr="00EA4FCC">
        <w:rPr>
          <w:rFonts w:ascii="Arial" w:hAnsi="Arial" w:cs="Arial"/>
          <w:b/>
          <w:i/>
          <w:sz w:val="18"/>
          <w:szCs w:val="18"/>
        </w:rPr>
        <w:t>+39 340 7500862</w:t>
      </w:r>
    </w:p>
    <w:p w14:paraId="7F81618D" w14:textId="77777777" w:rsidR="00A76468" w:rsidRPr="00EA4FCC" w:rsidRDefault="00A76468" w:rsidP="006D3714">
      <w:pPr>
        <w:pStyle w:val="notaintermonte"/>
        <w:spacing w:line="20" w:lineRule="atLeast"/>
        <w:rPr>
          <w:rFonts w:ascii="Arial" w:hAnsi="Arial" w:cs="Arial"/>
          <w:b/>
          <w:bCs/>
          <w:spacing w:val="-2"/>
          <w:u w:val="single"/>
        </w:rPr>
      </w:pPr>
    </w:p>
    <w:sectPr w:rsidR="00A76468" w:rsidRPr="00EA4FCC" w:rsidSect="00BC43BE">
      <w:footerReference w:type="default" r:id="rId12"/>
      <w:headerReference w:type="first" r:id="rId13"/>
      <w:pgSz w:w="11906" w:h="16838" w:code="9"/>
      <w:pgMar w:top="1417" w:right="1134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C836" w14:textId="77777777" w:rsidR="0035756F" w:rsidRDefault="0035756F" w:rsidP="00652E76">
      <w:pPr>
        <w:spacing w:after="0" w:line="240" w:lineRule="auto"/>
      </w:pPr>
      <w:r>
        <w:separator/>
      </w:r>
    </w:p>
  </w:endnote>
  <w:endnote w:type="continuationSeparator" w:id="0">
    <w:p w14:paraId="242D74DE" w14:textId="77777777" w:rsidR="0035756F" w:rsidRDefault="0035756F" w:rsidP="0065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470120"/>
      <w:docPartObj>
        <w:docPartGallery w:val="Page Numbers (Bottom of Page)"/>
        <w:docPartUnique/>
      </w:docPartObj>
    </w:sdtPr>
    <w:sdtContent>
      <w:p w14:paraId="4A5CDA46" w14:textId="1D010531" w:rsidR="00EA4FCC" w:rsidRDefault="00EA4F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6B4DF" w14:textId="77777777" w:rsidR="00EA4FCC" w:rsidRDefault="00EA4F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1EEE" w14:textId="77777777" w:rsidR="0035756F" w:rsidRDefault="0035756F" w:rsidP="00652E76">
      <w:pPr>
        <w:spacing w:after="0" w:line="240" w:lineRule="auto"/>
      </w:pPr>
      <w:r>
        <w:separator/>
      </w:r>
    </w:p>
  </w:footnote>
  <w:footnote w:type="continuationSeparator" w:id="0">
    <w:p w14:paraId="16B8A9EB" w14:textId="77777777" w:rsidR="0035756F" w:rsidRDefault="0035756F" w:rsidP="0065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F26" w14:textId="7F0DACD1" w:rsidR="0000155C" w:rsidRDefault="0000155C" w:rsidP="000015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ABBA7F" wp14:editId="391E7B9F">
          <wp:extent cx="2160000" cy="53607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RMO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1080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5688E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ullet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756" w:hanging="396"/>
      </w:pPr>
      <w:rPr>
        <w:rFonts w:ascii="Calibri" w:hAnsi="Calibri" w:cs="Symbol"/>
        <w:color w:val="000000"/>
      </w:rPr>
    </w:lvl>
  </w:abstractNum>
  <w:abstractNum w:abstractNumId="7" w15:restartNumberingAfterBreak="0">
    <w:nsid w:val="00B54CE3"/>
    <w:multiLevelType w:val="multilevel"/>
    <w:tmpl w:val="E61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CF225D"/>
    <w:multiLevelType w:val="multilevel"/>
    <w:tmpl w:val="F3D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4C82D29"/>
    <w:multiLevelType w:val="multilevel"/>
    <w:tmpl w:val="74C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5A3FA8"/>
    <w:multiLevelType w:val="multilevel"/>
    <w:tmpl w:val="ABD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F37E4"/>
    <w:multiLevelType w:val="multilevel"/>
    <w:tmpl w:val="D7C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873761"/>
    <w:multiLevelType w:val="multilevel"/>
    <w:tmpl w:val="833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4F6D54"/>
    <w:multiLevelType w:val="multilevel"/>
    <w:tmpl w:val="102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752799"/>
    <w:multiLevelType w:val="multilevel"/>
    <w:tmpl w:val="874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AC3EE0"/>
    <w:multiLevelType w:val="multilevel"/>
    <w:tmpl w:val="BAC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1E65B8"/>
    <w:multiLevelType w:val="multilevel"/>
    <w:tmpl w:val="FCA01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6D7074"/>
    <w:multiLevelType w:val="multilevel"/>
    <w:tmpl w:val="A37A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942DED"/>
    <w:multiLevelType w:val="multilevel"/>
    <w:tmpl w:val="2220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B519B0"/>
    <w:multiLevelType w:val="multilevel"/>
    <w:tmpl w:val="460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4C0802"/>
    <w:multiLevelType w:val="multilevel"/>
    <w:tmpl w:val="E53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776E2C"/>
    <w:multiLevelType w:val="multilevel"/>
    <w:tmpl w:val="993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452740"/>
    <w:multiLevelType w:val="multilevel"/>
    <w:tmpl w:val="143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756D24"/>
    <w:multiLevelType w:val="multilevel"/>
    <w:tmpl w:val="80C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543B7C"/>
    <w:multiLevelType w:val="multilevel"/>
    <w:tmpl w:val="793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C94B27"/>
    <w:multiLevelType w:val="multilevel"/>
    <w:tmpl w:val="9BC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F75791"/>
    <w:multiLevelType w:val="multilevel"/>
    <w:tmpl w:val="43A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3E6734"/>
    <w:multiLevelType w:val="multilevel"/>
    <w:tmpl w:val="063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FD0374"/>
    <w:multiLevelType w:val="multilevel"/>
    <w:tmpl w:val="35A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710E0A"/>
    <w:multiLevelType w:val="multilevel"/>
    <w:tmpl w:val="8C9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68156A"/>
    <w:multiLevelType w:val="multilevel"/>
    <w:tmpl w:val="6F2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EC3C67"/>
    <w:multiLevelType w:val="multilevel"/>
    <w:tmpl w:val="0190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9036FB"/>
    <w:multiLevelType w:val="multilevel"/>
    <w:tmpl w:val="E26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7D6EC7"/>
    <w:multiLevelType w:val="multilevel"/>
    <w:tmpl w:val="4E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9B0441"/>
    <w:multiLevelType w:val="multilevel"/>
    <w:tmpl w:val="A366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8861E5"/>
    <w:multiLevelType w:val="multilevel"/>
    <w:tmpl w:val="9AE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586D97"/>
    <w:multiLevelType w:val="multilevel"/>
    <w:tmpl w:val="FFB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99438E"/>
    <w:multiLevelType w:val="multilevel"/>
    <w:tmpl w:val="E2A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A46956"/>
    <w:multiLevelType w:val="multilevel"/>
    <w:tmpl w:val="933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617174"/>
    <w:multiLevelType w:val="multilevel"/>
    <w:tmpl w:val="9DD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833C39"/>
    <w:multiLevelType w:val="multilevel"/>
    <w:tmpl w:val="1C8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050046"/>
    <w:multiLevelType w:val="multilevel"/>
    <w:tmpl w:val="447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9C2C5F"/>
    <w:multiLevelType w:val="multilevel"/>
    <w:tmpl w:val="F2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403FD4"/>
    <w:multiLevelType w:val="multilevel"/>
    <w:tmpl w:val="B72E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1167C5"/>
    <w:multiLevelType w:val="multilevel"/>
    <w:tmpl w:val="634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B24E8C"/>
    <w:multiLevelType w:val="multilevel"/>
    <w:tmpl w:val="4152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424F9A"/>
    <w:multiLevelType w:val="multilevel"/>
    <w:tmpl w:val="1D0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20105C"/>
    <w:multiLevelType w:val="multilevel"/>
    <w:tmpl w:val="B1C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2D4468"/>
    <w:multiLevelType w:val="multilevel"/>
    <w:tmpl w:val="09B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C2153DD"/>
    <w:multiLevelType w:val="multilevel"/>
    <w:tmpl w:val="090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123BB1"/>
    <w:multiLevelType w:val="multilevel"/>
    <w:tmpl w:val="8EE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E6C3BA4"/>
    <w:multiLevelType w:val="multilevel"/>
    <w:tmpl w:val="8CAAE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1166122">
    <w:abstractNumId w:val="2"/>
  </w:num>
  <w:num w:numId="2" w16cid:durableId="1846629177">
    <w:abstractNumId w:val="3"/>
  </w:num>
  <w:num w:numId="3" w16cid:durableId="1015426339">
    <w:abstractNumId w:val="4"/>
  </w:num>
  <w:num w:numId="4" w16cid:durableId="1520700158">
    <w:abstractNumId w:val="1"/>
  </w:num>
  <w:num w:numId="5" w16cid:durableId="1866602473">
    <w:abstractNumId w:val="0"/>
  </w:num>
  <w:num w:numId="6" w16cid:durableId="1912425940">
    <w:abstractNumId w:val="10"/>
  </w:num>
  <w:num w:numId="7" w16cid:durableId="75442133">
    <w:abstractNumId w:val="40"/>
  </w:num>
  <w:num w:numId="8" w16cid:durableId="1502354731">
    <w:abstractNumId w:val="35"/>
  </w:num>
  <w:num w:numId="9" w16cid:durableId="1159007046">
    <w:abstractNumId w:val="47"/>
  </w:num>
  <w:num w:numId="10" w16cid:durableId="1071583816">
    <w:abstractNumId w:val="15"/>
  </w:num>
  <w:num w:numId="11" w16cid:durableId="1773238840">
    <w:abstractNumId w:val="41"/>
  </w:num>
  <w:num w:numId="12" w16cid:durableId="1475416074">
    <w:abstractNumId w:val="26"/>
  </w:num>
  <w:num w:numId="13" w16cid:durableId="1911310375">
    <w:abstractNumId w:val="22"/>
  </w:num>
  <w:num w:numId="14" w16cid:durableId="562133050">
    <w:abstractNumId w:val="29"/>
  </w:num>
  <w:num w:numId="15" w16cid:durableId="911350417">
    <w:abstractNumId w:val="46"/>
  </w:num>
  <w:num w:numId="16" w16cid:durableId="211770006">
    <w:abstractNumId w:val="21"/>
  </w:num>
  <w:num w:numId="17" w16cid:durableId="1675844259">
    <w:abstractNumId w:val="33"/>
  </w:num>
  <w:num w:numId="18" w16cid:durableId="1945729841">
    <w:abstractNumId w:val="19"/>
  </w:num>
  <w:num w:numId="19" w16cid:durableId="1849246288">
    <w:abstractNumId w:val="27"/>
  </w:num>
  <w:num w:numId="20" w16cid:durableId="1664627395">
    <w:abstractNumId w:val="39"/>
  </w:num>
  <w:num w:numId="21" w16cid:durableId="1930195021">
    <w:abstractNumId w:val="20"/>
  </w:num>
  <w:num w:numId="22" w16cid:durableId="1230382549">
    <w:abstractNumId w:val="25"/>
  </w:num>
  <w:num w:numId="23" w16cid:durableId="1602834213">
    <w:abstractNumId w:val="28"/>
  </w:num>
  <w:num w:numId="24" w16cid:durableId="236979604">
    <w:abstractNumId w:val="30"/>
  </w:num>
  <w:num w:numId="25" w16cid:durableId="1730954519">
    <w:abstractNumId w:val="23"/>
  </w:num>
  <w:num w:numId="26" w16cid:durableId="832911448">
    <w:abstractNumId w:val="32"/>
  </w:num>
  <w:num w:numId="27" w16cid:durableId="1350520802">
    <w:abstractNumId w:val="44"/>
  </w:num>
  <w:num w:numId="28" w16cid:durableId="2033845447">
    <w:abstractNumId w:val="9"/>
  </w:num>
  <w:num w:numId="29" w16cid:durableId="294414855">
    <w:abstractNumId w:val="36"/>
  </w:num>
  <w:num w:numId="30" w16cid:durableId="556012639">
    <w:abstractNumId w:val="48"/>
  </w:num>
  <w:num w:numId="31" w16cid:durableId="1600408554">
    <w:abstractNumId w:val="37"/>
  </w:num>
  <w:num w:numId="32" w16cid:durableId="1904828800">
    <w:abstractNumId w:val="7"/>
  </w:num>
  <w:num w:numId="33" w16cid:durableId="348222447">
    <w:abstractNumId w:val="50"/>
  </w:num>
  <w:num w:numId="34" w16cid:durableId="1788115590">
    <w:abstractNumId w:val="24"/>
  </w:num>
  <w:num w:numId="35" w16cid:durableId="354310954">
    <w:abstractNumId w:val="42"/>
  </w:num>
  <w:num w:numId="36" w16cid:durableId="135339046">
    <w:abstractNumId w:val="49"/>
  </w:num>
  <w:num w:numId="37" w16cid:durableId="1060129259">
    <w:abstractNumId w:val="13"/>
  </w:num>
  <w:num w:numId="38" w16cid:durableId="441917527">
    <w:abstractNumId w:val="11"/>
  </w:num>
  <w:num w:numId="39" w16cid:durableId="454492761">
    <w:abstractNumId w:val="38"/>
  </w:num>
  <w:num w:numId="40" w16cid:durableId="1477141141">
    <w:abstractNumId w:val="38"/>
  </w:num>
  <w:num w:numId="41" w16cid:durableId="1286542535">
    <w:abstractNumId w:val="16"/>
  </w:num>
  <w:num w:numId="42" w16cid:durableId="907417395">
    <w:abstractNumId w:val="45"/>
  </w:num>
  <w:num w:numId="43" w16cid:durableId="237640234">
    <w:abstractNumId w:val="43"/>
  </w:num>
  <w:num w:numId="44" w16cid:durableId="780763063">
    <w:abstractNumId w:val="31"/>
  </w:num>
  <w:num w:numId="45" w16cid:durableId="233198967">
    <w:abstractNumId w:val="8"/>
  </w:num>
  <w:num w:numId="46" w16cid:durableId="1793862398">
    <w:abstractNumId w:val="51"/>
  </w:num>
  <w:num w:numId="47" w16cid:durableId="726416046">
    <w:abstractNumId w:val="34"/>
  </w:num>
  <w:num w:numId="48" w16cid:durableId="1861629224">
    <w:abstractNumId w:val="12"/>
  </w:num>
  <w:num w:numId="49" w16cid:durableId="781802156">
    <w:abstractNumId w:val="17"/>
  </w:num>
  <w:num w:numId="50" w16cid:durableId="347610504">
    <w:abstractNumId w:val="18"/>
  </w:num>
  <w:num w:numId="51" w16cid:durableId="167595809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47C9E"/>
    <w:rsid w:val="0000083D"/>
    <w:rsid w:val="00000E27"/>
    <w:rsid w:val="0000155C"/>
    <w:rsid w:val="0000310B"/>
    <w:rsid w:val="00004334"/>
    <w:rsid w:val="00005043"/>
    <w:rsid w:val="000058B5"/>
    <w:rsid w:val="00005950"/>
    <w:rsid w:val="00005BB6"/>
    <w:rsid w:val="00005C08"/>
    <w:rsid w:val="0000613A"/>
    <w:rsid w:val="000063DC"/>
    <w:rsid w:val="0000696A"/>
    <w:rsid w:val="00007C99"/>
    <w:rsid w:val="00012BEA"/>
    <w:rsid w:val="00015719"/>
    <w:rsid w:val="00016917"/>
    <w:rsid w:val="000171B7"/>
    <w:rsid w:val="00017286"/>
    <w:rsid w:val="0001741D"/>
    <w:rsid w:val="000201D3"/>
    <w:rsid w:val="00020390"/>
    <w:rsid w:val="000221B3"/>
    <w:rsid w:val="00022218"/>
    <w:rsid w:val="0002460F"/>
    <w:rsid w:val="00024DA5"/>
    <w:rsid w:val="00024F22"/>
    <w:rsid w:val="000257B3"/>
    <w:rsid w:val="00030899"/>
    <w:rsid w:val="00030FCF"/>
    <w:rsid w:val="00031C27"/>
    <w:rsid w:val="000328E2"/>
    <w:rsid w:val="000343B4"/>
    <w:rsid w:val="0003465F"/>
    <w:rsid w:val="000349F1"/>
    <w:rsid w:val="00034E3A"/>
    <w:rsid w:val="00034F8E"/>
    <w:rsid w:val="0003578D"/>
    <w:rsid w:val="000373E5"/>
    <w:rsid w:val="00043461"/>
    <w:rsid w:val="00044534"/>
    <w:rsid w:val="000445E4"/>
    <w:rsid w:val="00044B44"/>
    <w:rsid w:val="00045130"/>
    <w:rsid w:val="00046C67"/>
    <w:rsid w:val="0004711E"/>
    <w:rsid w:val="00047484"/>
    <w:rsid w:val="00052756"/>
    <w:rsid w:val="0005289D"/>
    <w:rsid w:val="0005452D"/>
    <w:rsid w:val="00055536"/>
    <w:rsid w:val="0005714F"/>
    <w:rsid w:val="000578A5"/>
    <w:rsid w:val="00057C91"/>
    <w:rsid w:val="00057E9C"/>
    <w:rsid w:val="000629BF"/>
    <w:rsid w:val="0006313D"/>
    <w:rsid w:val="0006429A"/>
    <w:rsid w:val="000648D1"/>
    <w:rsid w:val="000668D0"/>
    <w:rsid w:val="00067A12"/>
    <w:rsid w:val="0007061A"/>
    <w:rsid w:val="00070DBE"/>
    <w:rsid w:val="00072A6C"/>
    <w:rsid w:val="00072A8C"/>
    <w:rsid w:val="0007319A"/>
    <w:rsid w:val="00073FC5"/>
    <w:rsid w:val="000744FD"/>
    <w:rsid w:val="00074BDA"/>
    <w:rsid w:val="00075ECD"/>
    <w:rsid w:val="00076F2B"/>
    <w:rsid w:val="0007772F"/>
    <w:rsid w:val="00082526"/>
    <w:rsid w:val="00082845"/>
    <w:rsid w:val="0008358B"/>
    <w:rsid w:val="00083A1B"/>
    <w:rsid w:val="00084D9A"/>
    <w:rsid w:val="00085FF7"/>
    <w:rsid w:val="00092F60"/>
    <w:rsid w:val="00093B7F"/>
    <w:rsid w:val="00095032"/>
    <w:rsid w:val="000A015F"/>
    <w:rsid w:val="000A098C"/>
    <w:rsid w:val="000A241A"/>
    <w:rsid w:val="000A2805"/>
    <w:rsid w:val="000A2F97"/>
    <w:rsid w:val="000A4BF1"/>
    <w:rsid w:val="000A5ABB"/>
    <w:rsid w:val="000A5D81"/>
    <w:rsid w:val="000A73E8"/>
    <w:rsid w:val="000A76B5"/>
    <w:rsid w:val="000B1F85"/>
    <w:rsid w:val="000B546F"/>
    <w:rsid w:val="000B5872"/>
    <w:rsid w:val="000B6671"/>
    <w:rsid w:val="000B7841"/>
    <w:rsid w:val="000B79A5"/>
    <w:rsid w:val="000B7C48"/>
    <w:rsid w:val="000B7E51"/>
    <w:rsid w:val="000C0DD4"/>
    <w:rsid w:val="000C10F0"/>
    <w:rsid w:val="000C14D0"/>
    <w:rsid w:val="000C16F0"/>
    <w:rsid w:val="000C1A93"/>
    <w:rsid w:val="000C1D2E"/>
    <w:rsid w:val="000C29B3"/>
    <w:rsid w:val="000C3B7B"/>
    <w:rsid w:val="000C5572"/>
    <w:rsid w:val="000C6C01"/>
    <w:rsid w:val="000D0DB9"/>
    <w:rsid w:val="000D1EB9"/>
    <w:rsid w:val="000D278C"/>
    <w:rsid w:val="000D45F6"/>
    <w:rsid w:val="000D46FC"/>
    <w:rsid w:val="000D4DC4"/>
    <w:rsid w:val="000D75DB"/>
    <w:rsid w:val="000D7A05"/>
    <w:rsid w:val="000E0AA5"/>
    <w:rsid w:val="000E1369"/>
    <w:rsid w:val="000E1782"/>
    <w:rsid w:val="000E2668"/>
    <w:rsid w:val="000E417E"/>
    <w:rsid w:val="000E46AD"/>
    <w:rsid w:val="000E4F3F"/>
    <w:rsid w:val="000E55AE"/>
    <w:rsid w:val="000E6385"/>
    <w:rsid w:val="000E7DDB"/>
    <w:rsid w:val="000F1F74"/>
    <w:rsid w:val="000F4C05"/>
    <w:rsid w:val="000F6B53"/>
    <w:rsid w:val="000F6DD5"/>
    <w:rsid w:val="00100546"/>
    <w:rsid w:val="00102622"/>
    <w:rsid w:val="00102DFC"/>
    <w:rsid w:val="0010342B"/>
    <w:rsid w:val="00104A31"/>
    <w:rsid w:val="001050CB"/>
    <w:rsid w:val="00107694"/>
    <w:rsid w:val="00111B9E"/>
    <w:rsid w:val="00113EA5"/>
    <w:rsid w:val="00113FBF"/>
    <w:rsid w:val="001168AD"/>
    <w:rsid w:val="00116D8B"/>
    <w:rsid w:val="00120F8A"/>
    <w:rsid w:val="00121470"/>
    <w:rsid w:val="00122523"/>
    <w:rsid w:val="001232C9"/>
    <w:rsid w:val="00124217"/>
    <w:rsid w:val="00126CFE"/>
    <w:rsid w:val="00130804"/>
    <w:rsid w:val="00130D1C"/>
    <w:rsid w:val="00133B9C"/>
    <w:rsid w:val="0013435C"/>
    <w:rsid w:val="00136A35"/>
    <w:rsid w:val="001370BA"/>
    <w:rsid w:val="00137668"/>
    <w:rsid w:val="00141B5E"/>
    <w:rsid w:val="00142699"/>
    <w:rsid w:val="00144429"/>
    <w:rsid w:val="00145B72"/>
    <w:rsid w:val="00147769"/>
    <w:rsid w:val="001510A6"/>
    <w:rsid w:val="00151B79"/>
    <w:rsid w:val="00153EE6"/>
    <w:rsid w:val="00154ABA"/>
    <w:rsid w:val="00155356"/>
    <w:rsid w:val="001608B6"/>
    <w:rsid w:val="001609E2"/>
    <w:rsid w:val="00161428"/>
    <w:rsid w:val="00161561"/>
    <w:rsid w:val="00161DBD"/>
    <w:rsid w:val="00164DB9"/>
    <w:rsid w:val="0016679E"/>
    <w:rsid w:val="00170604"/>
    <w:rsid w:val="0017242B"/>
    <w:rsid w:val="001748AB"/>
    <w:rsid w:val="00174FF5"/>
    <w:rsid w:val="001763A2"/>
    <w:rsid w:val="0017657F"/>
    <w:rsid w:val="001805A3"/>
    <w:rsid w:val="00180DBF"/>
    <w:rsid w:val="00181486"/>
    <w:rsid w:val="001820B1"/>
    <w:rsid w:val="0018272A"/>
    <w:rsid w:val="00182951"/>
    <w:rsid w:val="00183096"/>
    <w:rsid w:val="0018336E"/>
    <w:rsid w:val="00183D3F"/>
    <w:rsid w:val="001842EE"/>
    <w:rsid w:val="00184632"/>
    <w:rsid w:val="001846CA"/>
    <w:rsid w:val="001847FB"/>
    <w:rsid w:val="00186517"/>
    <w:rsid w:val="00186E69"/>
    <w:rsid w:val="00187BBA"/>
    <w:rsid w:val="00190082"/>
    <w:rsid w:val="00190904"/>
    <w:rsid w:val="00190D3D"/>
    <w:rsid w:val="0019156E"/>
    <w:rsid w:val="00191A66"/>
    <w:rsid w:val="00193C2C"/>
    <w:rsid w:val="001947B2"/>
    <w:rsid w:val="001A066D"/>
    <w:rsid w:val="001A3537"/>
    <w:rsid w:val="001A4887"/>
    <w:rsid w:val="001A4A32"/>
    <w:rsid w:val="001A559E"/>
    <w:rsid w:val="001A5F18"/>
    <w:rsid w:val="001B0802"/>
    <w:rsid w:val="001B19BC"/>
    <w:rsid w:val="001B2512"/>
    <w:rsid w:val="001B2977"/>
    <w:rsid w:val="001B31DE"/>
    <w:rsid w:val="001B3288"/>
    <w:rsid w:val="001B4422"/>
    <w:rsid w:val="001B595B"/>
    <w:rsid w:val="001B59AA"/>
    <w:rsid w:val="001B776E"/>
    <w:rsid w:val="001C0F58"/>
    <w:rsid w:val="001C12F7"/>
    <w:rsid w:val="001C1624"/>
    <w:rsid w:val="001C3E55"/>
    <w:rsid w:val="001C5D3D"/>
    <w:rsid w:val="001C6319"/>
    <w:rsid w:val="001C71C0"/>
    <w:rsid w:val="001D123A"/>
    <w:rsid w:val="001D158B"/>
    <w:rsid w:val="001D1E9B"/>
    <w:rsid w:val="001D56C0"/>
    <w:rsid w:val="001D5977"/>
    <w:rsid w:val="001D788F"/>
    <w:rsid w:val="001D7A2D"/>
    <w:rsid w:val="001E06D5"/>
    <w:rsid w:val="001E14CD"/>
    <w:rsid w:val="001E25D1"/>
    <w:rsid w:val="001E470A"/>
    <w:rsid w:val="001E4AD1"/>
    <w:rsid w:val="001E564A"/>
    <w:rsid w:val="001E5701"/>
    <w:rsid w:val="001E6442"/>
    <w:rsid w:val="001E6F88"/>
    <w:rsid w:val="001E6FC3"/>
    <w:rsid w:val="001E7B72"/>
    <w:rsid w:val="001F0654"/>
    <w:rsid w:val="001F1FD7"/>
    <w:rsid w:val="001F2498"/>
    <w:rsid w:val="001F346F"/>
    <w:rsid w:val="001F3D83"/>
    <w:rsid w:val="001F5217"/>
    <w:rsid w:val="001F595B"/>
    <w:rsid w:val="001F65BF"/>
    <w:rsid w:val="00200262"/>
    <w:rsid w:val="002025DC"/>
    <w:rsid w:val="002048BD"/>
    <w:rsid w:val="0021277C"/>
    <w:rsid w:val="00214796"/>
    <w:rsid w:val="00215699"/>
    <w:rsid w:val="00216645"/>
    <w:rsid w:val="00217006"/>
    <w:rsid w:val="00221AAE"/>
    <w:rsid w:val="00221C58"/>
    <w:rsid w:val="002220FF"/>
    <w:rsid w:val="002224EE"/>
    <w:rsid w:val="00225A08"/>
    <w:rsid w:val="002300BF"/>
    <w:rsid w:val="002322C9"/>
    <w:rsid w:val="00234867"/>
    <w:rsid w:val="00235263"/>
    <w:rsid w:val="00235885"/>
    <w:rsid w:val="002408C8"/>
    <w:rsid w:val="00242FCD"/>
    <w:rsid w:val="002461B4"/>
    <w:rsid w:val="002467BE"/>
    <w:rsid w:val="00247B0D"/>
    <w:rsid w:val="0025003E"/>
    <w:rsid w:val="00251A91"/>
    <w:rsid w:val="00251D9B"/>
    <w:rsid w:val="00252B0F"/>
    <w:rsid w:val="00253364"/>
    <w:rsid w:val="00253A97"/>
    <w:rsid w:val="00253B02"/>
    <w:rsid w:val="0025403B"/>
    <w:rsid w:val="002568F6"/>
    <w:rsid w:val="002572C6"/>
    <w:rsid w:val="0026048B"/>
    <w:rsid w:val="002605BE"/>
    <w:rsid w:val="00260C7B"/>
    <w:rsid w:val="0026532D"/>
    <w:rsid w:val="00265602"/>
    <w:rsid w:val="002660CE"/>
    <w:rsid w:val="002664FC"/>
    <w:rsid w:val="0026705E"/>
    <w:rsid w:val="002719FF"/>
    <w:rsid w:val="002735A1"/>
    <w:rsid w:val="002747C7"/>
    <w:rsid w:val="0027617E"/>
    <w:rsid w:val="00276C3B"/>
    <w:rsid w:val="00281559"/>
    <w:rsid w:val="00282942"/>
    <w:rsid w:val="00295AB1"/>
    <w:rsid w:val="00295CC2"/>
    <w:rsid w:val="00295E59"/>
    <w:rsid w:val="0029665A"/>
    <w:rsid w:val="00296BC5"/>
    <w:rsid w:val="00297BB4"/>
    <w:rsid w:val="002A0E82"/>
    <w:rsid w:val="002A19DC"/>
    <w:rsid w:val="002A60AA"/>
    <w:rsid w:val="002A6A13"/>
    <w:rsid w:val="002A6F82"/>
    <w:rsid w:val="002A76A2"/>
    <w:rsid w:val="002B3415"/>
    <w:rsid w:val="002B5132"/>
    <w:rsid w:val="002B620D"/>
    <w:rsid w:val="002B650E"/>
    <w:rsid w:val="002C0668"/>
    <w:rsid w:val="002C4A24"/>
    <w:rsid w:val="002C657E"/>
    <w:rsid w:val="002C6801"/>
    <w:rsid w:val="002C6D98"/>
    <w:rsid w:val="002D0E4C"/>
    <w:rsid w:val="002D1502"/>
    <w:rsid w:val="002D1B92"/>
    <w:rsid w:val="002D4580"/>
    <w:rsid w:val="002D5DA1"/>
    <w:rsid w:val="002D6FA0"/>
    <w:rsid w:val="002D701D"/>
    <w:rsid w:val="002E1421"/>
    <w:rsid w:val="002E1564"/>
    <w:rsid w:val="002E2104"/>
    <w:rsid w:val="002E50B7"/>
    <w:rsid w:val="002E723F"/>
    <w:rsid w:val="002F10E3"/>
    <w:rsid w:val="002F123E"/>
    <w:rsid w:val="002F269F"/>
    <w:rsid w:val="002F3304"/>
    <w:rsid w:val="002F3EE6"/>
    <w:rsid w:val="002F65A6"/>
    <w:rsid w:val="002F684C"/>
    <w:rsid w:val="002F7277"/>
    <w:rsid w:val="002F73F5"/>
    <w:rsid w:val="003008EE"/>
    <w:rsid w:val="00301718"/>
    <w:rsid w:val="00301906"/>
    <w:rsid w:val="00301D0B"/>
    <w:rsid w:val="0030249A"/>
    <w:rsid w:val="00304640"/>
    <w:rsid w:val="00305161"/>
    <w:rsid w:val="003051F2"/>
    <w:rsid w:val="00305E16"/>
    <w:rsid w:val="00306D53"/>
    <w:rsid w:val="00307063"/>
    <w:rsid w:val="00312ADA"/>
    <w:rsid w:val="00314B42"/>
    <w:rsid w:val="00314FE7"/>
    <w:rsid w:val="00315530"/>
    <w:rsid w:val="00315A8D"/>
    <w:rsid w:val="0031627F"/>
    <w:rsid w:val="003173F6"/>
    <w:rsid w:val="003175B7"/>
    <w:rsid w:val="00317974"/>
    <w:rsid w:val="003203AD"/>
    <w:rsid w:val="003205D4"/>
    <w:rsid w:val="0032288F"/>
    <w:rsid w:val="00323C82"/>
    <w:rsid w:val="00324419"/>
    <w:rsid w:val="00324544"/>
    <w:rsid w:val="00324A7A"/>
    <w:rsid w:val="00324AF5"/>
    <w:rsid w:val="003257DF"/>
    <w:rsid w:val="00326798"/>
    <w:rsid w:val="00326C2B"/>
    <w:rsid w:val="003303D0"/>
    <w:rsid w:val="0033043A"/>
    <w:rsid w:val="00330B71"/>
    <w:rsid w:val="00331330"/>
    <w:rsid w:val="00331EBD"/>
    <w:rsid w:val="0033216D"/>
    <w:rsid w:val="00332543"/>
    <w:rsid w:val="00333D86"/>
    <w:rsid w:val="0033410B"/>
    <w:rsid w:val="00337023"/>
    <w:rsid w:val="003374AC"/>
    <w:rsid w:val="00337A66"/>
    <w:rsid w:val="00340151"/>
    <w:rsid w:val="00340CC2"/>
    <w:rsid w:val="0034161E"/>
    <w:rsid w:val="00342042"/>
    <w:rsid w:val="00343AEB"/>
    <w:rsid w:val="00343E2F"/>
    <w:rsid w:val="0034413A"/>
    <w:rsid w:val="00344548"/>
    <w:rsid w:val="003445B9"/>
    <w:rsid w:val="003446FA"/>
    <w:rsid w:val="0034548E"/>
    <w:rsid w:val="0034582D"/>
    <w:rsid w:val="003458CC"/>
    <w:rsid w:val="00345FE2"/>
    <w:rsid w:val="0035013F"/>
    <w:rsid w:val="003505FA"/>
    <w:rsid w:val="00350F2E"/>
    <w:rsid w:val="00352842"/>
    <w:rsid w:val="00353833"/>
    <w:rsid w:val="003539DF"/>
    <w:rsid w:val="00353D89"/>
    <w:rsid w:val="0035557D"/>
    <w:rsid w:val="0035625A"/>
    <w:rsid w:val="0035715B"/>
    <w:rsid w:val="00357225"/>
    <w:rsid w:val="0035756F"/>
    <w:rsid w:val="0036031C"/>
    <w:rsid w:val="00360E37"/>
    <w:rsid w:val="00360EA6"/>
    <w:rsid w:val="00361A4A"/>
    <w:rsid w:val="00363760"/>
    <w:rsid w:val="00363FD7"/>
    <w:rsid w:val="00365190"/>
    <w:rsid w:val="00365923"/>
    <w:rsid w:val="00366041"/>
    <w:rsid w:val="00366AD8"/>
    <w:rsid w:val="00367B3C"/>
    <w:rsid w:val="00370214"/>
    <w:rsid w:val="003719CB"/>
    <w:rsid w:val="00373919"/>
    <w:rsid w:val="00375523"/>
    <w:rsid w:val="00376669"/>
    <w:rsid w:val="00377425"/>
    <w:rsid w:val="003774BC"/>
    <w:rsid w:val="00377719"/>
    <w:rsid w:val="00377926"/>
    <w:rsid w:val="00377B01"/>
    <w:rsid w:val="0038088E"/>
    <w:rsid w:val="003808C5"/>
    <w:rsid w:val="00383742"/>
    <w:rsid w:val="00384EF3"/>
    <w:rsid w:val="003869BD"/>
    <w:rsid w:val="003879E0"/>
    <w:rsid w:val="00387E6B"/>
    <w:rsid w:val="0039075A"/>
    <w:rsid w:val="003907EC"/>
    <w:rsid w:val="00390A8E"/>
    <w:rsid w:val="00390DD2"/>
    <w:rsid w:val="0039190F"/>
    <w:rsid w:val="00394960"/>
    <w:rsid w:val="00394F6F"/>
    <w:rsid w:val="00395B70"/>
    <w:rsid w:val="003965E1"/>
    <w:rsid w:val="0039754D"/>
    <w:rsid w:val="003A1CC2"/>
    <w:rsid w:val="003A2DCC"/>
    <w:rsid w:val="003A487D"/>
    <w:rsid w:val="003A5650"/>
    <w:rsid w:val="003A644E"/>
    <w:rsid w:val="003A6891"/>
    <w:rsid w:val="003A6D67"/>
    <w:rsid w:val="003A75B3"/>
    <w:rsid w:val="003A7721"/>
    <w:rsid w:val="003A78D5"/>
    <w:rsid w:val="003B084E"/>
    <w:rsid w:val="003B32BE"/>
    <w:rsid w:val="003B4654"/>
    <w:rsid w:val="003B4669"/>
    <w:rsid w:val="003B4B09"/>
    <w:rsid w:val="003B5412"/>
    <w:rsid w:val="003B6162"/>
    <w:rsid w:val="003B6528"/>
    <w:rsid w:val="003C2A21"/>
    <w:rsid w:val="003C3138"/>
    <w:rsid w:val="003C4A09"/>
    <w:rsid w:val="003C4C59"/>
    <w:rsid w:val="003C6051"/>
    <w:rsid w:val="003D00A1"/>
    <w:rsid w:val="003D04C2"/>
    <w:rsid w:val="003D06D5"/>
    <w:rsid w:val="003D1131"/>
    <w:rsid w:val="003D2053"/>
    <w:rsid w:val="003D419D"/>
    <w:rsid w:val="003E2105"/>
    <w:rsid w:val="003E2846"/>
    <w:rsid w:val="003E5041"/>
    <w:rsid w:val="003E5073"/>
    <w:rsid w:val="003E551E"/>
    <w:rsid w:val="003E7592"/>
    <w:rsid w:val="003E7803"/>
    <w:rsid w:val="003E7BB5"/>
    <w:rsid w:val="003F1411"/>
    <w:rsid w:val="003F151F"/>
    <w:rsid w:val="003F287A"/>
    <w:rsid w:val="003F3442"/>
    <w:rsid w:val="003F3F89"/>
    <w:rsid w:val="003F421C"/>
    <w:rsid w:val="004002AD"/>
    <w:rsid w:val="0040036D"/>
    <w:rsid w:val="0040040C"/>
    <w:rsid w:val="00401031"/>
    <w:rsid w:val="00403D20"/>
    <w:rsid w:val="004051DD"/>
    <w:rsid w:val="004062F2"/>
    <w:rsid w:val="00407643"/>
    <w:rsid w:val="00410264"/>
    <w:rsid w:val="0041090F"/>
    <w:rsid w:val="0041159B"/>
    <w:rsid w:val="00411B7B"/>
    <w:rsid w:val="00413BCD"/>
    <w:rsid w:val="00414EB4"/>
    <w:rsid w:val="00415393"/>
    <w:rsid w:val="0041562A"/>
    <w:rsid w:val="00415DBD"/>
    <w:rsid w:val="00416100"/>
    <w:rsid w:val="00416160"/>
    <w:rsid w:val="00417E6F"/>
    <w:rsid w:val="00420F96"/>
    <w:rsid w:val="00422728"/>
    <w:rsid w:val="00422A02"/>
    <w:rsid w:val="00422AB7"/>
    <w:rsid w:val="00422C92"/>
    <w:rsid w:val="00422CF7"/>
    <w:rsid w:val="004230F9"/>
    <w:rsid w:val="00423D1C"/>
    <w:rsid w:val="00424FB6"/>
    <w:rsid w:val="004253F0"/>
    <w:rsid w:val="00425590"/>
    <w:rsid w:val="0042692E"/>
    <w:rsid w:val="00427EA8"/>
    <w:rsid w:val="00430402"/>
    <w:rsid w:val="004309D8"/>
    <w:rsid w:val="00430C17"/>
    <w:rsid w:val="0043198B"/>
    <w:rsid w:val="0043250B"/>
    <w:rsid w:val="00432688"/>
    <w:rsid w:val="00432AF7"/>
    <w:rsid w:val="00433C71"/>
    <w:rsid w:val="00434C01"/>
    <w:rsid w:val="00434D91"/>
    <w:rsid w:val="00434FFA"/>
    <w:rsid w:val="00436428"/>
    <w:rsid w:val="0044110E"/>
    <w:rsid w:val="00441446"/>
    <w:rsid w:val="004425AC"/>
    <w:rsid w:val="00442C43"/>
    <w:rsid w:val="00442D15"/>
    <w:rsid w:val="0044366A"/>
    <w:rsid w:val="00443C43"/>
    <w:rsid w:val="00443EDE"/>
    <w:rsid w:val="00444834"/>
    <w:rsid w:val="00445110"/>
    <w:rsid w:val="00446336"/>
    <w:rsid w:val="004504A7"/>
    <w:rsid w:val="0045236C"/>
    <w:rsid w:val="00452C3B"/>
    <w:rsid w:val="004534E5"/>
    <w:rsid w:val="00453734"/>
    <w:rsid w:val="00454778"/>
    <w:rsid w:val="00454D4E"/>
    <w:rsid w:val="004550E9"/>
    <w:rsid w:val="004566CD"/>
    <w:rsid w:val="00456A2B"/>
    <w:rsid w:val="00457F3A"/>
    <w:rsid w:val="00460AFC"/>
    <w:rsid w:val="00461BC8"/>
    <w:rsid w:val="00462137"/>
    <w:rsid w:val="00462F71"/>
    <w:rsid w:val="00463D34"/>
    <w:rsid w:val="0046458D"/>
    <w:rsid w:val="00464B71"/>
    <w:rsid w:val="00464C80"/>
    <w:rsid w:val="00465C03"/>
    <w:rsid w:val="00471A7B"/>
    <w:rsid w:val="0047241E"/>
    <w:rsid w:val="004727D6"/>
    <w:rsid w:val="00477579"/>
    <w:rsid w:val="00477D17"/>
    <w:rsid w:val="00477E5C"/>
    <w:rsid w:val="00482192"/>
    <w:rsid w:val="004835CA"/>
    <w:rsid w:val="004864B7"/>
    <w:rsid w:val="00487433"/>
    <w:rsid w:val="00487D87"/>
    <w:rsid w:val="00490867"/>
    <w:rsid w:val="00490DA3"/>
    <w:rsid w:val="004912AE"/>
    <w:rsid w:val="00492384"/>
    <w:rsid w:val="00492E8C"/>
    <w:rsid w:val="004931BF"/>
    <w:rsid w:val="0049443B"/>
    <w:rsid w:val="00494632"/>
    <w:rsid w:val="004A0338"/>
    <w:rsid w:val="004A0DA2"/>
    <w:rsid w:val="004A34D6"/>
    <w:rsid w:val="004A4CA1"/>
    <w:rsid w:val="004A5228"/>
    <w:rsid w:val="004A594D"/>
    <w:rsid w:val="004A7E7E"/>
    <w:rsid w:val="004B0D1B"/>
    <w:rsid w:val="004B18A4"/>
    <w:rsid w:val="004B1C38"/>
    <w:rsid w:val="004B5C4E"/>
    <w:rsid w:val="004B5E30"/>
    <w:rsid w:val="004B7A4F"/>
    <w:rsid w:val="004B7D2B"/>
    <w:rsid w:val="004C0AEF"/>
    <w:rsid w:val="004C174A"/>
    <w:rsid w:val="004C2CF6"/>
    <w:rsid w:val="004C3E42"/>
    <w:rsid w:val="004C5270"/>
    <w:rsid w:val="004C656E"/>
    <w:rsid w:val="004C7286"/>
    <w:rsid w:val="004C7E5C"/>
    <w:rsid w:val="004D0642"/>
    <w:rsid w:val="004D072A"/>
    <w:rsid w:val="004D202F"/>
    <w:rsid w:val="004D3E20"/>
    <w:rsid w:val="004D509B"/>
    <w:rsid w:val="004D5890"/>
    <w:rsid w:val="004D60EA"/>
    <w:rsid w:val="004D621B"/>
    <w:rsid w:val="004E0D9B"/>
    <w:rsid w:val="004E16EE"/>
    <w:rsid w:val="004E1EFC"/>
    <w:rsid w:val="004E2204"/>
    <w:rsid w:val="004E553F"/>
    <w:rsid w:val="004E6972"/>
    <w:rsid w:val="004E6B84"/>
    <w:rsid w:val="004F0F4B"/>
    <w:rsid w:val="004F1196"/>
    <w:rsid w:val="004F130C"/>
    <w:rsid w:val="004F34E1"/>
    <w:rsid w:val="004F4680"/>
    <w:rsid w:val="004F61FC"/>
    <w:rsid w:val="004F738A"/>
    <w:rsid w:val="004F7A08"/>
    <w:rsid w:val="00500790"/>
    <w:rsid w:val="005011AB"/>
    <w:rsid w:val="00503854"/>
    <w:rsid w:val="00503954"/>
    <w:rsid w:val="005048E5"/>
    <w:rsid w:val="00506AD2"/>
    <w:rsid w:val="00507F39"/>
    <w:rsid w:val="005102A9"/>
    <w:rsid w:val="00510650"/>
    <w:rsid w:val="0051068B"/>
    <w:rsid w:val="005119FB"/>
    <w:rsid w:val="00512CD4"/>
    <w:rsid w:val="005152EB"/>
    <w:rsid w:val="00515A70"/>
    <w:rsid w:val="00515DEB"/>
    <w:rsid w:val="00516083"/>
    <w:rsid w:val="00516ACB"/>
    <w:rsid w:val="005222B8"/>
    <w:rsid w:val="0052399C"/>
    <w:rsid w:val="00524087"/>
    <w:rsid w:val="00524111"/>
    <w:rsid w:val="00525FB7"/>
    <w:rsid w:val="0052683D"/>
    <w:rsid w:val="0052716F"/>
    <w:rsid w:val="00532187"/>
    <w:rsid w:val="00532B10"/>
    <w:rsid w:val="005333A4"/>
    <w:rsid w:val="00534EEE"/>
    <w:rsid w:val="0053526A"/>
    <w:rsid w:val="00535670"/>
    <w:rsid w:val="005358F4"/>
    <w:rsid w:val="0053648B"/>
    <w:rsid w:val="00537425"/>
    <w:rsid w:val="00542796"/>
    <w:rsid w:val="00542BD1"/>
    <w:rsid w:val="00544C2E"/>
    <w:rsid w:val="00545F64"/>
    <w:rsid w:val="00546CC7"/>
    <w:rsid w:val="00547094"/>
    <w:rsid w:val="0054726C"/>
    <w:rsid w:val="005513A9"/>
    <w:rsid w:val="005519EF"/>
    <w:rsid w:val="005528DE"/>
    <w:rsid w:val="00553463"/>
    <w:rsid w:val="00555BAC"/>
    <w:rsid w:val="00555DBF"/>
    <w:rsid w:val="00556456"/>
    <w:rsid w:val="00557C25"/>
    <w:rsid w:val="005617FD"/>
    <w:rsid w:val="00561992"/>
    <w:rsid w:val="005622E5"/>
    <w:rsid w:val="00562D37"/>
    <w:rsid w:val="00563D67"/>
    <w:rsid w:val="00566EAC"/>
    <w:rsid w:val="00573DB3"/>
    <w:rsid w:val="00573F3C"/>
    <w:rsid w:val="00574548"/>
    <w:rsid w:val="00574A15"/>
    <w:rsid w:val="00581A54"/>
    <w:rsid w:val="005829AC"/>
    <w:rsid w:val="005834E1"/>
    <w:rsid w:val="00583ADC"/>
    <w:rsid w:val="0058678A"/>
    <w:rsid w:val="00586C6C"/>
    <w:rsid w:val="005876DA"/>
    <w:rsid w:val="00587F1A"/>
    <w:rsid w:val="00592F68"/>
    <w:rsid w:val="005956ED"/>
    <w:rsid w:val="005957B7"/>
    <w:rsid w:val="00597DE4"/>
    <w:rsid w:val="00597ED3"/>
    <w:rsid w:val="005A0E7C"/>
    <w:rsid w:val="005A4A51"/>
    <w:rsid w:val="005A4DC4"/>
    <w:rsid w:val="005A5552"/>
    <w:rsid w:val="005A5E68"/>
    <w:rsid w:val="005A6440"/>
    <w:rsid w:val="005A6DEA"/>
    <w:rsid w:val="005A79C3"/>
    <w:rsid w:val="005A7AB0"/>
    <w:rsid w:val="005A7CA0"/>
    <w:rsid w:val="005A7CD6"/>
    <w:rsid w:val="005B50D0"/>
    <w:rsid w:val="005B5E20"/>
    <w:rsid w:val="005B7369"/>
    <w:rsid w:val="005B7E0D"/>
    <w:rsid w:val="005C1198"/>
    <w:rsid w:val="005C1538"/>
    <w:rsid w:val="005C16FD"/>
    <w:rsid w:val="005C1A8D"/>
    <w:rsid w:val="005C40B9"/>
    <w:rsid w:val="005C4F9B"/>
    <w:rsid w:val="005C6373"/>
    <w:rsid w:val="005D22C2"/>
    <w:rsid w:val="005D24C1"/>
    <w:rsid w:val="005D2F35"/>
    <w:rsid w:val="005D470E"/>
    <w:rsid w:val="005D4883"/>
    <w:rsid w:val="005D5E9A"/>
    <w:rsid w:val="005E04F3"/>
    <w:rsid w:val="005E10F8"/>
    <w:rsid w:val="005E1D3B"/>
    <w:rsid w:val="005E3B33"/>
    <w:rsid w:val="005E44A3"/>
    <w:rsid w:val="005E49BF"/>
    <w:rsid w:val="005E51FA"/>
    <w:rsid w:val="005E5A15"/>
    <w:rsid w:val="005E5CEF"/>
    <w:rsid w:val="005E620B"/>
    <w:rsid w:val="005E6766"/>
    <w:rsid w:val="005F20BA"/>
    <w:rsid w:val="005F2D0E"/>
    <w:rsid w:val="005F450B"/>
    <w:rsid w:val="005F51CC"/>
    <w:rsid w:val="005F60EB"/>
    <w:rsid w:val="005F68B1"/>
    <w:rsid w:val="00603008"/>
    <w:rsid w:val="00604316"/>
    <w:rsid w:val="00604D0A"/>
    <w:rsid w:val="0060622E"/>
    <w:rsid w:val="00606369"/>
    <w:rsid w:val="00607D4B"/>
    <w:rsid w:val="006115A1"/>
    <w:rsid w:val="00613274"/>
    <w:rsid w:val="00613AE6"/>
    <w:rsid w:val="0061539F"/>
    <w:rsid w:val="00617819"/>
    <w:rsid w:val="00620D9B"/>
    <w:rsid w:val="00620DB6"/>
    <w:rsid w:val="0062102C"/>
    <w:rsid w:val="0062286B"/>
    <w:rsid w:val="00622A53"/>
    <w:rsid w:val="00625700"/>
    <w:rsid w:val="00625EEA"/>
    <w:rsid w:val="00626288"/>
    <w:rsid w:val="006265E6"/>
    <w:rsid w:val="00626A23"/>
    <w:rsid w:val="00627449"/>
    <w:rsid w:val="00627EE9"/>
    <w:rsid w:val="006303E9"/>
    <w:rsid w:val="006319B9"/>
    <w:rsid w:val="00632892"/>
    <w:rsid w:val="006331EC"/>
    <w:rsid w:val="006343BD"/>
    <w:rsid w:val="0063476C"/>
    <w:rsid w:val="00635A19"/>
    <w:rsid w:val="006363E0"/>
    <w:rsid w:val="00636F8A"/>
    <w:rsid w:val="00637406"/>
    <w:rsid w:val="00640067"/>
    <w:rsid w:val="0064009F"/>
    <w:rsid w:val="00641026"/>
    <w:rsid w:val="00642A85"/>
    <w:rsid w:val="00646A94"/>
    <w:rsid w:val="00646B6D"/>
    <w:rsid w:val="00646E43"/>
    <w:rsid w:val="00651BEC"/>
    <w:rsid w:val="00651D02"/>
    <w:rsid w:val="0065261A"/>
    <w:rsid w:val="00652E76"/>
    <w:rsid w:val="00653121"/>
    <w:rsid w:val="00655A61"/>
    <w:rsid w:val="00655C50"/>
    <w:rsid w:val="00656641"/>
    <w:rsid w:val="00660B9E"/>
    <w:rsid w:val="00660D15"/>
    <w:rsid w:val="0066250D"/>
    <w:rsid w:val="006637B3"/>
    <w:rsid w:val="00664111"/>
    <w:rsid w:val="006642AD"/>
    <w:rsid w:val="006646E5"/>
    <w:rsid w:val="00666824"/>
    <w:rsid w:val="00667581"/>
    <w:rsid w:val="006720E5"/>
    <w:rsid w:val="006726E0"/>
    <w:rsid w:val="00672DC9"/>
    <w:rsid w:val="00674C4D"/>
    <w:rsid w:val="0067510C"/>
    <w:rsid w:val="0067629A"/>
    <w:rsid w:val="00682562"/>
    <w:rsid w:val="00686DD3"/>
    <w:rsid w:val="00691F24"/>
    <w:rsid w:val="00694383"/>
    <w:rsid w:val="00694582"/>
    <w:rsid w:val="00694E2E"/>
    <w:rsid w:val="006959B8"/>
    <w:rsid w:val="00696DA8"/>
    <w:rsid w:val="00697057"/>
    <w:rsid w:val="006A0384"/>
    <w:rsid w:val="006A0C2E"/>
    <w:rsid w:val="006A10A1"/>
    <w:rsid w:val="006A3BF6"/>
    <w:rsid w:val="006A503A"/>
    <w:rsid w:val="006A59F8"/>
    <w:rsid w:val="006A6277"/>
    <w:rsid w:val="006A753E"/>
    <w:rsid w:val="006B05F8"/>
    <w:rsid w:val="006B0942"/>
    <w:rsid w:val="006B0CC7"/>
    <w:rsid w:val="006B18C2"/>
    <w:rsid w:val="006B52A4"/>
    <w:rsid w:val="006B6C72"/>
    <w:rsid w:val="006B7458"/>
    <w:rsid w:val="006C3E04"/>
    <w:rsid w:val="006C539E"/>
    <w:rsid w:val="006C5CAD"/>
    <w:rsid w:val="006C602E"/>
    <w:rsid w:val="006C63D0"/>
    <w:rsid w:val="006C7896"/>
    <w:rsid w:val="006C7C89"/>
    <w:rsid w:val="006D0682"/>
    <w:rsid w:val="006D0A5D"/>
    <w:rsid w:val="006D3714"/>
    <w:rsid w:val="006D3DDD"/>
    <w:rsid w:val="006D511A"/>
    <w:rsid w:val="006D5DC5"/>
    <w:rsid w:val="006D6593"/>
    <w:rsid w:val="006E117C"/>
    <w:rsid w:val="006E3049"/>
    <w:rsid w:val="006E32F6"/>
    <w:rsid w:val="006E3B0F"/>
    <w:rsid w:val="006E5487"/>
    <w:rsid w:val="006E5816"/>
    <w:rsid w:val="006E6C7B"/>
    <w:rsid w:val="006E7FCE"/>
    <w:rsid w:val="006F2CF4"/>
    <w:rsid w:val="006F338C"/>
    <w:rsid w:val="006F3EB9"/>
    <w:rsid w:val="006F430C"/>
    <w:rsid w:val="006F570B"/>
    <w:rsid w:val="006F65AA"/>
    <w:rsid w:val="006F6E09"/>
    <w:rsid w:val="006F799E"/>
    <w:rsid w:val="006F7AAF"/>
    <w:rsid w:val="00701B19"/>
    <w:rsid w:val="00702AC0"/>
    <w:rsid w:val="007039F9"/>
    <w:rsid w:val="00704CD0"/>
    <w:rsid w:val="00705246"/>
    <w:rsid w:val="007070FF"/>
    <w:rsid w:val="00707AC7"/>
    <w:rsid w:val="00707B83"/>
    <w:rsid w:val="007120DA"/>
    <w:rsid w:val="00714492"/>
    <w:rsid w:val="007171BC"/>
    <w:rsid w:val="00717373"/>
    <w:rsid w:val="007176D2"/>
    <w:rsid w:val="00717F2C"/>
    <w:rsid w:val="00720555"/>
    <w:rsid w:val="0072069B"/>
    <w:rsid w:val="007216DD"/>
    <w:rsid w:val="00722E3D"/>
    <w:rsid w:val="00722F8A"/>
    <w:rsid w:val="00723D98"/>
    <w:rsid w:val="0072423B"/>
    <w:rsid w:val="00724E93"/>
    <w:rsid w:val="007269E4"/>
    <w:rsid w:val="00733116"/>
    <w:rsid w:val="007336EF"/>
    <w:rsid w:val="007341E5"/>
    <w:rsid w:val="00735282"/>
    <w:rsid w:val="00735B7A"/>
    <w:rsid w:val="00736853"/>
    <w:rsid w:val="00736CFB"/>
    <w:rsid w:val="00737AF2"/>
    <w:rsid w:val="00737C11"/>
    <w:rsid w:val="0074047A"/>
    <w:rsid w:val="00742059"/>
    <w:rsid w:val="007447BF"/>
    <w:rsid w:val="00745B16"/>
    <w:rsid w:val="00746095"/>
    <w:rsid w:val="00746906"/>
    <w:rsid w:val="00746F0C"/>
    <w:rsid w:val="00747193"/>
    <w:rsid w:val="007502F7"/>
    <w:rsid w:val="00751DE5"/>
    <w:rsid w:val="007539AF"/>
    <w:rsid w:val="00753F64"/>
    <w:rsid w:val="00754551"/>
    <w:rsid w:val="00754C28"/>
    <w:rsid w:val="00756158"/>
    <w:rsid w:val="0075679C"/>
    <w:rsid w:val="007574E9"/>
    <w:rsid w:val="0076132D"/>
    <w:rsid w:val="007646C6"/>
    <w:rsid w:val="007647FC"/>
    <w:rsid w:val="00771D5C"/>
    <w:rsid w:val="007725A8"/>
    <w:rsid w:val="00772704"/>
    <w:rsid w:val="007731CD"/>
    <w:rsid w:val="00773932"/>
    <w:rsid w:val="00774B5A"/>
    <w:rsid w:val="00775C98"/>
    <w:rsid w:val="00776D48"/>
    <w:rsid w:val="007802AF"/>
    <w:rsid w:val="007807E9"/>
    <w:rsid w:val="00780F71"/>
    <w:rsid w:val="00781059"/>
    <w:rsid w:val="0078215A"/>
    <w:rsid w:val="007828C8"/>
    <w:rsid w:val="00782AF2"/>
    <w:rsid w:val="00782B97"/>
    <w:rsid w:val="007852F4"/>
    <w:rsid w:val="00785318"/>
    <w:rsid w:val="00786239"/>
    <w:rsid w:val="00786A1F"/>
    <w:rsid w:val="0078738D"/>
    <w:rsid w:val="00787F79"/>
    <w:rsid w:val="00790328"/>
    <w:rsid w:val="00791821"/>
    <w:rsid w:val="00792D51"/>
    <w:rsid w:val="0079407E"/>
    <w:rsid w:val="00794608"/>
    <w:rsid w:val="00794987"/>
    <w:rsid w:val="00794A99"/>
    <w:rsid w:val="00795922"/>
    <w:rsid w:val="00796B4B"/>
    <w:rsid w:val="00797984"/>
    <w:rsid w:val="007A0883"/>
    <w:rsid w:val="007A3617"/>
    <w:rsid w:val="007A4F59"/>
    <w:rsid w:val="007A7701"/>
    <w:rsid w:val="007A7D67"/>
    <w:rsid w:val="007B0B8B"/>
    <w:rsid w:val="007B0E95"/>
    <w:rsid w:val="007B1A69"/>
    <w:rsid w:val="007B20CE"/>
    <w:rsid w:val="007B4FEF"/>
    <w:rsid w:val="007B5486"/>
    <w:rsid w:val="007B5A19"/>
    <w:rsid w:val="007C083B"/>
    <w:rsid w:val="007C16C5"/>
    <w:rsid w:val="007C2397"/>
    <w:rsid w:val="007C5BF2"/>
    <w:rsid w:val="007C6382"/>
    <w:rsid w:val="007D049B"/>
    <w:rsid w:val="007D0992"/>
    <w:rsid w:val="007D1306"/>
    <w:rsid w:val="007D241D"/>
    <w:rsid w:val="007D4DAB"/>
    <w:rsid w:val="007D4E73"/>
    <w:rsid w:val="007D70BC"/>
    <w:rsid w:val="007E0B16"/>
    <w:rsid w:val="007E0E2D"/>
    <w:rsid w:val="007E2217"/>
    <w:rsid w:val="007E38D2"/>
    <w:rsid w:val="007E45C0"/>
    <w:rsid w:val="007E5B5C"/>
    <w:rsid w:val="007E5C90"/>
    <w:rsid w:val="007E7977"/>
    <w:rsid w:val="007F138E"/>
    <w:rsid w:val="007F4718"/>
    <w:rsid w:val="007F6BD4"/>
    <w:rsid w:val="007F7745"/>
    <w:rsid w:val="007F7AEF"/>
    <w:rsid w:val="00801118"/>
    <w:rsid w:val="008044CF"/>
    <w:rsid w:val="00804A64"/>
    <w:rsid w:val="0080538E"/>
    <w:rsid w:val="00805872"/>
    <w:rsid w:val="00807CA8"/>
    <w:rsid w:val="00810BBC"/>
    <w:rsid w:val="00810EFD"/>
    <w:rsid w:val="00812F8C"/>
    <w:rsid w:val="008132FF"/>
    <w:rsid w:val="0081443B"/>
    <w:rsid w:val="00814E79"/>
    <w:rsid w:val="0081607F"/>
    <w:rsid w:val="00817FA0"/>
    <w:rsid w:val="00820FB5"/>
    <w:rsid w:val="00821613"/>
    <w:rsid w:val="00822669"/>
    <w:rsid w:val="00823056"/>
    <w:rsid w:val="008233E9"/>
    <w:rsid w:val="00823520"/>
    <w:rsid w:val="00824475"/>
    <w:rsid w:val="008246C6"/>
    <w:rsid w:val="00824F15"/>
    <w:rsid w:val="00825A8E"/>
    <w:rsid w:val="00826A3B"/>
    <w:rsid w:val="00827D21"/>
    <w:rsid w:val="00827E7B"/>
    <w:rsid w:val="008309FA"/>
    <w:rsid w:val="00830D81"/>
    <w:rsid w:val="00831260"/>
    <w:rsid w:val="00831B7C"/>
    <w:rsid w:val="008327F4"/>
    <w:rsid w:val="008328C2"/>
    <w:rsid w:val="00833E51"/>
    <w:rsid w:val="008343C8"/>
    <w:rsid w:val="00834B65"/>
    <w:rsid w:val="00834EDF"/>
    <w:rsid w:val="008353BC"/>
    <w:rsid w:val="00835772"/>
    <w:rsid w:val="0083738C"/>
    <w:rsid w:val="00844B02"/>
    <w:rsid w:val="008456E6"/>
    <w:rsid w:val="00850E7E"/>
    <w:rsid w:val="00850E8D"/>
    <w:rsid w:val="00851549"/>
    <w:rsid w:val="008521C3"/>
    <w:rsid w:val="00853136"/>
    <w:rsid w:val="00853873"/>
    <w:rsid w:val="008546A3"/>
    <w:rsid w:val="00854CFE"/>
    <w:rsid w:val="008561E6"/>
    <w:rsid w:val="00857CF3"/>
    <w:rsid w:val="0086024E"/>
    <w:rsid w:val="00860317"/>
    <w:rsid w:val="0086106F"/>
    <w:rsid w:val="00861542"/>
    <w:rsid w:val="00861AFA"/>
    <w:rsid w:val="0086204B"/>
    <w:rsid w:val="008642FE"/>
    <w:rsid w:val="008654E9"/>
    <w:rsid w:val="00867290"/>
    <w:rsid w:val="00870E38"/>
    <w:rsid w:val="00870FC0"/>
    <w:rsid w:val="008718CE"/>
    <w:rsid w:val="00871F58"/>
    <w:rsid w:val="00872E99"/>
    <w:rsid w:val="008739C7"/>
    <w:rsid w:val="0087401B"/>
    <w:rsid w:val="00875403"/>
    <w:rsid w:val="00880124"/>
    <w:rsid w:val="00880341"/>
    <w:rsid w:val="0088101E"/>
    <w:rsid w:val="0088185B"/>
    <w:rsid w:val="00881EB7"/>
    <w:rsid w:val="00883177"/>
    <w:rsid w:val="00885380"/>
    <w:rsid w:val="00886694"/>
    <w:rsid w:val="00887739"/>
    <w:rsid w:val="00891868"/>
    <w:rsid w:val="008919BF"/>
    <w:rsid w:val="00892B13"/>
    <w:rsid w:val="00892EE4"/>
    <w:rsid w:val="0089378A"/>
    <w:rsid w:val="00896023"/>
    <w:rsid w:val="008963F3"/>
    <w:rsid w:val="00896791"/>
    <w:rsid w:val="00897181"/>
    <w:rsid w:val="00897A3A"/>
    <w:rsid w:val="008A0643"/>
    <w:rsid w:val="008A090A"/>
    <w:rsid w:val="008A0EF7"/>
    <w:rsid w:val="008A16F9"/>
    <w:rsid w:val="008A33D9"/>
    <w:rsid w:val="008A4E0D"/>
    <w:rsid w:val="008A6426"/>
    <w:rsid w:val="008A6DA8"/>
    <w:rsid w:val="008A7260"/>
    <w:rsid w:val="008A77B4"/>
    <w:rsid w:val="008B070C"/>
    <w:rsid w:val="008B0C35"/>
    <w:rsid w:val="008B1D76"/>
    <w:rsid w:val="008B4AEF"/>
    <w:rsid w:val="008B6B77"/>
    <w:rsid w:val="008B7B89"/>
    <w:rsid w:val="008C1583"/>
    <w:rsid w:val="008C1E93"/>
    <w:rsid w:val="008C305E"/>
    <w:rsid w:val="008C3E6E"/>
    <w:rsid w:val="008C425D"/>
    <w:rsid w:val="008C494A"/>
    <w:rsid w:val="008C4E23"/>
    <w:rsid w:val="008C4F92"/>
    <w:rsid w:val="008C5109"/>
    <w:rsid w:val="008C57A6"/>
    <w:rsid w:val="008C59E5"/>
    <w:rsid w:val="008D0418"/>
    <w:rsid w:val="008D0C5E"/>
    <w:rsid w:val="008D12D5"/>
    <w:rsid w:val="008D1C48"/>
    <w:rsid w:val="008D2060"/>
    <w:rsid w:val="008D3EA4"/>
    <w:rsid w:val="008D4477"/>
    <w:rsid w:val="008D50C3"/>
    <w:rsid w:val="008D54DF"/>
    <w:rsid w:val="008D55D0"/>
    <w:rsid w:val="008D5693"/>
    <w:rsid w:val="008D7AE5"/>
    <w:rsid w:val="008D7BA5"/>
    <w:rsid w:val="008D7BD7"/>
    <w:rsid w:val="008D7DF8"/>
    <w:rsid w:val="008E16FA"/>
    <w:rsid w:val="008E1C05"/>
    <w:rsid w:val="008E3767"/>
    <w:rsid w:val="008E3B14"/>
    <w:rsid w:val="008E499E"/>
    <w:rsid w:val="008E4A50"/>
    <w:rsid w:val="008E6E54"/>
    <w:rsid w:val="008E7D7D"/>
    <w:rsid w:val="008F07E9"/>
    <w:rsid w:val="008F08A9"/>
    <w:rsid w:val="008F0B10"/>
    <w:rsid w:val="008F2E09"/>
    <w:rsid w:val="008F31B3"/>
    <w:rsid w:val="008F3689"/>
    <w:rsid w:val="008F4152"/>
    <w:rsid w:val="008F5171"/>
    <w:rsid w:val="008F5B3A"/>
    <w:rsid w:val="008F7277"/>
    <w:rsid w:val="00900BA4"/>
    <w:rsid w:val="00903C5A"/>
    <w:rsid w:val="009048C4"/>
    <w:rsid w:val="0090532F"/>
    <w:rsid w:val="00905339"/>
    <w:rsid w:val="00906AE2"/>
    <w:rsid w:val="00906D96"/>
    <w:rsid w:val="00907DB6"/>
    <w:rsid w:val="009101A9"/>
    <w:rsid w:val="00910F5D"/>
    <w:rsid w:val="00911279"/>
    <w:rsid w:val="00911E44"/>
    <w:rsid w:val="009121B3"/>
    <w:rsid w:val="009121D6"/>
    <w:rsid w:val="009122F9"/>
    <w:rsid w:val="00913179"/>
    <w:rsid w:val="009133C5"/>
    <w:rsid w:val="00913C99"/>
    <w:rsid w:val="009172ED"/>
    <w:rsid w:val="00917981"/>
    <w:rsid w:val="00922526"/>
    <w:rsid w:val="0092431F"/>
    <w:rsid w:val="00924CBE"/>
    <w:rsid w:val="00925875"/>
    <w:rsid w:val="00926BF2"/>
    <w:rsid w:val="0092719B"/>
    <w:rsid w:val="00927A03"/>
    <w:rsid w:val="00931577"/>
    <w:rsid w:val="00931F63"/>
    <w:rsid w:val="00934A15"/>
    <w:rsid w:val="00934E31"/>
    <w:rsid w:val="00935052"/>
    <w:rsid w:val="009355C2"/>
    <w:rsid w:val="00937D57"/>
    <w:rsid w:val="009460FF"/>
    <w:rsid w:val="00947DC8"/>
    <w:rsid w:val="009500FF"/>
    <w:rsid w:val="00950A24"/>
    <w:rsid w:val="009537BF"/>
    <w:rsid w:val="00954BD5"/>
    <w:rsid w:val="00957CD2"/>
    <w:rsid w:val="009605E8"/>
    <w:rsid w:val="00961283"/>
    <w:rsid w:val="00962996"/>
    <w:rsid w:val="00962F72"/>
    <w:rsid w:val="009635A3"/>
    <w:rsid w:val="00964CF3"/>
    <w:rsid w:val="0096538B"/>
    <w:rsid w:val="009677D9"/>
    <w:rsid w:val="00972038"/>
    <w:rsid w:val="00972A84"/>
    <w:rsid w:val="00972BCA"/>
    <w:rsid w:val="0097533F"/>
    <w:rsid w:val="00976500"/>
    <w:rsid w:val="00980C7C"/>
    <w:rsid w:val="0098212A"/>
    <w:rsid w:val="00983EB3"/>
    <w:rsid w:val="00984010"/>
    <w:rsid w:val="00984B3D"/>
    <w:rsid w:val="00986CC7"/>
    <w:rsid w:val="009901D8"/>
    <w:rsid w:val="0099030B"/>
    <w:rsid w:val="009904E9"/>
    <w:rsid w:val="00991007"/>
    <w:rsid w:val="009911DE"/>
    <w:rsid w:val="00991303"/>
    <w:rsid w:val="00991F26"/>
    <w:rsid w:val="009950EE"/>
    <w:rsid w:val="009A07B2"/>
    <w:rsid w:val="009A31F8"/>
    <w:rsid w:val="009A3286"/>
    <w:rsid w:val="009A3780"/>
    <w:rsid w:val="009A4F25"/>
    <w:rsid w:val="009A5E9C"/>
    <w:rsid w:val="009B10A6"/>
    <w:rsid w:val="009B11FD"/>
    <w:rsid w:val="009B14DC"/>
    <w:rsid w:val="009B1FCE"/>
    <w:rsid w:val="009B54A9"/>
    <w:rsid w:val="009B5C58"/>
    <w:rsid w:val="009B68F2"/>
    <w:rsid w:val="009B6942"/>
    <w:rsid w:val="009B6EBE"/>
    <w:rsid w:val="009B7291"/>
    <w:rsid w:val="009B766B"/>
    <w:rsid w:val="009B76E3"/>
    <w:rsid w:val="009C59D7"/>
    <w:rsid w:val="009C6751"/>
    <w:rsid w:val="009C67E4"/>
    <w:rsid w:val="009C760E"/>
    <w:rsid w:val="009D1047"/>
    <w:rsid w:val="009D141F"/>
    <w:rsid w:val="009D1634"/>
    <w:rsid w:val="009D2639"/>
    <w:rsid w:val="009D34EA"/>
    <w:rsid w:val="009D3A37"/>
    <w:rsid w:val="009D5EC1"/>
    <w:rsid w:val="009D691F"/>
    <w:rsid w:val="009D6922"/>
    <w:rsid w:val="009E0BB0"/>
    <w:rsid w:val="009E14B8"/>
    <w:rsid w:val="009E215F"/>
    <w:rsid w:val="009F0F55"/>
    <w:rsid w:val="009F1FEB"/>
    <w:rsid w:val="009F29F2"/>
    <w:rsid w:val="009F2F68"/>
    <w:rsid w:val="009F3148"/>
    <w:rsid w:val="009F3DE0"/>
    <w:rsid w:val="009F5177"/>
    <w:rsid w:val="009F6490"/>
    <w:rsid w:val="009F6D21"/>
    <w:rsid w:val="009F6DE3"/>
    <w:rsid w:val="00A00B47"/>
    <w:rsid w:val="00A01F38"/>
    <w:rsid w:val="00A0394C"/>
    <w:rsid w:val="00A0396D"/>
    <w:rsid w:val="00A03D44"/>
    <w:rsid w:val="00A04167"/>
    <w:rsid w:val="00A07447"/>
    <w:rsid w:val="00A07EBA"/>
    <w:rsid w:val="00A10760"/>
    <w:rsid w:val="00A141AB"/>
    <w:rsid w:val="00A14E9A"/>
    <w:rsid w:val="00A159B9"/>
    <w:rsid w:val="00A17A3E"/>
    <w:rsid w:val="00A17A95"/>
    <w:rsid w:val="00A2120D"/>
    <w:rsid w:val="00A22FF1"/>
    <w:rsid w:val="00A231C8"/>
    <w:rsid w:val="00A23C2E"/>
    <w:rsid w:val="00A246AE"/>
    <w:rsid w:val="00A24958"/>
    <w:rsid w:val="00A24A1C"/>
    <w:rsid w:val="00A25F84"/>
    <w:rsid w:val="00A26BF8"/>
    <w:rsid w:val="00A27E7C"/>
    <w:rsid w:val="00A308A4"/>
    <w:rsid w:val="00A31458"/>
    <w:rsid w:val="00A3162A"/>
    <w:rsid w:val="00A31F6F"/>
    <w:rsid w:val="00A3283B"/>
    <w:rsid w:val="00A34461"/>
    <w:rsid w:val="00A354E1"/>
    <w:rsid w:val="00A41A54"/>
    <w:rsid w:val="00A45D9F"/>
    <w:rsid w:val="00A47B00"/>
    <w:rsid w:val="00A51B84"/>
    <w:rsid w:val="00A576D6"/>
    <w:rsid w:val="00A57A78"/>
    <w:rsid w:val="00A64472"/>
    <w:rsid w:val="00A6589D"/>
    <w:rsid w:val="00A67013"/>
    <w:rsid w:val="00A672DC"/>
    <w:rsid w:val="00A71EEB"/>
    <w:rsid w:val="00A72ED5"/>
    <w:rsid w:val="00A72FC9"/>
    <w:rsid w:val="00A7368D"/>
    <w:rsid w:val="00A738A5"/>
    <w:rsid w:val="00A73DB7"/>
    <w:rsid w:val="00A73F8B"/>
    <w:rsid w:val="00A745E3"/>
    <w:rsid w:val="00A76468"/>
    <w:rsid w:val="00A800C1"/>
    <w:rsid w:val="00A849DE"/>
    <w:rsid w:val="00A84C88"/>
    <w:rsid w:val="00A8507D"/>
    <w:rsid w:val="00A85DC1"/>
    <w:rsid w:val="00A8621E"/>
    <w:rsid w:val="00A87C3C"/>
    <w:rsid w:val="00A9053B"/>
    <w:rsid w:val="00A91163"/>
    <w:rsid w:val="00A91D1D"/>
    <w:rsid w:val="00A92933"/>
    <w:rsid w:val="00A94A19"/>
    <w:rsid w:val="00A94F78"/>
    <w:rsid w:val="00A95410"/>
    <w:rsid w:val="00A9580A"/>
    <w:rsid w:val="00A95B3B"/>
    <w:rsid w:val="00A97311"/>
    <w:rsid w:val="00A97D8A"/>
    <w:rsid w:val="00AA08A9"/>
    <w:rsid w:val="00AA0A45"/>
    <w:rsid w:val="00AA379F"/>
    <w:rsid w:val="00AA4C8D"/>
    <w:rsid w:val="00AA7C28"/>
    <w:rsid w:val="00AA7E57"/>
    <w:rsid w:val="00AA7F84"/>
    <w:rsid w:val="00AB089E"/>
    <w:rsid w:val="00AB090E"/>
    <w:rsid w:val="00AB27E1"/>
    <w:rsid w:val="00AB34DE"/>
    <w:rsid w:val="00AB5BAD"/>
    <w:rsid w:val="00AB772C"/>
    <w:rsid w:val="00AB791D"/>
    <w:rsid w:val="00AB7A28"/>
    <w:rsid w:val="00AC01B1"/>
    <w:rsid w:val="00AC426C"/>
    <w:rsid w:val="00AC42EF"/>
    <w:rsid w:val="00AC6EEE"/>
    <w:rsid w:val="00AD0782"/>
    <w:rsid w:val="00AD1A2B"/>
    <w:rsid w:val="00AD1EB5"/>
    <w:rsid w:val="00AD3194"/>
    <w:rsid w:val="00AD49C8"/>
    <w:rsid w:val="00AD50DD"/>
    <w:rsid w:val="00AD529C"/>
    <w:rsid w:val="00AD5531"/>
    <w:rsid w:val="00AD6322"/>
    <w:rsid w:val="00AD6517"/>
    <w:rsid w:val="00AD656B"/>
    <w:rsid w:val="00AD6CC7"/>
    <w:rsid w:val="00AD76D8"/>
    <w:rsid w:val="00AE0196"/>
    <w:rsid w:val="00AE4E19"/>
    <w:rsid w:val="00AE4F0D"/>
    <w:rsid w:val="00AE7826"/>
    <w:rsid w:val="00AF1024"/>
    <w:rsid w:val="00AF30DA"/>
    <w:rsid w:val="00AF3901"/>
    <w:rsid w:val="00AF3F99"/>
    <w:rsid w:val="00AF4418"/>
    <w:rsid w:val="00AF51C9"/>
    <w:rsid w:val="00AF5639"/>
    <w:rsid w:val="00AF5A90"/>
    <w:rsid w:val="00AF5B80"/>
    <w:rsid w:val="00AF5BC5"/>
    <w:rsid w:val="00AF632F"/>
    <w:rsid w:val="00AF76EC"/>
    <w:rsid w:val="00AF7CF4"/>
    <w:rsid w:val="00B00098"/>
    <w:rsid w:val="00B00448"/>
    <w:rsid w:val="00B0068F"/>
    <w:rsid w:val="00B0143A"/>
    <w:rsid w:val="00B01D5E"/>
    <w:rsid w:val="00B023FB"/>
    <w:rsid w:val="00B0316F"/>
    <w:rsid w:val="00B0353F"/>
    <w:rsid w:val="00B050BD"/>
    <w:rsid w:val="00B06489"/>
    <w:rsid w:val="00B102E8"/>
    <w:rsid w:val="00B11CD0"/>
    <w:rsid w:val="00B1257F"/>
    <w:rsid w:val="00B131EB"/>
    <w:rsid w:val="00B14274"/>
    <w:rsid w:val="00B15991"/>
    <w:rsid w:val="00B16DC1"/>
    <w:rsid w:val="00B203D3"/>
    <w:rsid w:val="00B204FA"/>
    <w:rsid w:val="00B2114D"/>
    <w:rsid w:val="00B21CD5"/>
    <w:rsid w:val="00B21F2A"/>
    <w:rsid w:val="00B224D8"/>
    <w:rsid w:val="00B22AD9"/>
    <w:rsid w:val="00B22B42"/>
    <w:rsid w:val="00B23916"/>
    <w:rsid w:val="00B25164"/>
    <w:rsid w:val="00B25F98"/>
    <w:rsid w:val="00B260DF"/>
    <w:rsid w:val="00B26CD4"/>
    <w:rsid w:val="00B27B9F"/>
    <w:rsid w:val="00B303B7"/>
    <w:rsid w:val="00B326EB"/>
    <w:rsid w:val="00B337EB"/>
    <w:rsid w:val="00B36134"/>
    <w:rsid w:val="00B36F96"/>
    <w:rsid w:val="00B37B98"/>
    <w:rsid w:val="00B405AA"/>
    <w:rsid w:val="00B4085C"/>
    <w:rsid w:val="00B40DF0"/>
    <w:rsid w:val="00B4385E"/>
    <w:rsid w:val="00B46FA4"/>
    <w:rsid w:val="00B47488"/>
    <w:rsid w:val="00B51323"/>
    <w:rsid w:val="00B515BB"/>
    <w:rsid w:val="00B52B6B"/>
    <w:rsid w:val="00B54460"/>
    <w:rsid w:val="00B546E0"/>
    <w:rsid w:val="00B5583C"/>
    <w:rsid w:val="00B561F8"/>
    <w:rsid w:val="00B60FA4"/>
    <w:rsid w:val="00B61EB8"/>
    <w:rsid w:val="00B6327A"/>
    <w:rsid w:val="00B63E25"/>
    <w:rsid w:val="00B63FB7"/>
    <w:rsid w:val="00B644B5"/>
    <w:rsid w:val="00B658B4"/>
    <w:rsid w:val="00B662FC"/>
    <w:rsid w:val="00B6675F"/>
    <w:rsid w:val="00B679CA"/>
    <w:rsid w:val="00B67D37"/>
    <w:rsid w:val="00B709C3"/>
    <w:rsid w:val="00B71C87"/>
    <w:rsid w:val="00B7343B"/>
    <w:rsid w:val="00B73C38"/>
    <w:rsid w:val="00B741CF"/>
    <w:rsid w:val="00B77A0C"/>
    <w:rsid w:val="00B800C4"/>
    <w:rsid w:val="00B81B75"/>
    <w:rsid w:val="00B83930"/>
    <w:rsid w:val="00B84FB3"/>
    <w:rsid w:val="00B8696E"/>
    <w:rsid w:val="00B905F3"/>
    <w:rsid w:val="00B92260"/>
    <w:rsid w:val="00B93231"/>
    <w:rsid w:val="00B93425"/>
    <w:rsid w:val="00B9614F"/>
    <w:rsid w:val="00BA2C73"/>
    <w:rsid w:val="00BA3E33"/>
    <w:rsid w:val="00BA4D43"/>
    <w:rsid w:val="00BA556D"/>
    <w:rsid w:val="00BA64F7"/>
    <w:rsid w:val="00BB2DF3"/>
    <w:rsid w:val="00BB3A45"/>
    <w:rsid w:val="00BB41C4"/>
    <w:rsid w:val="00BB4BB2"/>
    <w:rsid w:val="00BB609A"/>
    <w:rsid w:val="00BB7699"/>
    <w:rsid w:val="00BC0682"/>
    <w:rsid w:val="00BC0D35"/>
    <w:rsid w:val="00BC43BE"/>
    <w:rsid w:val="00BC4838"/>
    <w:rsid w:val="00BC58C4"/>
    <w:rsid w:val="00BC5EC1"/>
    <w:rsid w:val="00BC60FB"/>
    <w:rsid w:val="00BD01FC"/>
    <w:rsid w:val="00BD3196"/>
    <w:rsid w:val="00BD5A28"/>
    <w:rsid w:val="00BE0B16"/>
    <w:rsid w:val="00BE2394"/>
    <w:rsid w:val="00BE33F1"/>
    <w:rsid w:val="00BE462B"/>
    <w:rsid w:val="00BE4FFF"/>
    <w:rsid w:val="00BE62DA"/>
    <w:rsid w:val="00BF0534"/>
    <w:rsid w:val="00BF0FD0"/>
    <w:rsid w:val="00BF28A1"/>
    <w:rsid w:val="00BF7CD4"/>
    <w:rsid w:val="00C02E7B"/>
    <w:rsid w:val="00C06301"/>
    <w:rsid w:val="00C0700B"/>
    <w:rsid w:val="00C10805"/>
    <w:rsid w:val="00C115C0"/>
    <w:rsid w:val="00C1282E"/>
    <w:rsid w:val="00C13DBC"/>
    <w:rsid w:val="00C1481D"/>
    <w:rsid w:val="00C14852"/>
    <w:rsid w:val="00C14B64"/>
    <w:rsid w:val="00C15372"/>
    <w:rsid w:val="00C16CE5"/>
    <w:rsid w:val="00C17B4C"/>
    <w:rsid w:val="00C17EA5"/>
    <w:rsid w:val="00C201DA"/>
    <w:rsid w:val="00C20598"/>
    <w:rsid w:val="00C229ED"/>
    <w:rsid w:val="00C2335A"/>
    <w:rsid w:val="00C23D4E"/>
    <w:rsid w:val="00C2403E"/>
    <w:rsid w:val="00C26246"/>
    <w:rsid w:val="00C26C76"/>
    <w:rsid w:val="00C2738B"/>
    <w:rsid w:val="00C27D34"/>
    <w:rsid w:val="00C30654"/>
    <w:rsid w:val="00C30A74"/>
    <w:rsid w:val="00C324BE"/>
    <w:rsid w:val="00C328CF"/>
    <w:rsid w:val="00C342B3"/>
    <w:rsid w:val="00C34858"/>
    <w:rsid w:val="00C34E0D"/>
    <w:rsid w:val="00C34E37"/>
    <w:rsid w:val="00C35779"/>
    <w:rsid w:val="00C36D3C"/>
    <w:rsid w:val="00C3709F"/>
    <w:rsid w:val="00C37385"/>
    <w:rsid w:val="00C378AA"/>
    <w:rsid w:val="00C37BB4"/>
    <w:rsid w:val="00C41A65"/>
    <w:rsid w:val="00C442B3"/>
    <w:rsid w:val="00C446E8"/>
    <w:rsid w:val="00C458C4"/>
    <w:rsid w:val="00C45F25"/>
    <w:rsid w:val="00C50052"/>
    <w:rsid w:val="00C516A7"/>
    <w:rsid w:val="00C540B8"/>
    <w:rsid w:val="00C568F5"/>
    <w:rsid w:val="00C572A2"/>
    <w:rsid w:val="00C57C3C"/>
    <w:rsid w:val="00C57E59"/>
    <w:rsid w:val="00C6070B"/>
    <w:rsid w:val="00C63B59"/>
    <w:rsid w:val="00C6793E"/>
    <w:rsid w:val="00C70898"/>
    <w:rsid w:val="00C70C6B"/>
    <w:rsid w:val="00C71E14"/>
    <w:rsid w:val="00C735CD"/>
    <w:rsid w:val="00C74401"/>
    <w:rsid w:val="00C74F74"/>
    <w:rsid w:val="00C75186"/>
    <w:rsid w:val="00C75C42"/>
    <w:rsid w:val="00C76151"/>
    <w:rsid w:val="00C764AE"/>
    <w:rsid w:val="00C7675B"/>
    <w:rsid w:val="00C772CF"/>
    <w:rsid w:val="00C77BE6"/>
    <w:rsid w:val="00C813FB"/>
    <w:rsid w:val="00C83069"/>
    <w:rsid w:val="00C83580"/>
    <w:rsid w:val="00C83B2D"/>
    <w:rsid w:val="00C83E35"/>
    <w:rsid w:val="00C840C2"/>
    <w:rsid w:val="00C85CBD"/>
    <w:rsid w:val="00C85DF6"/>
    <w:rsid w:val="00C868A0"/>
    <w:rsid w:val="00C91EB7"/>
    <w:rsid w:val="00C92B37"/>
    <w:rsid w:val="00C932CC"/>
    <w:rsid w:val="00C938B5"/>
    <w:rsid w:val="00C956A6"/>
    <w:rsid w:val="00C96E00"/>
    <w:rsid w:val="00CA1157"/>
    <w:rsid w:val="00CA23CE"/>
    <w:rsid w:val="00CA258B"/>
    <w:rsid w:val="00CA2ACC"/>
    <w:rsid w:val="00CA3AD1"/>
    <w:rsid w:val="00CA3C79"/>
    <w:rsid w:val="00CA425B"/>
    <w:rsid w:val="00CA47CA"/>
    <w:rsid w:val="00CA48AF"/>
    <w:rsid w:val="00CA6058"/>
    <w:rsid w:val="00CB00A6"/>
    <w:rsid w:val="00CB079C"/>
    <w:rsid w:val="00CB0B2B"/>
    <w:rsid w:val="00CB3B34"/>
    <w:rsid w:val="00CB4007"/>
    <w:rsid w:val="00CB4DDD"/>
    <w:rsid w:val="00CB55CE"/>
    <w:rsid w:val="00CB5948"/>
    <w:rsid w:val="00CB6136"/>
    <w:rsid w:val="00CC00E1"/>
    <w:rsid w:val="00CC0DDC"/>
    <w:rsid w:val="00CC0FCE"/>
    <w:rsid w:val="00CC1184"/>
    <w:rsid w:val="00CC1545"/>
    <w:rsid w:val="00CC2065"/>
    <w:rsid w:val="00CC25EC"/>
    <w:rsid w:val="00CC2BDC"/>
    <w:rsid w:val="00CC3776"/>
    <w:rsid w:val="00CC38C7"/>
    <w:rsid w:val="00CC3CC1"/>
    <w:rsid w:val="00CD139F"/>
    <w:rsid w:val="00CD1B25"/>
    <w:rsid w:val="00CD2AF3"/>
    <w:rsid w:val="00CD2BE8"/>
    <w:rsid w:val="00CD3384"/>
    <w:rsid w:val="00CD6355"/>
    <w:rsid w:val="00CE0612"/>
    <w:rsid w:val="00CE203F"/>
    <w:rsid w:val="00CE3A68"/>
    <w:rsid w:val="00CE3F35"/>
    <w:rsid w:val="00CE3FAA"/>
    <w:rsid w:val="00CE434D"/>
    <w:rsid w:val="00CE485C"/>
    <w:rsid w:val="00CE4C33"/>
    <w:rsid w:val="00CE52D2"/>
    <w:rsid w:val="00CE53F7"/>
    <w:rsid w:val="00CE57BA"/>
    <w:rsid w:val="00CE5ABC"/>
    <w:rsid w:val="00CE690B"/>
    <w:rsid w:val="00CF05A0"/>
    <w:rsid w:val="00CF06F4"/>
    <w:rsid w:val="00CF376C"/>
    <w:rsid w:val="00CF4701"/>
    <w:rsid w:val="00CF558D"/>
    <w:rsid w:val="00CF74E7"/>
    <w:rsid w:val="00CF7B28"/>
    <w:rsid w:val="00CF7DA4"/>
    <w:rsid w:val="00D00FCD"/>
    <w:rsid w:val="00D01984"/>
    <w:rsid w:val="00D02367"/>
    <w:rsid w:val="00D02490"/>
    <w:rsid w:val="00D0263D"/>
    <w:rsid w:val="00D02EDB"/>
    <w:rsid w:val="00D05CB3"/>
    <w:rsid w:val="00D10F52"/>
    <w:rsid w:val="00D149AC"/>
    <w:rsid w:val="00D14A1D"/>
    <w:rsid w:val="00D17A36"/>
    <w:rsid w:val="00D2007C"/>
    <w:rsid w:val="00D2172B"/>
    <w:rsid w:val="00D21733"/>
    <w:rsid w:val="00D22F4E"/>
    <w:rsid w:val="00D239AF"/>
    <w:rsid w:val="00D253A4"/>
    <w:rsid w:val="00D258E7"/>
    <w:rsid w:val="00D25DE5"/>
    <w:rsid w:val="00D25EB2"/>
    <w:rsid w:val="00D26F05"/>
    <w:rsid w:val="00D30DEB"/>
    <w:rsid w:val="00D315C0"/>
    <w:rsid w:val="00D32ED4"/>
    <w:rsid w:val="00D34C0F"/>
    <w:rsid w:val="00D370C3"/>
    <w:rsid w:val="00D40BED"/>
    <w:rsid w:val="00D411F5"/>
    <w:rsid w:val="00D41E63"/>
    <w:rsid w:val="00D43309"/>
    <w:rsid w:val="00D461BD"/>
    <w:rsid w:val="00D4688C"/>
    <w:rsid w:val="00D47C9E"/>
    <w:rsid w:val="00D50211"/>
    <w:rsid w:val="00D50850"/>
    <w:rsid w:val="00D5403A"/>
    <w:rsid w:val="00D568B7"/>
    <w:rsid w:val="00D57508"/>
    <w:rsid w:val="00D57F44"/>
    <w:rsid w:val="00D60AE7"/>
    <w:rsid w:val="00D6173F"/>
    <w:rsid w:val="00D624CB"/>
    <w:rsid w:val="00D641A9"/>
    <w:rsid w:val="00D66D23"/>
    <w:rsid w:val="00D67537"/>
    <w:rsid w:val="00D709A3"/>
    <w:rsid w:val="00D70B0C"/>
    <w:rsid w:val="00D7237B"/>
    <w:rsid w:val="00D733CD"/>
    <w:rsid w:val="00D73E0F"/>
    <w:rsid w:val="00D7475E"/>
    <w:rsid w:val="00D75C94"/>
    <w:rsid w:val="00D7680D"/>
    <w:rsid w:val="00D7727E"/>
    <w:rsid w:val="00D849E1"/>
    <w:rsid w:val="00D873A5"/>
    <w:rsid w:val="00D94258"/>
    <w:rsid w:val="00D95A90"/>
    <w:rsid w:val="00DA36BB"/>
    <w:rsid w:val="00DA5416"/>
    <w:rsid w:val="00DB00DE"/>
    <w:rsid w:val="00DB1D1A"/>
    <w:rsid w:val="00DB1F83"/>
    <w:rsid w:val="00DB22B7"/>
    <w:rsid w:val="00DB24D8"/>
    <w:rsid w:val="00DB523F"/>
    <w:rsid w:val="00DB5AC2"/>
    <w:rsid w:val="00DB62CA"/>
    <w:rsid w:val="00DB644A"/>
    <w:rsid w:val="00DB6EB7"/>
    <w:rsid w:val="00DB758E"/>
    <w:rsid w:val="00DC1055"/>
    <w:rsid w:val="00DC10A1"/>
    <w:rsid w:val="00DC3440"/>
    <w:rsid w:val="00DC64A0"/>
    <w:rsid w:val="00DC784B"/>
    <w:rsid w:val="00DD1406"/>
    <w:rsid w:val="00DD1858"/>
    <w:rsid w:val="00DD1BB2"/>
    <w:rsid w:val="00DD42EC"/>
    <w:rsid w:val="00DD4D60"/>
    <w:rsid w:val="00DD7FDA"/>
    <w:rsid w:val="00DE056B"/>
    <w:rsid w:val="00DE1563"/>
    <w:rsid w:val="00DE1DF1"/>
    <w:rsid w:val="00DE2983"/>
    <w:rsid w:val="00DE4BED"/>
    <w:rsid w:val="00DE50C2"/>
    <w:rsid w:val="00DE54C3"/>
    <w:rsid w:val="00DE6C42"/>
    <w:rsid w:val="00DE72B9"/>
    <w:rsid w:val="00DF2470"/>
    <w:rsid w:val="00DF2DA4"/>
    <w:rsid w:val="00DF3E1D"/>
    <w:rsid w:val="00DF45F5"/>
    <w:rsid w:val="00DF5B25"/>
    <w:rsid w:val="00DF5BA0"/>
    <w:rsid w:val="00DF5E2D"/>
    <w:rsid w:val="00DF698C"/>
    <w:rsid w:val="00DF70C1"/>
    <w:rsid w:val="00DF7314"/>
    <w:rsid w:val="00E00AF2"/>
    <w:rsid w:val="00E01281"/>
    <w:rsid w:val="00E012AC"/>
    <w:rsid w:val="00E01A5A"/>
    <w:rsid w:val="00E02315"/>
    <w:rsid w:val="00E0544C"/>
    <w:rsid w:val="00E076B8"/>
    <w:rsid w:val="00E077CA"/>
    <w:rsid w:val="00E10E7E"/>
    <w:rsid w:val="00E12B61"/>
    <w:rsid w:val="00E14195"/>
    <w:rsid w:val="00E167D5"/>
    <w:rsid w:val="00E16E5C"/>
    <w:rsid w:val="00E17D0C"/>
    <w:rsid w:val="00E221B3"/>
    <w:rsid w:val="00E2243A"/>
    <w:rsid w:val="00E22F64"/>
    <w:rsid w:val="00E22F71"/>
    <w:rsid w:val="00E23828"/>
    <w:rsid w:val="00E2397D"/>
    <w:rsid w:val="00E24CBB"/>
    <w:rsid w:val="00E25287"/>
    <w:rsid w:val="00E25698"/>
    <w:rsid w:val="00E33EE3"/>
    <w:rsid w:val="00E35385"/>
    <w:rsid w:val="00E36648"/>
    <w:rsid w:val="00E37ED9"/>
    <w:rsid w:val="00E41051"/>
    <w:rsid w:val="00E41B61"/>
    <w:rsid w:val="00E42140"/>
    <w:rsid w:val="00E42909"/>
    <w:rsid w:val="00E429A2"/>
    <w:rsid w:val="00E43AA7"/>
    <w:rsid w:val="00E53373"/>
    <w:rsid w:val="00E549F2"/>
    <w:rsid w:val="00E617AA"/>
    <w:rsid w:val="00E628D9"/>
    <w:rsid w:val="00E64771"/>
    <w:rsid w:val="00E65430"/>
    <w:rsid w:val="00E6644C"/>
    <w:rsid w:val="00E66C0F"/>
    <w:rsid w:val="00E70BDE"/>
    <w:rsid w:val="00E73735"/>
    <w:rsid w:val="00E750E9"/>
    <w:rsid w:val="00E770D3"/>
    <w:rsid w:val="00E7773C"/>
    <w:rsid w:val="00E80C5E"/>
    <w:rsid w:val="00E82A01"/>
    <w:rsid w:val="00E83245"/>
    <w:rsid w:val="00E8361B"/>
    <w:rsid w:val="00E85B51"/>
    <w:rsid w:val="00E85DC5"/>
    <w:rsid w:val="00E908E1"/>
    <w:rsid w:val="00E90EEE"/>
    <w:rsid w:val="00E90F81"/>
    <w:rsid w:val="00E91135"/>
    <w:rsid w:val="00E91DE7"/>
    <w:rsid w:val="00E92FC3"/>
    <w:rsid w:val="00E94B61"/>
    <w:rsid w:val="00E95068"/>
    <w:rsid w:val="00E95272"/>
    <w:rsid w:val="00E95478"/>
    <w:rsid w:val="00E96222"/>
    <w:rsid w:val="00EA0EAF"/>
    <w:rsid w:val="00EA1435"/>
    <w:rsid w:val="00EA16D4"/>
    <w:rsid w:val="00EA1FF4"/>
    <w:rsid w:val="00EA20F2"/>
    <w:rsid w:val="00EA2281"/>
    <w:rsid w:val="00EA2531"/>
    <w:rsid w:val="00EA2953"/>
    <w:rsid w:val="00EA4FCC"/>
    <w:rsid w:val="00EA54F2"/>
    <w:rsid w:val="00EA6A71"/>
    <w:rsid w:val="00EA7581"/>
    <w:rsid w:val="00EA7BB4"/>
    <w:rsid w:val="00EB0AFE"/>
    <w:rsid w:val="00EB2047"/>
    <w:rsid w:val="00EB4BD3"/>
    <w:rsid w:val="00EC2410"/>
    <w:rsid w:val="00EC34C3"/>
    <w:rsid w:val="00EC352C"/>
    <w:rsid w:val="00EC412E"/>
    <w:rsid w:val="00ED10CD"/>
    <w:rsid w:val="00ED30C2"/>
    <w:rsid w:val="00ED3CAE"/>
    <w:rsid w:val="00ED4F28"/>
    <w:rsid w:val="00ED526B"/>
    <w:rsid w:val="00ED795A"/>
    <w:rsid w:val="00EE05EC"/>
    <w:rsid w:val="00EE27D3"/>
    <w:rsid w:val="00EE39D8"/>
    <w:rsid w:val="00EE4181"/>
    <w:rsid w:val="00EE62B6"/>
    <w:rsid w:val="00EE6739"/>
    <w:rsid w:val="00EF0E45"/>
    <w:rsid w:val="00EF1174"/>
    <w:rsid w:val="00EF20FA"/>
    <w:rsid w:val="00EF26BD"/>
    <w:rsid w:val="00EF3B36"/>
    <w:rsid w:val="00EF5811"/>
    <w:rsid w:val="00F01B3F"/>
    <w:rsid w:val="00F03CBF"/>
    <w:rsid w:val="00F03F2D"/>
    <w:rsid w:val="00F05B05"/>
    <w:rsid w:val="00F05DBA"/>
    <w:rsid w:val="00F06614"/>
    <w:rsid w:val="00F1064A"/>
    <w:rsid w:val="00F106D6"/>
    <w:rsid w:val="00F1319D"/>
    <w:rsid w:val="00F13288"/>
    <w:rsid w:val="00F143EB"/>
    <w:rsid w:val="00F149B9"/>
    <w:rsid w:val="00F15168"/>
    <w:rsid w:val="00F1632C"/>
    <w:rsid w:val="00F206B4"/>
    <w:rsid w:val="00F2095C"/>
    <w:rsid w:val="00F224AD"/>
    <w:rsid w:val="00F22893"/>
    <w:rsid w:val="00F238F7"/>
    <w:rsid w:val="00F23DF6"/>
    <w:rsid w:val="00F252B9"/>
    <w:rsid w:val="00F2599A"/>
    <w:rsid w:val="00F26710"/>
    <w:rsid w:val="00F26F84"/>
    <w:rsid w:val="00F2723E"/>
    <w:rsid w:val="00F305CA"/>
    <w:rsid w:val="00F31E76"/>
    <w:rsid w:val="00F32776"/>
    <w:rsid w:val="00F32D6B"/>
    <w:rsid w:val="00F33406"/>
    <w:rsid w:val="00F3351E"/>
    <w:rsid w:val="00F35594"/>
    <w:rsid w:val="00F35774"/>
    <w:rsid w:val="00F37F20"/>
    <w:rsid w:val="00F402FA"/>
    <w:rsid w:val="00F40911"/>
    <w:rsid w:val="00F40981"/>
    <w:rsid w:val="00F40A74"/>
    <w:rsid w:val="00F41BE1"/>
    <w:rsid w:val="00F44542"/>
    <w:rsid w:val="00F44CD8"/>
    <w:rsid w:val="00F473F2"/>
    <w:rsid w:val="00F475FC"/>
    <w:rsid w:val="00F47F64"/>
    <w:rsid w:val="00F50B5D"/>
    <w:rsid w:val="00F611ED"/>
    <w:rsid w:val="00F61EE1"/>
    <w:rsid w:val="00F62CB6"/>
    <w:rsid w:val="00F632CF"/>
    <w:rsid w:val="00F641AA"/>
    <w:rsid w:val="00F65407"/>
    <w:rsid w:val="00F66A93"/>
    <w:rsid w:val="00F672C0"/>
    <w:rsid w:val="00F67B86"/>
    <w:rsid w:val="00F67DA8"/>
    <w:rsid w:val="00F70093"/>
    <w:rsid w:val="00F719C2"/>
    <w:rsid w:val="00F7233C"/>
    <w:rsid w:val="00F727AB"/>
    <w:rsid w:val="00F7287A"/>
    <w:rsid w:val="00F74094"/>
    <w:rsid w:val="00F77CB0"/>
    <w:rsid w:val="00F8092E"/>
    <w:rsid w:val="00F82185"/>
    <w:rsid w:val="00F8341C"/>
    <w:rsid w:val="00F839D1"/>
    <w:rsid w:val="00F83EEF"/>
    <w:rsid w:val="00F84370"/>
    <w:rsid w:val="00F870BB"/>
    <w:rsid w:val="00F87452"/>
    <w:rsid w:val="00F876E6"/>
    <w:rsid w:val="00F90249"/>
    <w:rsid w:val="00F92A45"/>
    <w:rsid w:val="00F936D1"/>
    <w:rsid w:val="00F94868"/>
    <w:rsid w:val="00FA020B"/>
    <w:rsid w:val="00FA22E1"/>
    <w:rsid w:val="00FA2D9D"/>
    <w:rsid w:val="00FA2FFB"/>
    <w:rsid w:val="00FA6A4E"/>
    <w:rsid w:val="00FA6C21"/>
    <w:rsid w:val="00FA720E"/>
    <w:rsid w:val="00FB0200"/>
    <w:rsid w:val="00FB0483"/>
    <w:rsid w:val="00FB07DD"/>
    <w:rsid w:val="00FB11E6"/>
    <w:rsid w:val="00FB2575"/>
    <w:rsid w:val="00FC09B0"/>
    <w:rsid w:val="00FC0DB1"/>
    <w:rsid w:val="00FC1C60"/>
    <w:rsid w:val="00FC2200"/>
    <w:rsid w:val="00FC25C4"/>
    <w:rsid w:val="00FC28E3"/>
    <w:rsid w:val="00FC51FA"/>
    <w:rsid w:val="00FC52F8"/>
    <w:rsid w:val="00FC59F5"/>
    <w:rsid w:val="00FC5D79"/>
    <w:rsid w:val="00FC695F"/>
    <w:rsid w:val="00FC7C16"/>
    <w:rsid w:val="00FD045E"/>
    <w:rsid w:val="00FD2019"/>
    <w:rsid w:val="00FD3AA2"/>
    <w:rsid w:val="00FD5F3F"/>
    <w:rsid w:val="00FD7F90"/>
    <w:rsid w:val="00FE1D3A"/>
    <w:rsid w:val="00FE2392"/>
    <w:rsid w:val="00FE3063"/>
    <w:rsid w:val="00FE3EE2"/>
    <w:rsid w:val="00FF07BC"/>
    <w:rsid w:val="00FF1431"/>
    <w:rsid w:val="00FF15B6"/>
    <w:rsid w:val="00FF196D"/>
    <w:rsid w:val="00FF629B"/>
    <w:rsid w:val="00FF726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A74E"/>
  <w15:docId w15:val="{DD509502-4085-47D1-ADC2-292A6E4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/>
    <w:lsdException w:name="heading 3" w:semiHidden="1" w:uiPriority="0" w:unhideWhenUsed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5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rsid w:val="0085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rsid w:val="0085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854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4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4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4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4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4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675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2E76"/>
  </w:style>
  <w:style w:type="paragraph" w:styleId="Pidipagina">
    <w:name w:val="footer"/>
    <w:basedOn w:val="Normale"/>
    <w:link w:val="PidipaginaCarattere"/>
    <w:uiPriority w:val="99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76"/>
  </w:style>
  <w:style w:type="paragraph" w:styleId="Testofumetto">
    <w:name w:val="Balloon Text"/>
    <w:basedOn w:val="Normale"/>
    <w:link w:val="TestofumettoCarattere"/>
    <w:uiPriority w:val="99"/>
    <w:unhideWhenUsed/>
    <w:rsid w:val="0065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52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Level3">
    <w:name w:val="Heading - Level 3"/>
    <w:next w:val="Corpotesto"/>
    <w:rsid w:val="00652E76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2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2E76"/>
  </w:style>
  <w:style w:type="paragraph" w:customStyle="1" w:styleId="ContactCompanyAddress">
    <w:name w:val="Contact Company Address"/>
    <w:basedOn w:val="Normale"/>
    <w:next w:val="Normale"/>
    <w:rsid w:val="00652E76"/>
    <w:pPr>
      <w:spacing w:after="100" w:line="240" w:lineRule="auto"/>
      <w:ind w:left="144" w:right="144"/>
    </w:pPr>
    <w:rPr>
      <w:rFonts w:ascii="Times New Roman" w:eastAsia="Times New Roman" w:hAnsi="Times New Roman" w:cs="Times New Roman"/>
      <w:snapToGrid w:val="0"/>
      <w:sz w:val="18"/>
      <w:szCs w:val="20"/>
      <w:lang w:eastAsia="it-IT"/>
    </w:rPr>
  </w:style>
  <w:style w:type="paragraph" w:customStyle="1" w:styleId="DocInfo">
    <w:name w:val="Doc Info"/>
    <w:next w:val="Intestazione"/>
    <w:rsid w:val="00652E76"/>
    <w:pPr>
      <w:spacing w:after="0" w:line="240" w:lineRule="auto"/>
      <w:ind w:left="-720"/>
    </w:pPr>
    <w:rPr>
      <w:rFonts w:ascii="Times New Roman" w:eastAsia="Times New Roman" w:hAnsi="Times New Roman" w:cs="Times New Roman"/>
      <w:color w:val="808080"/>
      <w:spacing w:val="10"/>
      <w:kern w:val="2"/>
      <w:sz w:val="14"/>
      <w:szCs w:val="20"/>
      <w:lang w:eastAsia="it-IT"/>
    </w:rPr>
  </w:style>
  <w:style w:type="paragraph" w:customStyle="1" w:styleId="FooterA4Portrait">
    <w:name w:val="Footer A4 Portrait"/>
    <w:rsid w:val="00652E76"/>
    <w:pPr>
      <w:tabs>
        <w:tab w:val="right" w:pos="5429"/>
        <w:tab w:val="right" w:pos="8165"/>
      </w:tabs>
      <w:spacing w:after="0" w:line="240" w:lineRule="auto"/>
    </w:pPr>
    <w:rPr>
      <w:rFonts w:ascii="Times New Roman" w:eastAsia="Times New Roman" w:hAnsi="Times New Roman" w:cs="Times New Roman"/>
      <w:kern w:val="2"/>
      <w:sz w:val="18"/>
      <w:szCs w:val="20"/>
      <w:lang w:val="en-GB" w:eastAsia="it-IT"/>
    </w:rPr>
  </w:style>
  <w:style w:type="character" w:styleId="Numeropagina">
    <w:name w:val="page number"/>
    <w:basedOn w:val="Carpredefinitoparagrafo"/>
    <w:uiPriority w:val="99"/>
    <w:rsid w:val="00652E76"/>
    <w:rPr>
      <w:rFonts w:ascii="Times New Roman" w:hAnsi="Times New Roman"/>
      <w:noProof w:val="0"/>
      <w:sz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5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854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5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4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23DF6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D47C9E"/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C9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47C9E"/>
    <w:pPr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47C9E"/>
    <w:pPr>
      <w:widowControl w:val="0"/>
      <w:spacing w:after="120" w:line="240" w:lineRule="auto"/>
      <w:ind w:left="1134" w:hanging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47C9E"/>
    <w:rPr>
      <w:rFonts w:cs="Times New Roman"/>
      <w:color w:val="0000FF"/>
      <w:u w:val="single"/>
    </w:rPr>
  </w:style>
  <w:style w:type="paragraph" w:customStyle="1" w:styleId="Bodytext">
    <w:name w:val="!Bodytext"/>
    <w:basedOn w:val="Normale"/>
    <w:uiPriority w:val="99"/>
    <w:rsid w:val="00D47C9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Helvetica"/>
      <w:kern w:val="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4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7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C9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4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G-SingleSp">
    <w:name w:val="CG-Single Sp"/>
    <w:aliases w:val="s1"/>
    <w:basedOn w:val="Normale"/>
    <w:rsid w:val="00986CC7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DeltaViewInsertion">
    <w:name w:val="DeltaView Insertion"/>
    <w:rsid w:val="00986CC7"/>
    <w:rPr>
      <w:color w:val="0000FF"/>
      <w:spacing w:val="0"/>
      <w:u w:val="double"/>
    </w:rPr>
  </w:style>
  <w:style w:type="paragraph" w:customStyle="1" w:styleId="DeltaViewTableBody">
    <w:name w:val="DeltaView Table Body"/>
    <w:basedOn w:val="Normale"/>
    <w:rsid w:val="00986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it-IT"/>
    </w:rPr>
  </w:style>
  <w:style w:type="paragraph" w:customStyle="1" w:styleId="Bullet">
    <w:name w:val="Bullet"/>
    <w:basedOn w:val="Corpotesto"/>
    <w:rsid w:val="006A503A"/>
    <w:pPr>
      <w:numPr>
        <w:ilvl w:val="5"/>
        <w:numId w:val="1"/>
      </w:numPr>
      <w:suppressAutoHyphens/>
      <w:spacing w:before="60" w:after="60"/>
      <w:ind w:left="357" w:hanging="357"/>
      <w:jc w:val="both"/>
      <w:outlineLvl w:val="5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Puntoelenco1">
    <w:name w:val="Punto elenco1"/>
    <w:basedOn w:val="Normale"/>
    <w:rsid w:val="006A503A"/>
    <w:pPr>
      <w:numPr>
        <w:numId w:val="3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Numeroelenco1">
    <w:name w:val="Numero elenco1"/>
    <w:basedOn w:val="Normale"/>
    <w:rsid w:val="006A503A"/>
    <w:pPr>
      <w:numPr>
        <w:numId w:val="2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styleId="Puntoelenco">
    <w:name w:val="List Bullet"/>
    <w:basedOn w:val="Normale"/>
    <w:rsid w:val="00005043"/>
    <w:pPr>
      <w:numPr>
        <w:numId w:val="4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umeroelenco">
    <w:name w:val="List Number"/>
    <w:basedOn w:val="Normale"/>
    <w:rsid w:val="00005043"/>
    <w:pPr>
      <w:numPr>
        <w:numId w:val="5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ormaleWeb">
    <w:name w:val="Normal (Web)"/>
    <w:basedOn w:val="Normale"/>
    <w:link w:val="NormaleWebCarattere"/>
    <w:uiPriority w:val="99"/>
    <w:unhideWhenUsed/>
    <w:rsid w:val="00A6447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447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4472"/>
    <w:rPr>
      <w:rFonts w:ascii="Calibri" w:hAnsi="Calibri"/>
      <w:szCs w:val="21"/>
    </w:rPr>
  </w:style>
  <w:style w:type="table" w:customStyle="1" w:styleId="Tabellasemplice51">
    <w:name w:val="Tabella semplice 51"/>
    <w:basedOn w:val="Tabellanormale"/>
    <w:uiPriority w:val="45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aliases w:val="Testo_note,footnote text1"/>
    <w:basedOn w:val="Normale"/>
    <w:link w:val="TestonotaapidipaginaCarattere"/>
    <w:uiPriority w:val="99"/>
    <w:unhideWhenUsed/>
    <w:rsid w:val="00F03F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_note Carattere,footnote text1 Carattere"/>
    <w:basedOn w:val="Carpredefinitoparagrafo"/>
    <w:link w:val="Testonotaapidipagina"/>
    <w:uiPriority w:val="99"/>
    <w:rsid w:val="00F03F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F2D"/>
    <w:rPr>
      <w:vertAlign w:val="superscript"/>
    </w:rPr>
  </w:style>
  <w:style w:type="character" w:customStyle="1" w:styleId="Menzione1">
    <w:name w:val="Menzione1"/>
    <w:basedOn w:val="Carpredefinitoparagrafo"/>
    <w:uiPriority w:val="99"/>
    <w:semiHidden/>
    <w:unhideWhenUsed/>
    <w:rsid w:val="00147769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46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EBE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D52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AD529C"/>
  </w:style>
  <w:style w:type="paragraph" w:customStyle="1" w:styleId="Body">
    <w:name w:val="Body"/>
    <w:basedOn w:val="Normale"/>
    <w:rsid w:val="00924CB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it-IT"/>
    </w:rPr>
  </w:style>
  <w:style w:type="paragraph" w:customStyle="1" w:styleId="Copertina">
    <w:name w:val="Copertina"/>
    <w:basedOn w:val="Normale"/>
    <w:uiPriority w:val="99"/>
    <w:qFormat/>
    <w:rsid w:val="00AA379F"/>
    <w:pPr>
      <w:widowControl w:val="0"/>
      <w:tabs>
        <w:tab w:val="left" w:pos="709"/>
      </w:tabs>
      <w:jc w:val="center"/>
    </w:pPr>
    <w:rPr>
      <w:rFonts w:ascii="Arial" w:eastAsiaTheme="minorEastAsia" w:hAnsi="Arial" w:cs="Times New Roman"/>
      <w:bCs/>
      <w:snapToGrid w:val="0"/>
      <w:sz w:val="28"/>
      <w:szCs w:val="24"/>
      <w:lang w:eastAsia="it-IT"/>
    </w:rPr>
  </w:style>
  <w:style w:type="paragraph" w:customStyle="1" w:styleId="Corpodeltesto1">
    <w:name w:val="Corpo del testo 1"/>
    <w:basedOn w:val="Normale"/>
    <w:qFormat/>
    <w:rsid w:val="00AA379F"/>
    <w:pPr>
      <w:widowControl w:val="0"/>
      <w:jc w:val="both"/>
    </w:pPr>
    <w:rPr>
      <w:rFonts w:ascii="Arial" w:eastAsiaTheme="minorEastAsia" w:hAnsi="Arial" w:cs="Times New Roman"/>
      <w:snapToGrid w:val="0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35A19"/>
    <w:rPr>
      <w:color w:val="605E5C"/>
      <w:shd w:val="clear" w:color="auto" w:fill="E1DFDD"/>
    </w:rPr>
  </w:style>
  <w:style w:type="paragraph" w:customStyle="1" w:styleId="Default">
    <w:name w:val="Default"/>
    <w:rsid w:val="00F4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E4C"/>
    <w:rPr>
      <w:color w:val="605E5C"/>
      <w:shd w:val="clear" w:color="auto" w:fill="E1DFDD"/>
    </w:rPr>
  </w:style>
  <w:style w:type="paragraph" w:customStyle="1" w:styleId="titolo">
    <w:name w:val="titolo"/>
    <w:basedOn w:val="Normale"/>
    <w:link w:val="titoloCarattere"/>
    <w:qFormat/>
    <w:rsid w:val="00674C4D"/>
    <w:pPr>
      <w:spacing w:after="120" w:line="240" w:lineRule="auto"/>
      <w:jc w:val="center"/>
    </w:pPr>
    <w:rPr>
      <w:rFonts w:cstheme="minorHAnsi"/>
      <w:b/>
      <w:sz w:val="36"/>
      <w:szCs w:val="36"/>
    </w:rPr>
  </w:style>
  <w:style w:type="paragraph" w:customStyle="1" w:styleId="sottotiltolo">
    <w:name w:val="sottotiltolo"/>
    <w:basedOn w:val="Normale"/>
    <w:link w:val="sottotiltoloCarattere"/>
    <w:qFormat/>
    <w:rsid w:val="008D0418"/>
    <w:pPr>
      <w:spacing w:after="120" w:line="240" w:lineRule="auto"/>
      <w:jc w:val="center"/>
    </w:pPr>
    <w:rPr>
      <w:rFonts w:cstheme="minorHAnsi"/>
      <w:b/>
      <w:color w:val="085392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674C4D"/>
    <w:rPr>
      <w:rFonts w:cstheme="minorHAnsi"/>
      <w:b/>
      <w:sz w:val="36"/>
      <w:szCs w:val="36"/>
    </w:rPr>
  </w:style>
  <w:style w:type="paragraph" w:customStyle="1" w:styleId="testo">
    <w:name w:val="testo"/>
    <w:basedOn w:val="NormaleWeb"/>
    <w:link w:val="testoCarattere"/>
    <w:qFormat/>
    <w:rsid w:val="00674C4D"/>
    <w:pPr>
      <w:spacing w:line="360" w:lineRule="auto"/>
      <w:jc w:val="both"/>
    </w:pPr>
    <w:rPr>
      <w:rFonts w:ascii="Calibri" w:hAnsi="Calibri" w:cs="Calibri"/>
      <w:spacing w:val="-2"/>
      <w:sz w:val="23"/>
      <w:szCs w:val="23"/>
    </w:rPr>
  </w:style>
  <w:style w:type="character" w:customStyle="1" w:styleId="sottotiltoloCarattere">
    <w:name w:val="sottotiltolo Carattere"/>
    <w:basedOn w:val="Carpredefinitoparagrafo"/>
    <w:link w:val="sottotiltolo"/>
    <w:rsid w:val="008D0418"/>
    <w:rPr>
      <w:rFonts w:cstheme="minorHAnsi"/>
      <w:b/>
      <w:color w:val="085392"/>
      <w:sz w:val="30"/>
      <w:szCs w:val="30"/>
    </w:rPr>
  </w:style>
  <w:style w:type="paragraph" w:customStyle="1" w:styleId="notaintermonte">
    <w:name w:val="nota intermonte"/>
    <w:basedOn w:val="Normale"/>
    <w:link w:val="notaintermonteCarattere"/>
    <w:qFormat/>
    <w:rsid w:val="00674C4D"/>
    <w:pPr>
      <w:spacing w:after="0" w:line="240" w:lineRule="auto"/>
      <w:ind w:right="-1"/>
      <w:jc w:val="both"/>
    </w:pPr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674C4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arattere">
    <w:name w:val="testo Carattere"/>
    <w:basedOn w:val="NormaleWebCarattere"/>
    <w:link w:val="testo"/>
    <w:rsid w:val="00674C4D"/>
    <w:rPr>
      <w:rFonts w:ascii="Calibri" w:hAnsi="Calibri" w:cs="Calibri"/>
      <w:spacing w:val="-2"/>
      <w:sz w:val="23"/>
      <w:szCs w:val="23"/>
      <w:lang w:eastAsia="it-IT"/>
    </w:rPr>
  </w:style>
  <w:style w:type="paragraph" w:customStyle="1" w:styleId="3sottotitolo">
    <w:name w:val="3 sottotitolo"/>
    <w:basedOn w:val="sottotiltolo"/>
    <w:link w:val="3sottotitoloCarattere"/>
    <w:qFormat/>
    <w:rsid w:val="008D0418"/>
    <w:rPr>
      <w:color w:val="auto"/>
      <w:sz w:val="26"/>
      <w:szCs w:val="26"/>
    </w:rPr>
  </w:style>
  <w:style w:type="character" w:customStyle="1" w:styleId="notaintermonteCarattere">
    <w:name w:val="nota intermonte Carattere"/>
    <w:basedOn w:val="Carpredefinitoparagrafo"/>
    <w:link w:val="notaintermonte"/>
    <w:rsid w:val="00674C4D"/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3sottotitoloCarattere">
    <w:name w:val="3 sottotitolo Carattere"/>
    <w:basedOn w:val="sottotiltoloCarattere"/>
    <w:link w:val="3sottotitolo"/>
    <w:rsid w:val="008D0418"/>
    <w:rPr>
      <w:rFonts w:cstheme="minorHAnsi"/>
      <w:b/>
      <w:color w:val="085392"/>
      <w:sz w:val="26"/>
      <w:szCs w:val="26"/>
    </w:rPr>
  </w:style>
  <w:style w:type="paragraph" w:customStyle="1" w:styleId="xxmsonormal">
    <w:name w:val="x_x_msonormal"/>
    <w:basedOn w:val="Normale"/>
    <w:rsid w:val="00C6793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msolistparagraph">
    <w:name w:val="x_x_msolistparagraph"/>
    <w:basedOn w:val="Normale"/>
    <w:rsid w:val="00C6793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B0D1B"/>
    <w:rPr>
      <w:i/>
      <w:iCs/>
    </w:rPr>
  </w:style>
  <w:style w:type="character" w:customStyle="1" w:styleId="xxelementtoproof">
    <w:name w:val="x_x_elementtoproof"/>
    <w:basedOn w:val="Carpredefinitoparagrafo"/>
    <w:rsid w:val="004D621B"/>
  </w:style>
  <w:style w:type="paragraph" w:customStyle="1" w:styleId="xelementtoproof">
    <w:name w:val="x_elementtoproof"/>
    <w:basedOn w:val="Normale"/>
    <w:rsid w:val="00B2516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rsid w:val="00AE4E1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contentpasted1">
    <w:name w:val="contentpasted1"/>
    <w:basedOn w:val="Carpredefinitoparagrafo"/>
    <w:rsid w:val="00153EE6"/>
  </w:style>
  <w:style w:type="paragraph" w:customStyle="1" w:styleId="contentpasted7">
    <w:name w:val="contentpasted7"/>
    <w:basedOn w:val="Normale"/>
    <w:uiPriority w:val="99"/>
    <w:semiHidden/>
    <w:rsid w:val="008D7BD7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4">
    <w:name w:val="contentpasted4"/>
    <w:basedOn w:val="Carpredefinitoparagrafo"/>
    <w:rsid w:val="008D7BD7"/>
  </w:style>
  <w:style w:type="paragraph" w:customStyle="1" w:styleId="xmsonormal">
    <w:name w:val="x_msonormal"/>
    <w:basedOn w:val="Normale"/>
    <w:rsid w:val="00BC43B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contentpasted0">
    <w:name w:val="x_contentpasted0"/>
    <w:basedOn w:val="Normale"/>
    <w:rsid w:val="00BC43B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contentpasted1">
    <w:name w:val="x_contentpasted1"/>
    <w:basedOn w:val="Carpredefinitoparagrafo"/>
    <w:rsid w:val="00BC43BE"/>
  </w:style>
  <w:style w:type="character" w:customStyle="1" w:styleId="xcontentpasted2">
    <w:name w:val="x_contentpasted2"/>
    <w:basedOn w:val="Carpredefinitoparagrafo"/>
    <w:rsid w:val="00BC43BE"/>
  </w:style>
  <w:style w:type="character" w:customStyle="1" w:styleId="xcontentpasted01">
    <w:name w:val="x_contentpasted01"/>
    <w:basedOn w:val="Carpredefinitoparagrafo"/>
    <w:rsid w:val="00BC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derica.guerrini@bc-communication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atrice.cagnoni@bc-communication.it" TargetMode="External"/><Relationship Id="rId4" Type="http://schemas.openxmlformats.org/officeDocument/2006/relationships/settings" Target="settings.xml"/><Relationship Id="rId9" Type="http://schemas.openxmlformats.org/officeDocument/2006/relationships/image" Target="cid:7f14fb15-104b-4f81-8e18-1063de21d53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FE5-B047-49CF-9171-3213CB9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Intermonte SIM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Info BC Communication</cp:lastModifiedBy>
  <cp:revision>4</cp:revision>
  <cp:lastPrinted>2023-03-23T08:36:00Z</cp:lastPrinted>
  <dcterms:created xsi:type="dcterms:W3CDTF">2023-07-12T14:07:00Z</dcterms:created>
  <dcterms:modified xsi:type="dcterms:W3CDTF">2023-07-31T13:47:00Z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marco.isolani@intesasanpaolo.com</vt:lpwstr>
  </property>
  <property fmtid="{D5CDD505-2E9C-101B-9397-08002B2CF9AE}" pid="5" name="MSIP_Label_5f5fe31f-9de1-4167-a753-111c0df8115f_SetDate">
    <vt:lpwstr>2021-10-02T10:12:20.6673382Z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5571939f-b0c2-4c51-b9cb-2769fe955d8a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