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070" w14:textId="77777777" w:rsidR="00EA20F2" w:rsidRPr="006D3714" w:rsidRDefault="00EA20F2" w:rsidP="006D3714">
      <w:pPr>
        <w:spacing w:after="0" w:line="20" w:lineRule="atLeast"/>
        <w:jc w:val="both"/>
        <w:rPr>
          <w:rFonts w:ascii="Arial" w:hAnsi="Arial" w:cs="Arial"/>
          <w:b/>
          <w:sz w:val="36"/>
          <w:szCs w:val="36"/>
        </w:rPr>
      </w:pPr>
      <w:bookmarkStart w:id="0" w:name="_Hlk83111918"/>
    </w:p>
    <w:p w14:paraId="69EFBA71" w14:textId="08042E50" w:rsidR="008D7BD7" w:rsidRPr="006D3714" w:rsidRDefault="00A01F38" w:rsidP="006D3714">
      <w:pPr>
        <w:spacing w:after="0" w:line="20" w:lineRule="atLeast"/>
        <w:jc w:val="center"/>
        <w:rPr>
          <w:rFonts w:ascii="Arial" w:hAnsi="Arial" w:cs="Arial"/>
          <w:b/>
          <w:sz w:val="24"/>
          <w:szCs w:val="24"/>
        </w:rPr>
      </w:pPr>
      <w:r w:rsidRPr="00A01F38">
        <w:rPr>
          <w:rFonts w:ascii="Arial" w:hAnsi="Arial" w:cs="Arial"/>
          <w:b/>
          <w:sz w:val="36"/>
          <w:szCs w:val="36"/>
        </w:rPr>
        <w:t xml:space="preserve">FLASH </w:t>
      </w:r>
      <w:r>
        <w:rPr>
          <w:rFonts w:ascii="Arial" w:hAnsi="Arial" w:cs="Arial"/>
          <w:b/>
          <w:sz w:val="36"/>
          <w:szCs w:val="36"/>
        </w:rPr>
        <w:t>-</w:t>
      </w:r>
      <w:r w:rsidRPr="00A01F38">
        <w:rPr>
          <w:rFonts w:ascii="Arial" w:hAnsi="Arial" w:cs="Arial"/>
          <w:b/>
          <w:sz w:val="36"/>
          <w:szCs w:val="36"/>
        </w:rPr>
        <w:t xml:space="preserve"> </w:t>
      </w:r>
      <w:r w:rsidR="003A11E1">
        <w:rPr>
          <w:rFonts w:ascii="Arial" w:hAnsi="Arial" w:cs="Arial"/>
          <w:b/>
          <w:sz w:val="36"/>
          <w:szCs w:val="36"/>
        </w:rPr>
        <w:t>D</w:t>
      </w:r>
      <w:r w:rsidR="00F965C0" w:rsidRPr="00F965C0">
        <w:rPr>
          <w:rFonts w:ascii="Arial" w:hAnsi="Arial" w:cs="Arial"/>
          <w:b/>
          <w:sz w:val="36"/>
          <w:szCs w:val="36"/>
        </w:rPr>
        <w:t xml:space="preserve">ecisione </w:t>
      </w:r>
      <w:r w:rsidR="00F455D0">
        <w:rPr>
          <w:rFonts w:ascii="Arial" w:hAnsi="Arial" w:cs="Arial"/>
          <w:b/>
          <w:sz w:val="36"/>
          <w:szCs w:val="36"/>
        </w:rPr>
        <w:t xml:space="preserve">di </w:t>
      </w:r>
      <w:r w:rsidR="00F965C0" w:rsidRPr="00F965C0">
        <w:rPr>
          <w:rFonts w:ascii="Arial" w:hAnsi="Arial" w:cs="Arial"/>
          <w:b/>
          <w:sz w:val="36"/>
          <w:szCs w:val="36"/>
        </w:rPr>
        <w:t>Fitch sul debito Usa</w:t>
      </w:r>
    </w:p>
    <w:p w14:paraId="20580997" w14:textId="77777777" w:rsidR="00A01F38" w:rsidRDefault="00A01F38" w:rsidP="006D3714">
      <w:pPr>
        <w:spacing w:after="0" w:line="20" w:lineRule="atLeast"/>
        <w:jc w:val="center"/>
        <w:rPr>
          <w:rFonts w:ascii="Arial" w:hAnsi="Arial" w:cs="Arial"/>
          <w:bCs/>
          <w:i/>
          <w:iCs/>
          <w:sz w:val="24"/>
          <w:szCs w:val="24"/>
        </w:rPr>
      </w:pPr>
    </w:p>
    <w:p w14:paraId="1199F044" w14:textId="120336BF" w:rsidR="00A76468" w:rsidRPr="006D3714" w:rsidRDefault="00A76468" w:rsidP="006D3714">
      <w:pPr>
        <w:spacing w:after="0" w:line="20" w:lineRule="atLeast"/>
        <w:jc w:val="center"/>
        <w:rPr>
          <w:rFonts w:ascii="Arial" w:hAnsi="Arial" w:cs="Arial"/>
          <w:bCs/>
          <w:i/>
          <w:iCs/>
          <w:sz w:val="24"/>
          <w:szCs w:val="24"/>
        </w:rPr>
      </w:pPr>
      <w:r w:rsidRPr="006D3714">
        <w:rPr>
          <w:rFonts w:ascii="Arial" w:hAnsi="Arial" w:cs="Arial"/>
          <w:bCs/>
          <w:i/>
          <w:iCs/>
          <w:sz w:val="24"/>
          <w:szCs w:val="24"/>
        </w:rPr>
        <w:t xml:space="preserve">A cura di Antonio Cesarano, </w:t>
      </w:r>
      <w:proofErr w:type="spellStart"/>
      <w:r w:rsidRPr="006D3714">
        <w:rPr>
          <w:rFonts w:ascii="Arial" w:hAnsi="Arial" w:cs="Arial"/>
          <w:bCs/>
          <w:i/>
          <w:iCs/>
          <w:sz w:val="24"/>
          <w:szCs w:val="24"/>
        </w:rPr>
        <w:t>Chief</w:t>
      </w:r>
      <w:proofErr w:type="spellEnd"/>
      <w:r w:rsidRPr="006D3714">
        <w:rPr>
          <w:rFonts w:ascii="Arial" w:hAnsi="Arial" w:cs="Arial"/>
          <w:bCs/>
          <w:i/>
          <w:iCs/>
          <w:sz w:val="24"/>
          <w:szCs w:val="24"/>
        </w:rPr>
        <w:t xml:space="preserve"> Global Strategist, </w:t>
      </w:r>
      <w:proofErr w:type="spellStart"/>
      <w:r w:rsidRPr="006D3714">
        <w:rPr>
          <w:rFonts w:ascii="Arial" w:hAnsi="Arial" w:cs="Arial"/>
          <w:bCs/>
          <w:i/>
          <w:iCs/>
          <w:sz w:val="24"/>
          <w:szCs w:val="24"/>
        </w:rPr>
        <w:t>Intermonte</w:t>
      </w:r>
      <w:proofErr w:type="spellEnd"/>
    </w:p>
    <w:bookmarkEnd w:id="0"/>
    <w:p w14:paraId="613A8689" w14:textId="77777777" w:rsidR="00BC43BE" w:rsidRDefault="00BC43BE" w:rsidP="00BC43BE">
      <w:pPr>
        <w:tabs>
          <w:tab w:val="left" w:pos="426"/>
        </w:tabs>
        <w:spacing w:after="0" w:line="20" w:lineRule="atLeast"/>
        <w:ind w:right="-1"/>
        <w:jc w:val="both"/>
        <w:rPr>
          <w:rFonts w:ascii="Arial" w:hAnsi="Arial" w:cs="Arial"/>
          <w:b/>
          <w:bCs/>
          <w:i/>
          <w:iCs/>
          <w:spacing w:val="-2"/>
          <w:sz w:val="20"/>
          <w:szCs w:val="20"/>
          <w:u w:val="single"/>
        </w:rPr>
      </w:pPr>
    </w:p>
    <w:p w14:paraId="35874169" w14:textId="1D03F675" w:rsidR="00F965C0" w:rsidRPr="003A11E1" w:rsidRDefault="00F965C0" w:rsidP="00F455D0">
      <w:pPr>
        <w:spacing w:line="240" w:lineRule="auto"/>
        <w:jc w:val="both"/>
        <w:rPr>
          <w:rFonts w:ascii="Aptos" w:eastAsia="Times New Roman" w:hAnsi="Aptos"/>
          <w:color w:val="000000"/>
        </w:rPr>
      </w:pPr>
      <w:r w:rsidRPr="003A11E1">
        <w:rPr>
          <w:rFonts w:ascii="Arial" w:eastAsia="Times New Roman" w:hAnsi="Arial" w:cs="Arial"/>
          <w:color w:val="000000"/>
        </w:rPr>
        <w:t xml:space="preserve">La decisione di Fitch di </w:t>
      </w:r>
      <w:r w:rsidR="003A11E1" w:rsidRPr="003A11E1">
        <w:rPr>
          <w:rFonts w:ascii="Arial" w:eastAsia="Times New Roman" w:hAnsi="Arial" w:cs="Arial"/>
          <w:color w:val="000000"/>
        </w:rPr>
        <w:t>declassare</w:t>
      </w:r>
      <w:r w:rsidRPr="003A11E1">
        <w:rPr>
          <w:rFonts w:ascii="Arial" w:eastAsia="Times New Roman" w:hAnsi="Arial" w:cs="Arial"/>
          <w:color w:val="000000"/>
        </w:rPr>
        <w:t xml:space="preserve"> di un </w:t>
      </w:r>
      <w:proofErr w:type="spellStart"/>
      <w:r w:rsidRPr="003A11E1">
        <w:rPr>
          <w:rFonts w:ascii="Arial" w:eastAsia="Times New Roman" w:hAnsi="Arial" w:cs="Arial"/>
          <w:i/>
          <w:iCs/>
          <w:color w:val="000000"/>
        </w:rPr>
        <w:t>notch</w:t>
      </w:r>
      <w:proofErr w:type="spellEnd"/>
      <w:r w:rsidRPr="003A11E1">
        <w:rPr>
          <w:rFonts w:ascii="Arial" w:eastAsia="Times New Roman" w:hAnsi="Arial" w:cs="Arial"/>
          <w:color w:val="000000"/>
        </w:rPr>
        <w:t xml:space="preserve"> </w:t>
      </w:r>
      <w:r w:rsidR="003A11E1" w:rsidRPr="003A11E1">
        <w:rPr>
          <w:rFonts w:ascii="Arial" w:eastAsia="Times New Roman" w:hAnsi="Arial" w:cs="Arial"/>
          <w:color w:val="000000"/>
        </w:rPr>
        <w:t>il rating del</w:t>
      </w:r>
      <w:r w:rsidRPr="003A11E1">
        <w:rPr>
          <w:rFonts w:ascii="Arial" w:eastAsia="Times New Roman" w:hAnsi="Arial" w:cs="Arial"/>
          <w:color w:val="000000"/>
        </w:rPr>
        <w:t xml:space="preserve"> debito </w:t>
      </w:r>
      <w:proofErr w:type="spellStart"/>
      <w:r w:rsidRPr="003A11E1">
        <w:rPr>
          <w:rFonts w:ascii="Arial" w:eastAsia="Times New Roman" w:hAnsi="Arial" w:cs="Arial"/>
          <w:color w:val="000000"/>
        </w:rPr>
        <w:t>US</w:t>
      </w:r>
      <w:proofErr w:type="spellEnd"/>
      <w:r w:rsidRPr="003A11E1">
        <w:rPr>
          <w:rFonts w:ascii="Arial" w:eastAsia="Times New Roman" w:hAnsi="Arial" w:cs="Arial"/>
          <w:color w:val="000000"/>
        </w:rPr>
        <w:t xml:space="preserve"> è basata sull</w:t>
      </w:r>
      <w:r w:rsidR="003A11E1" w:rsidRPr="003A11E1">
        <w:rPr>
          <w:rFonts w:ascii="Arial" w:eastAsia="Times New Roman" w:hAnsi="Arial" w:cs="Arial"/>
          <w:color w:val="000000"/>
        </w:rPr>
        <w:t>a prospettiva di un</w:t>
      </w:r>
      <w:r w:rsidRPr="003A11E1">
        <w:rPr>
          <w:rFonts w:ascii="Arial" w:eastAsia="Times New Roman" w:hAnsi="Arial" w:cs="Arial"/>
          <w:color w:val="000000"/>
        </w:rPr>
        <w:t xml:space="preserve"> peggioramento dei conti pubblici nei prossimi tre anni. Paradossalmente, come nel caso di </w:t>
      </w:r>
      <w:proofErr w:type="spellStart"/>
      <w:r w:rsidRPr="003A11E1">
        <w:rPr>
          <w:rFonts w:ascii="Arial" w:eastAsia="Times New Roman" w:hAnsi="Arial" w:cs="Arial"/>
          <w:color w:val="000000"/>
        </w:rPr>
        <w:t>S&amp;P</w:t>
      </w:r>
      <w:proofErr w:type="spellEnd"/>
      <w:r w:rsidRPr="003A11E1">
        <w:rPr>
          <w:rFonts w:ascii="Arial" w:eastAsia="Times New Roman" w:hAnsi="Arial" w:cs="Arial"/>
          <w:color w:val="000000"/>
        </w:rPr>
        <w:t xml:space="preserve"> nel 2011, il downgrade è arrivato ancora una </w:t>
      </w:r>
      <w:r w:rsidR="003A11E1" w:rsidRPr="003A11E1">
        <w:rPr>
          <w:rFonts w:ascii="Arial" w:eastAsia="Times New Roman" w:hAnsi="Arial" w:cs="Arial"/>
          <w:color w:val="000000"/>
        </w:rPr>
        <w:t>volta</w:t>
      </w:r>
      <w:r w:rsidRPr="003A11E1">
        <w:rPr>
          <w:rFonts w:ascii="Arial" w:eastAsia="Times New Roman" w:hAnsi="Arial" w:cs="Arial"/>
          <w:color w:val="000000"/>
        </w:rPr>
        <w:t xml:space="preserve"> ad inizio agosto. </w:t>
      </w:r>
    </w:p>
    <w:p w14:paraId="4E599C0D" w14:textId="02544B78" w:rsidR="00F965C0" w:rsidRPr="003A11E1" w:rsidRDefault="00F965C0" w:rsidP="00F455D0">
      <w:pPr>
        <w:spacing w:after="160" w:line="240" w:lineRule="auto"/>
        <w:jc w:val="both"/>
        <w:rPr>
          <w:color w:val="000000"/>
        </w:rPr>
      </w:pPr>
      <w:r w:rsidRPr="003A11E1">
        <w:rPr>
          <w:rStyle w:val="contentpasted0"/>
          <w:rFonts w:ascii="Arial" w:hAnsi="Arial" w:cs="Arial"/>
          <w:color w:val="000000"/>
        </w:rPr>
        <w:t xml:space="preserve">Le implicazioni della decisione di per </w:t>
      </w:r>
      <w:r w:rsidR="00CA6C7E" w:rsidRPr="003A11E1">
        <w:rPr>
          <w:rStyle w:val="contentpasted0"/>
          <w:rFonts w:ascii="Arial" w:hAnsi="Arial" w:cs="Arial"/>
          <w:color w:val="000000"/>
        </w:rPr>
        <w:t>sé</w:t>
      </w:r>
      <w:r w:rsidRPr="003A11E1">
        <w:rPr>
          <w:rStyle w:val="contentpasted0"/>
          <w:rFonts w:ascii="Arial" w:hAnsi="Arial" w:cs="Arial"/>
          <w:color w:val="000000"/>
        </w:rPr>
        <w:t xml:space="preserve"> non </w:t>
      </w:r>
      <w:r w:rsidR="003A11E1" w:rsidRPr="003A11E1">
        <w:rPr>
          <w:rStyle w:val="contentpasted0"/>
          <w:rFonts w:ascii="Arial" w:hAnsi="Arial" w:cs="Arial"/>
          <w:color w:val="000000"/>
        </w:rPr>
        <w:t>portano a</w:t>
      </w:r>
      <w:r w:rsidRPr="003A11E1">
        <w:rPr>
          <w:rStyle w:val="contentpasted0"/>
          <w:rFonts w:ascii="Arial" w:hAnsi="Arial" w:cs="Arial"/>
          <w:color w:val="000000"/>
        </w:rPr>
        <w:t xml:space="preserve"> pressioni </w:t>
      </w:r>
      <w:r w:rsidR="003A11E1" w:rsidRPr="003A11E1">
        <w:rPr>
          <w:rStyle w:val="contentpasted0"/>
          <w:rFonts w:ascii="Arial" w:hAnsi="Arial" w:cs="Arial"/>
          <w:color w:val="000000"/>
        </w:rPr>
        <w:t>per la</w:t>
      </w:r>
      <w:r w:rsidRPr="003A11E1">
        <w:rPr>
          <w:rStyle w:val="contentpasted0"/>
          <w:rFonts w:ascii="Arial" w:hAnsi="Arial" w:cs="Arial"/>
          <w:color w:val="000000"/>
        </w:rPr>
        <w:t xml:space="preserve"> vendita di Treasury, trattandosi comunque dei bond </w:t>
      </w:r>
      <w:r w:rsidR="003A11E1" w:rsidRPr="003A11E1">
        <w:rPr>
          <w:rStyle w:val="contentpasted0"/>
          <w:rFonts w:ascii="Arial" w:hAnsi="Arial" w:cs="Arial"/>
          <w:color w:val="000000"/>
        </w:rPr>
        <w:t>d</w:t>
      </w:r>
      <w:r w:rsidRPr="003A11E1">
        <w:rPr>
          <w:rStyle w:val="contentpasted0"/>
          <w:rFonts w:ascii="Arial" w:hAnsi="Arial" w:cs="Arial"/>
          <w:color w:val="000000"/>
        </w:rPr>
        <w:t>ella prima economia al mondo con un rating prossimo al massimo. </w:t>
      </w:r>
      <w:r w:rsidRPr="003A11E1">
        <w:rPr>
          <w:rFonts w:ascii="Arial" w:hAnsi="Arial" w:cs="Arial"/>
          <w:color w:val="000000"/>
        </w:rPr>
        <w:t>Tuttavia</w:t>
      </w:r>
      <w:r w:rsidR="00CA6C7E">
        <w:rPr>
          <w:rFonts w:ascii="Arial" w:hAnsi="Arial" w:cs="Arial"/>
          <w:color w:val="000000"/>
        </w:rPr>
        <w:t>,</w:t>
      </w:r>
      <w:r w:rsidRPr="003A11E1">
        <w:rPr>
          <w:rFonts w:ascii="Arial" w:hAnsi="Arial" w:cs="Arial"/>
          <w:color w:val="000000"/>
        </w:rPr>
        <w:t xml:space="preserve"> alcune considerazioni aggiuntive possono essere di aiuto</w:t>
      </w:r>
      <w:r w:rsidR="003A11E1" w:rsidRPr="003A11E1">
        <w:rPr>
          <w:rFonts w:ascii="Arial" w:hAnsi="Arial" w:cs="Arial"/>
          <w:color w:val="000000"/>
        </w:rPr>
        <w:t>:</w:t>
      </w:r>
      <w:r w:rsidRPr="003A11E1">
        <w:rPr>
          <w:rFonts w:ascii="Arial" w:hAnsi="Arial" w:cs="Arial"/>
          <w:color w:val="000000"/>
        </w:rPr>
        <w:t> </w:t>
      </w:r>
      <w:r w:rsidR="00F455D0">
        <w:rPr>
          <w:rStyle w:val="contentpasted0"/>
          <w:rFonts w:ascii="Arial" w:hAnsi="Arial" w:cs="Arial"/>
          <w:color w:val="000000"/>
        </w:rPr>
        <w:t>d</w:t>
      </w:r>
      <w:r w:rsidR="003A11E1" w:rsidRPr="003A11E1">
        <w:rPr>
          <w:rStyle w:val="contentpasted0"/>
          <w:rFonts w:ascii="Arial" w:hAnsi="Arial" w:cs="Arial"/>
          <w:color w:val="000000"/>
        </w:rPr>
        <w:t>a un lato ci sono</w:t>
      </w:r>
      <w:r w:rsidRPr="003A11E1">
        <w:rPr>
          <w:rStyle w:val="contentpasted0"/>
          <w:rFonts w:ascii="Arial" w:hAnsi="Arial" w:cs="Arial"/>
          <w:color w:val="000000"/>
        </w:rPr>
        <w:t xml:space="preserve"> considerazioni sullo stato di salute dei conti pubblici USA, dopo la lunga stagione di rialzi della Fed</w:t>
      </w:r>
      <w:r w:rsidR="003A11E1" w:rsidRPr="003A11E1">
        <w:rPr>
          <w:rStyle w:val="contentpasted0"/>
          <w:rFonts w:ascii="Arial" w:hAnsi="Arial" w:cs="Arial"/>
          <w:color w:val="000000"/>
        </w:rPr>
        <w:t>,</w:t>
      </w:r>
      <w:r w:rsidRPr="003A11E1">
        <w:rPr>
          <w:rStyle w:val="contentpasted0"/>
          <w:rFonts w:ascii="Arial" w:hAnsi="Arial" w:cs="Arial"/>
          <w:color w:val="000000"/>
        </w:rPr>
        <w:t xml:space="preserve"> dall'altro </w:t>
      </w:r>
      <w:r w:rsidR="00F455D0">
        <w:rPr>
          <w:rStyle w:val="contentpasted0"/>
          <w:rFonts w:ascii="Arial" w:hAnsi="Arial" w:cs="Arial"/>
          <w:color w:val="000000"/>
        </w:rPr>
        <w:t xml:space="preserve">considerazioni </w:t>
      </w:r>
      <w:r w:rsidRPr="003A11E1">
        <w:rPr>
          <w:rStyle w:val="contentpasted0"/>
          <w:rFonts w:ascii="Arial" w:hAnsi="Arial" w:cs="Arial"/>
          <w:color w:val="000000"/>
        </w:rPr>
        <w:t xml:space="preserve">sulle potenziali pressioni </w:t>
      </w:r>
      <w:r w:rsidR="003A11E1" w:rsidRPr="003A11E1">
        <w:rPr>
          <w:rStyle w:val="contentpasted0"/>
          <w:rFonts w:ascii="Arial" w:hAnsi="Arial" w:cs="Arial"/>
          <w:color w:val="000000"/>
        </w:rPr>
        <w:t>a</w:t>
      </w:r>
      <w:r w:rsidRPr="003A11E1">
        <w:rPr>
          <w:rStyle w:val="contentpasted0"/>
          <w:rFonts w:ascii="Arial" w:hAnsi="Arial" w:cs="Arial"/>
          <w:color w:val="000000"/>
        </w:rPr>
        <w:t xml:space="preserve"> </w:t>
      </w:r>
      <w:r w:rsidR="00F455D0">
        <w:rPr>
          <w:rStyle w:val="contentpasted0"/>
          <w:rFonts w:ascii="Arial" w:hAnsi="Arial" w:cs="Arial"/>
          <w:color w:val="000000"/>
        </w:rPr>
        <w:t>vendere</w:t>
      </w:r>
      <w:r w:rsidRPr="003A11E1">
        <w:rPr>
          <w:rStyle w:val="contentpasted0"/>
          <w:rFonts w:ascii="Arial" w:hAnsi="Arial" w:cs="Arial"/>
          <w:color w:val="000000"/>
        </w:rPr>
        <w:t xml:space="preserve"> che possono arrivare da altre fonti</w:t>
      </w:r>
      <w:r w:rsidR="00F455D0">
        <w:rPr>
          <w:rStyle w:val="contentpasted0"/>
          <w:rFonts w:ascii="Arial" w:hAnsi="Arial" w:cs="Arial"/>
          <w:color w:val="000000"/>
        </w:rPr>
        <w:t>.</w:t>
      </w:r>
    </w:p>
    <w:p w14:paraId="5EC4720B" w14:textId="7C405D64" w:rsidR="00F965C0" w:rsidRPr="003A11E1" w:rsidRDefault="00F965C0" w:rsidP="00F455D0">
      <w:pPr>
        <w:numPr>
          <w:ilvl w:val="0"/>
          <w:numId w:val="52"/>
        </w:numPr>
        <w:spacing w:before="100" w:beforeAutospacing="1" w:after="100" w:afterAutospacing="1" w:line="240" w:lineRule="auto"/>
        <w:jc w:val="both"/>
        <w:rPr>
          <w:rFonts w:ascii="Arial" w:eastAsia="Times New Roman" w:hAnsi="Arial" w:cs="Arial"/>
          <w:color w:val="000000"/>
        </w:rPr>
      </w:pPr>
      <w:r w:rsidRPr="003A11E1">
        <w:rPr>
          <w:rStyle w:val="contentpasted0"/>
          <w:rFonts w:ascii="Arial" w:eastAsia="Times New Roman" w:hAnsi="Arial" w:cs="Arial"/>
          <w:color w:val="000000"/>
        </w:rPr>
        <w:t>Partendo dai conti pubblici</w:t>
      </w:r>
      <w:r w:rsidR="00F455D0">
        <w:rPr>
          <w:rStyle w:val="contentpasted0"/>
          <w:rFonts w:ascii="Arial" w:eastAsia="Times New Roman" w:hAnsi="Arial" w:cs="Arial"/>
          <w:color w:val="000000"/>
        </w:rPr>
        <w:t>:</w:t>
      </w:r>
    </w:p>
    <w:p w14:paraId="3157E93D" w14:textId="750C6517" w:rsidR="00F965C0" w:rsidRDefault="00F965C0" w:rsidP="00F455D0">
      <w:pPr>
        <w:numPr>
          <w:ilvl w:val="1"/>
          <w:numId w:val="52"/>
        </w:numPr>
        <w:spacing w:before="100" w:beforeAutospacing="1" w:after="100" w:afterAutospacing="1" w:line="240" w:lineRule="auto"/>
        <w:jc w:val="both"/>
        <w:rPr>
          <w:rStyle w:val="contentpasted0"/>
          <w:rFonts w:ascii="Arial" w:eastAsia="Times New Roman" w:hAnsi="Arial" w:cs="Arial"/>
          <w:color w:val="000000"/>
        </w:rPr>
      </w:pPr>
      <w:r w:rsidRPr="003A11E1">
        <w:rPr>
          <w:rStyle w:val="contentpasted0"/>
          <w:rFonts w:ascii="Arial" w:eastAsia="Times New Roman" w:hAnsi="Arial" w:cs="Arial"/>
          <w:color w:val="000000"/>
        </w:rPr>
        <w:t xml:space="preserve">il rialzo dei tassi della Fed e il conseguente rialzo dei tassi di mercato ha comportato un </w:t>
      </w:r>
      <w:r w:rsidR="00F455D0">
        <w:rPr>
          <w:rStyle w:val="contentpasted0"/>
          <w:rFonts w:ascii="Arial" w:eastAsia="Times New Roman" w:hAnsi="Arial" w:cs="Arial"/>
          <w:color w:val="000000"/>
        </w:rPr>
        <w:t>aumento</w:t>
      </w:r>
      <w:r w:rsidRPr="003A11E1">
        <w:rPr>
          <w:rStyle w:val="contentpasted0"/>
          <w:rFonts w:ascii="Arial" w:eastAsia="Times New Roman" w:hAnsi="Arial" w:cs="Arial"/>
          <w:color w:val="000000"/>
        </w:rPr>
        <w:t xml:space="preserve"> del costo medio di circa </w:t>
      </w:r>
      <w:r w:rsidR="00F455D0" w:rsidRPr="003A11E1">
        <w:rPr>
          <w:rStyle w:val="contentpasted0"/>
          <w:rFonts w:ascii="Arial" w:eastAsia="Times New Roman" w:hAnsi="Arial" w:cs="Arial"/>
          <w:color w:val="000000"/>
        </w:rPr>
        <w:t>$</w:t>
      </w:r>
      <w:r w:rsidRPr="003A11E1">
        <w:rPr>
          <w:rStyle w:val="contentpasted0"/>
          <w:rFonts w:ascii="Arial" w:eastAsia="Times New Roman" w:hAnsi="Arial" w:cs="Arial"/>
          <w:color w:val="000000"/>
        </w:rPr>
        <w:t xml:space="preserve">33.000 </w:t>
      </w:r>
      <w:r w:rsidR="00F455D0">
        <w:rPr>
          <w:rStyle w:val="contentpasted0"/>
          <w:rFonts w:ascii="Arial" w:eastAsia="Times New Roman" w:hAnsi="Arial" w:cs="Arial"/>
          <w:color w:val="000000"/>
        </w:rPr>
        <w:t>m</w:t>
      </w:r>
      <w:r w:rsidRPr="003A11E1">
        <w:rPr>
          <w:rStyle w:val="contentpasted0"/>
          <w:rFonts w:ascii="Arial" w:eastAsia="Times New Roman" w:hAnsi="Arial" w:cs="Arial"/>
          <w:color w:val="000000"/>
        </w:rPr>
        <w:t xml:space="preserve">ld di debito, ora pari a circa 2,75%, </w:t>
      </w:r>
      <w:r w:rsidR="00F455D0">
        <w:rPr>
          <w:rStyle w:val="contentpasted0"/>
          <w:rFonts w:ascii="Arial" w:eastAsia="Times New Roman" w:hAnsi="Arial" w:cs="Arial"/>
          <w:color w:val="000000"/>
        </w:rPr>
        <w:t xml:space="preserve">al </w:t>
      </w:r>
      <w:r w:rsidRPr="003A11E1">
        <w:rPr>
          <w:rStyle w:val="contentpasted0"/>
          <w:rFonts w:ascii="Arial" w:eastAsia="Times New Roman" w:hAnsi="Arial" w:cs="Arial"/>
          <w:color w:val="000000"/>
        </w:rPr>
        <w:t>massimo dal 2012</w:t>
      </w:r>
      <w:r w:rsidR="00F455D0">
        <w:rPr>
          <w:rStyle w:val="contentpasted0"/>
          <w:rFonts w:ascii="Arial" w:eastAsia="Times New Roman" w:hAnsi="Arial" w:cs="Arial"/>
          <w:color w:val="000000"/>
        </w:rPr>
        <w:t>.</w:t>
      </w:r>
    </w:p>
    <w:p w14:paraId="5515DC1B" w14:textId="2B8E3FD0" w:rsidR="00F965C0" w:rsidRDefault="00F455D0" w:rsidP="00F455D0">
      <w:pPr>
        <w:spacing w:before="100" w:beforeAutospacing="1" w:after="100" w:afterAutospacing="1" w:line="240" w:lineRule="auto"/>
        <w:ind w:left="1080"/>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0" locked="0" layoutInCell="1" allowOverlap="1" wp14:anchorId="4EC67E11" wp14:editId="41A8CC9B">
            <wp:simplePos x="0" y="0"/>
            <wp:positionH relativeFrom="column">
              <wp:posOffset>1813560</wp:posOffset>
            </wp:positionH>
            <wp:positionV relativeFrom="paragraph">
              <wp:posOffset>2749187</wp:posOffset>
            </wp:positionV>
            <wp:extent cx="2831801" cy="2295525"/>
            <wp:effectExtent l="0" t="0" r="6985" b="0"/>
            <wp:wrapNone/>
            <wp:docPr id="54438050" name="Immagine 2" descr="Immagine che contiene testo, schermata, Diagramm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8050" name="Immagine 2" descr="Immagine che contiene testo, schermata, Diagramma, diagramma&#10;&#10;Descrizione generata automaticament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31801" cy="2295525"/>
                    </a:xfrm>
                    <a:prstGeom prst="rect">
                      <a:avLst/>
                    </a:prstGeom>
                    <a:noFill/>
                    <a:ln>
                      <a:noFill/>
                    </a:ln>
                  </pic:spPr>
                </pic:pic>
              </a:graphicData>
            </a:graphic>
          </wp:anchor>
        </w:drawing>
      </w:r>
      <w:r w:rsidR="00F965C0">
        <w:rPr>
          <w:rFonts w:ascii="Arial" w:eastAsia="Times New Roman" w:hAnsi="Arial" w:cs="Arial"/>
          <w:noProof/>
          <w:color w:val="000000"/>
          <w:sz w:val="24"/>
          <w:szCs w:val="24"/>
        </w:rPr>
        <w:drawing>
          <wp:inline distT="0" distB="0" distL="0" distR="0" wp14:anchorId="055595B1" wp14:editId="3F5C49B1">
            <wp:extent cx="3181996" cy="2571750"/>
            <wp:effectExtent l="0" t="0" r="0" b="0"/>
            <wp:docPr id="526406806" name="Immagine 3" descr="Immagine che contiene testo, diagramma, schermat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406806" name="Immagine 3" descr="Immagine che contiene testo, diagramma, schermata, Diagramma&#10;&#10;Descrizione generata automaticament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184511" cy="2573783"/>
                    </a:xfrm>
                    <a:prstGeom prst="rect">
                      <a:avLst/>
                    </a:prstGeom>
                    <a:noFill/>
                    <a:ln>
                      <a:noFill/>
                    </a:ln>
                  </pic:spPr>
                </pic:pic>
              </a:graphicData>
            </a:graphic>
          </wp:inline>
        </w:drawing>
      </w:r>
    </w:p>
    <w:p w14:paraId="2FEAA5B5" w14:textId="77777777" w:rsidR="00F455D0" w:rsidRPr="00F455D0" w:rsidRDefault="00F455D0" w:rsidP="00F455D0">
      <w:pPr>
        <w:spacing w:before="100" w:beforeAutospacing="1" w:after="100" w:afterAutospacing="1" w:line="240" w:lineRule="auto"/>
        <w:ind w:left="1135"/>
        <w:rPr>
          <w:rFonts w:ascii="Arial" w:eastAsia="Times New Roman" w:hAnsi="Arial" w:cs="Arial"/>
          <w:color w:val="000000"/>
          <w:sz w:val="24"/>
          <w:szCs w:val="24"/>
        </w:rPr>
      </w:pPr>
    </w:p>
    <w:p w14:paraId="5A392298" w14:textId="77777777" w:rsidR="00F455D0" w:rsidRPr="00F455D0" w:rsidRDefault="00F455D0" w:rsidP="00F455D0">
      <w:pPr>
        <w:spacing w:before="100" w:beforeAutospacing="1" w:after="100" w:afterAutospacing="1" w:line="240" w:lineRule="auto"/>
        <w:ind w:left="1135"/>
        <w:rPr>
          <w:rFonts w:ascii="Arial" w:eastAsia="Times New Roman" w:hAnsi="Arial" w:cs="Arial"/>
          <w:color w:val="000000"/>
          <w:sz w:val="24"/>
          <w:szCs w:val="24"/>
        </w:rPr>
      </w:pPr>
    </w:p>
    <w:p w14:paraId="23AB6252" w14:textId="77777777" w:rsidR="00F455D0" w:rsidRPr="00F455D0" w:rsidRDefault="00F455D0" w:rsidP="00F455D0">
      <w:pPr>
        <w:spacing w:before="100" w:beforeAutospacing="1" w:after="100" w:afterAutospacing="1" w:line="240" w:lineRule="auto"/>
        <w:ind w:left="1135"/>
        <w:rPr>
          <w:rFonts w:ascii="Arial" w:eastAsia="Times New Roman" w:hAnsi="Arial" w:cs="Arial"/>
          <w:color w:val="000000"/>
          <w:sz w:val="24"/>
          <w:szCs w:val="24"/>
        </w:rPr>
      </w:pPr>
    </w:p>
    <w:p w14:paraId="54518772" w14:textId="77777777" w:rsidR="00F455D0" w:rsidRPr="00F455D0" w:rsidRDefault="00F455D0" w:rsidP="00F455D0">
      <w:pPr>
        <w:spacing w:before="100" w:beforeAutospacing="1" w:after="100" w:afterAutospacing="1" w:line="240" w:lineRule="auto"/>
        <w:ind w:left="1135"/>
        <w:rPr>
          <w:rFonts w:ascii="Arial" w:eastAsia="Times New Roman" w:hAnsi="Arial" w:cs="Arial"/>
          <w:color w:val="000000"/>
          <w:sz w:val="24"/>
          <w:szCs w:val="24"/>
        </w:rPr>
      </w:pPr>
    </w:p>
    <w:p w14:paraId="053AFFF3" w14:textId="77777777" w:rsidR="00F455D0" w:rsidRPr="00F455D0" w:rsidRDefault="00F455D0" w:rsidP="00F455D0">
      <w:pPr>
        <w:spacing w:before="100" w:beforeAutospacing="1" w:after="100" w:afterAutospacing="1" w:line="240" w:lineRule="auto"/>
        <w:ind w:left="1135"/>
        <w:rPr>
          <w:rFonts w:ascii="Arial" w:eastAsia="Times New Roman" w:hAnsi="Arial" w:cs="Arial"/>
          <w:color w:val="000000"/>
          <w:sz w:val="24"/>
          <w:szCs w:val="24"/>
        </w:rPr>
      </w:pPr>
    </w:p>
    <w:p w14:paraId="31B93437" w14:textId="77777777" w:rsidR="00F455D0" w:rsidRPr="00F455D0" w:rsidRDefault="00F455D0" w:rsidP="00F455D0">
      <w:pPr>
        <w:spacing w:before="100" w:beforeAutospacing="1" w:after="100" w:afterAutospacing="1" w:line="240" w:lineRule="auto"/>
        <w:ind w:left="1135"/>
        <w:rPr>
          <w:rFonts w:ascii="Arial" w:eastAsia="Times New Roman" w:hAnsi="Arial" w:cs="Arial"/>
          <w:color w:val="000000"/>
          <w:sz w:val="24"/>
          <w:szCs w:val="24"/>
        </w:rPr>
      </w:pPr>
    </w:p>
    <w:p w14:paraId="2546F660" w14:textId="77777777" w:rsidR="00F455D0" w:rsidRPr="00F455D0" w:rsidRDefault="00F455D0" w:rsidP="00F455D0">
      <w:pPr>
        <w:spacing w:before="100" w:beforeAutospacing="1" w:after="100" w:afterAutospacing="1" w:line="240" w:lineRule="auto"/>
        <w:ind w:left="1135"/>
        <w:rPr>
          <w:rFonts w:ascii="Arial" w:eastAsia="Times New Roman" w:hAnsi="Arial" w:cs="Arial"/>
          <w:color w:val="000000"/>
          <w:sz w:val="24"/>
          <w:szCs w:val="24"/>
        </w:rPr>
      </w:pPr>
    </w:p>
    <w:p w14:paraId="217988F1" w14:textId="77777777" w:rsidR="00F455D0" w:rsidRPr="00F455D0" w:rsidRDefault="00F455D0" w:rsidP="00F455D0">
      <w:pPr>
        <w:spacing w:before="100" w:beforeAutospacing="1" w:after="100" w:afterAutospacing="1" w:line="240" w:lineRule="auto"/>
        <w:rPr>
          <w:rFonts w:ascii="Arial" w:eastAsia="Times New Roman" w:hAnsi="Arial" w:cs="Arial"/>
          <w:color w:val="000000"/>
        </w:rPr>
      </w:pPr>
    </w:p>
    <w:p w14:paraId="2DF4D4C6" w14:textId="2F9E6C69" w:rsidR="00F965C0" w:rsidRPr="00F455D0" w:rsidRDefault="00F965C0" w:rsidP="00F455D0">
      <w:pPr>
        <w:numPr>
          <w:ilvl w:val="1"/>
          <w:numId w:val="53"/>
        </w:numPr>
        <w:tabs>
          <w:tab w:val="clear" w:pos="1495"/>
        </w:tabs>
        <w:spacing w:before="100" w:beforeAutospacing="1" w:after="100" w:afterAutospacing="1" w:line="240" w:lineRule="auto"/>
        <w:ind w:left="1418"/>
        <w:jc w:val="both"/>
        <w:rPr>
          <w:rFonts w:ascii="Arial" w:eastAsia="Times New Roman" w:hAnsi="Arial" w:cs="Arial"/>
          <w:color w:val="000000"/>
        </w:rPr>
      </w:pPr>
      <w:r w:rsidRPr="00F455D0">
        <w:rPr>
          <w:rFonts w:ascii="Arial" w:eastAsia="Times New Roman" w:hAnsi="Arial" w:cs="Arial"/>
          <w:color w:val="000000"/>
        </w:rPr>
        <w:lastRenderedPageBreak/>
        <w:t>In termini assoluti</w:t>
      </w:r>
      <w:r w:rsidR="00F455D0">
        <w:rPr>
          <w:rFonts w:ascii="Arial" w:eastAsia="Times New Roman" w:hAnsi="Arial" w:cs="Arial"/>
          <w:color w:val="000000"/>
        </w:rPr>
        <w:t>,</w:t>
      </w:r>
      <w:r w:rsidRPr="00F455D0">
        <w:rPr>
          <w:rFonts w:ascii="Arial" w:eastAsia="Times New Roman" w:hAnsi="Arial" w:cs="Arial"/>
          <w:color w:val="000000"/>
        </w:rPr>
        <w:t xml:space="preserve"> </w:t>
      </w:r>
      <w:r w:rsidRPr="00F455D0">
        <w:rPr>
          <w:rFonts w:ascii="Arial" w:eastAsia="Times New Roman" w:hAnsi="Arial" w:cs="Arial"/>
          <w:b/>
          <w:bCs/>
          <w:color w:val="000000"/>
        </w:rPr>
        <w:t xml:space="preserve">la spesa per interessi è arrivata a raggiungere </w:t>
      </w:r>
      <w:r w:rsidR="00F455D0">
        <w:rPr>
          <w:rFonts w:ascii="Arial" w:eastAsia="Times New Roman" w:hAnsi="Arial" w:cs="Arial"/>
          <w:b/>
          <w:bCs/>
          <w:color w:val="000000"/>
        </w:rPr>
        <w:t>i</w:t>
      </w:r>
      <w:r w:rsidRPr="00F455D0">
        <w:rPr>
          <w:rFonts w:ascii="Arial" w:eastAsia="Times New Roman" w:hAnsi="Arial" w:cs="Arial"/>
          <w:b/>
          <w:bCs/>
          <w:color w:val="000000"/>
        </w:rPr>
        <w:t xml:space="preserve"> </w:t>
      </w:r>
      <w:r w:rsidR="00F455D0" w:rsidRPr="00F455D0">
        <w:rPr>
          <w:rFonts w:ascii="Arial" w:eastAsia="Times New Roman" w:hAnsi="Arial" w:cs="Arial"/>
          <w:b/>
          <w:bCs/>
          <w:color w:val="000000"/>
        </w:rPr>
        <w:t xml:space="preserve">$ </w:t>
      </w:r>
      <w:r w:rsidRPr="00F455D0">
        <w:rPr>
          <w:rFonts w:ascii="Arial" w:eastAsia="Times New Roman" w:hAnsi="Arial" w:cs="Arial"/>
          <w:b/>
          <w:bCs/>
          <w:color w:val="000000"/>
        </w:rPr>
        <w:t>900</w:t>
      </w:r>
      <w:r w:rsidR="00F455D0">
        <w:rPr>
          <w:rFonts w:ascii="Arial" w:eastAsia="Times New Roman" w:hAnsi="Arial" w:cs="Arial"/>
          <w:b/>
          <w:bCs/>
          <w:color w:val="000000"/>
        </w:rPr>
        <w:t xml:space="preserve"> m</w:t>
      </w:r>
      <w:r w:rsidRPr="00F455D0">
        <w:rPr>
          <w:rFonts w:ascii="Arial" w:eastAsia="Times New Roman" w:hAnsi="Arial" w:cs="Arial"/>
          <w:b/>
          <w:bCs/>
          <w:color w:val="000000"/>
        </w:rPr>
        <w:t>ld</w:t>
      </w:r>
      <w:r w:rsidR="00F455D0">
        <w:rPr>
          <w:rFonts w:ascii="Arial" w:eastAsia="Times New Roman" w:hAnsi="Arial" w:cs="Arial"/>
          <w:b/>
          <w:bCs/>
          <w:color w:val="000000"/>
        </w:rPr>
        <w:t xml:space="preserve"> </w:t>
      </w:r>
      <w:r w:rsidRPr="00F455D0">
        <w:rPr>
          <w:rFonts w:ascii="Arial" w:eastAsia="Times New Roman" w:hAnsi="Arial" w:cs="Arial"/>
          <w:b/>
          <w:bCs/>
          <w:color w:val="000000"/>
        </w:rPr>
        <w:t>annui</w:t>
      </w:r>
      <w:r w:rsidRPr="00F455D0">
        <w:rPr>
          <w:rFonts w:ascii="Arial" w:eastAsia="Times New Roman" w:hAnsi="Arial" w:cs="Arial"/>
          <w:color w:val="000000"/>
        </w:rPr>
        <w:t>, ossia poco sopra l'ammontare recentemente messo nel budget di spesa militare. Allo stesso tempo</w:t>
      </w:r>
      <w:r w:rsidR="00F455D0">
        <w:rPr>
          <w:rFonts w:ascii="Arial" w:eastAsia="Times New Roman" w:hAnsi="Arial" w:cs="Arial"/>
          <w:color w:val="000000"/>
        </w:rPr>
        <w:t>,</w:t>
      </w:r>
      <w:r w:rsidRPr="00F455D0">
        <w:rPr>
          <w:rFonts w:ascii="Arial" w:eastAsia="Times New Roman" w:hAnsi="Arial" w:cs="Arial"/>
          <w:color w:val="000000"/>
        </w:rPr>
        <w:t xml:space="preserve"> il deficit di bilancio/Pil è ricominciato a salire, passando da circa </w:t>
      </w:r>
      <w:r w:rsidR="00F455D0">
        <w:rPr>
          <w:rFonts w:ascii="Arial" w:eastAsia="Times New Roman" w:hAnsi="Arial" w:cs="Arial"/>
          <w:color w:val="000000"/>
        </w:rPr>
        <w:t xml:space="preserve">il </w:t>
      </w:r>
      <w:r w:rsidRPr="00F455D0">
        <w:rPr>
          <w:rFonts w:ascii="Arial" w:eastAsia="Times New Roman" w:hAnsi="Arial" w:cs="Arial"/>
          <w:color w:val="000000"/>
        </w:rPr>
        <w:t>4% di metà 2022 a</w:t>
      </w:r>
      <w:r w:rsidR="00F455D0">
        <w:rPr>
          <w:rFonts w:ascii="Arial" w:eastAsia="Times New Roman" w:hAnsi="Arial" w:cs="Arial"/>
          <w:color w:val="000000"/>
        </w:rPr>
        <w:t>ll’</w:t>
      </w:r>
      <w:r w:rsidRPr="00F455D0">
        <w:rPr>
          <w:rFonts w:ascii="Arial" w:eastAsia="Times New Roman" w:hAnsi="Arial" w:cs="Arial"/>
          <w:color w:val="000000"/>
        </w:rPr>
        <w:t>8,5% di metà 2023</w:t>
      </w:r>
      <w:r w:rsidR="00F455D0">
        <w:rPr>
          <w:rFonts w:ascii="Arial" w:eastAsia="Times New Roman" w:hAnsi="Arial" w:cs="Arial"/>
          <w:color w:val="000000"/>
        </w:rPr>
        <w:t xml:space="preserve">. </w:t>
      </w:r>
    </w:p>
    <w:p w14:paraId="48E89575" w14:textId="10CE3F85" w:rsidR="00F965C0" w:rsidRPr="00F455D0" w:rsidRDefault="00F965C0" w:rsidP="00F455D0">
      <w:pPr>
        <w:numPr>
          <w:ilvl w:val="1"/>
          <w:numId w:val="53"/>
        </w:numPr>
        <w:tabs>
          <w:tab w:val="clear" w:pos="1495"/>
        </w:tabs>
        <w:spacing w:before="100" w:beforeAutospacing="1" w:after="100" w:afterAutospacing="1" w:line="240" w:lineRule="auto"/>
        <w:ind w:left="1418"/>
        <w:jc w:val="both"/>
        <w:rPr>
          <w:rFonts w:ascii="Arial" w:eastAsia="Times New Roman" w:hAnsi="Arial" w:cs="Arial"/>
          <w:color w:val="000000"/>
        </w:rPr>
      </w:pPr>
      <w:r w:rsidRPr="00F455D0">
        <w:rPr>
          <w:rFonts w:ascii="Arial" w:eastAsia="Times New Roman" w:hAnsi="Arial" w:cs="Arial"/>
          <w:color w:val="000000"/>
        </w:rPr>
        <w:t xml:space="preserve">Tutto questo ha costretto il Tesoro Usa a </w:t>
      </w:r>
      <w:r w:rsidRPr="00F455D0">
        <w:rPr>
          <w:rFonts w:ascii="Arial" w:eastAsia="Times New Roman" w:hAnsi="Arial" w:cs="Arial"/>
          <w:b/>
          <w:bCs/>
          <w:color w:val="000000"/>
        </w:rPr>
        <w:t>rivedere sensibilmente</w:t>
      </w:r>
      <w:r w:rsidRPr="00F455D0">
        <w:rPr>
          <w:rFonts w:ascii="Arial" w:eastAsia="Times New Roman" w:hAnsi="Arial" w:cs="Arial"/>
          <w:color w:val="000000"/>
        </w:rPr>
        <w:t xml:space="preserve"> </w:t>
      </w:r>
      <w:r w:rsidRPr="00F455D0">
        <w:rPr>
          <w:rFonts w:ascii="Arial" w:eastAsia="Times New Roman" w:hAnsi="Arial" w:cs="Arial"/>
          <w:b/>
          <w:bCs/>
          <w:color w:val="000000"/>
        </w:rPr>
        <w:t xml:space="preserve">al rialzo l'ammontare di emissioni per il trimestre in corso, portandole da 730 a ben </w:t>
      </w:r>
      <w:r w:rsidR="00F455D0" w:rsidRPr="00F455D0">
        <w:rPr>
          <w:rFonts w:ascii="Arial" w:eastAsia="Times New Roman" w:hAnsi="Arial" w:cs="Arial"/>
          <w:b/>
          <w:bCs/>
          <w:color w:val="000000"/>
        </w:rPr>
        <w:t>$</w:t>
      </w:r>
      <w:r w:rsidRPr="00F455D0">
        <w:rPr>
          <w:rFonts w:ascii="Arial" w:eastAsia="Times New Roman" w:hAnsi="Arial" w:cs="Arial"/>
          <w:b/>
          <w:bCs/>
          <w:color w:val="000000"/>
        </w:rPr>
        <w:t>1000</w:t>
      </w:r>
      <w:r w:rsidR="00F455D0">
        <w:rPr>
          <w:rFonts w:ascii="Arial" w:eastAsia="Times New Roman" w:hAnsi="Arial" w:cs="Arial"/>
          <w:b/>
          <w:bCs/>
          <w:color w:val="000000"/>
        </w:rPr>
        <w:t xml:space="preserve"> m</w:t>
      </w:r>
      <w:r w:rsidRPr="00F455D0">
        <w:rPr>
          <w:rFonts w:ascii="Arial" w:eastAsia="Times New Roman" w:hAnsi="Arial" w:cs="Arial"/>
          <w:b/>
          <w:bCs/>
          <w:color w:val="000000"/>
        </w:rPr>
        <w:t>ld</w:t>
      </w:r>
      <w:r w:rsidRPr="00F455D0">
        <w:rPr>
          <w:rFonts w:ascii="Arial" w:eastAsia="Times New Roman" w:hAnsi="Arial" w:cs="Arial"/>
          <w:color w:val="000000"/>
        </w:rPr>
        <w:t xml:space="preserve">, anche in vista </w:t>
      </w:r>
      <w:r w:rsidR="00F455D0">
        <w:rPr>
          <w:rFonts w:ascii="Arial" w:eastAsia="Times New Roman" w:hAnsi="Arial" w:cs="Arial"/>
          <w:color w:val="000000"/>
        </w:rPr>
        <w:t>delle</w:t>
      </w:r>
      <w:r w:rsidRPr="00F455D0">
        <w:rPr>
          <w:rFonts w:ascii="Arial" w:eastAsia="Times New Roman" w:hAnsi="Arial" w:cs="Arial"/>
          <w:color w:val="000000"/>
        </w:rPr>
        <w:t xml:space="preserve"> minori entrate fiscali su uno scenario di rallentamento economico.</w:t>
      </w:r>
      <w:r w:rsidRPr="00F455D0">
        <w:rPr>
          <w:rStyle w:val="contentpasted0"/>
          <w:rFonts w:ascii="Arial" w:eastAsia="Times New Roman" w:hAnsi="Arial" w:cs="Arial"/>
          <w:color w:val="000000"/>
        </w:rPr>
        <w:t> </w:t>
      </w:r>
      <w:r w:rsidRPr="00F455D0">
        <w:rPr>
          <w:rFonts w:ascii="Arial" w:eastAsia="Times New Roman" w:hAnsi="Arial" w:cs="Arial"/>
          <w:color w:val="000000"/>
        </w:rPr>
        <w:t xml:space="preserve"> </w:t>
      </w:r>
    </w:p>
    <w:p w14:paraId="16EEBCE9" w14:textId="763A54C1" w:rsidR="00F965C0" w:rsidRPr="00F455D0" w:rsidRDefault="00F965C0" w:rsidP="00F455D0">
      <w:pPr>
        <w:spacing w:after="160" w:line="240" w:lineRule="auto"/>
        <w:rPr>
          <w:rFonts w:ascii="Calibri" w:hAnsi="Calibri" w:cs="Calibri"/>
          <w:color w:val="000000"/>
        </w:rPr>
      </w:pPr>
      <w:r>
        <w:rPr>
          <w:rStyle w:val="contentpasted0"/>
          <w:rFonts w:ascii="Arial" w:hAnsi="Arial" w:cs="Arial"/>
          <w:color w:val="000000"/>
        </w:rPr>
        <w:t xml:space="preserve">In ogni caso, il downgrade di </w:t>
      </w:r>
      <w:r w:rsidR="00F455D0">
        <w:rPr>
          <w:rStyle w:val="contentpasted0"/>
          <w:rFonts w:ascii="Arial" w:hAnsi="Arial" w:cs="Arial"/>
          <w:color w:val="000000"/>
        </w:rPr>
        <w:t>Fitch</w:t>
      </w:r>
      <w:r>
        <w:rPr>
          <w:rStyle w:val="contentpasted0"/>
          <w:rFonts w:ascii="Arial" w:hAnsi="Arial" w:cs="Arial"/>
          <w:color w:val="000000"/>
        </w:rPr>
        <w:t xml:space="preserve"> non mette di per </w:t>
      </w:r>
      <w:proofErr w:type="spellStart"/>
      <w:r>
        <w:rPr>
          <w:rStyle w:val="contentpasted0"/>
          <w:rFonts w:ascii="Arial" w:hAnsi="Arial" w:cs="Arial"/>
          <w:color w:val="000000"/>
        </w:rPr>
        <w:t>sè</w:t>
      </w:r>
      <w:proofErr w:type="spellEnd"/>
      <w:r>
        <w:rPr>
          <w:rStyle w:val="contentpasted0"/>
          <w:rFonts w:ascii="Arial" w:hAnsi="Arial" w:cs="Arial"/>
          <w:color w:val="000000"/>
        </w:rPr>
        <w:t xml:space="preserve"> pressioni </w:t>
      </w:r>
      <w:r w:rsidR="00F455D0">
        <w:rPr>
          <w:rStyle w:val="contentpasted0"/>
          <w:rFonts w:ascii="Arial" w:hAnsi="Arial" w:cs="Arial"/>
          <w:color w:val="000000"/>
        </w:rPr>
        <w:t>di</w:t>
      </w:r>
      <w:r>
        <w:rPr>
          <w:rStyle w:val="contentpasted0"/>
          <w:rFonts w:ascii="Arial" w:hAnsi="Arial" w:cs="Arial"/>
          <w:color w:val="000000"/>
        </w:rPr>
        <w:t xml:space="preserve"> vendita sui </w:t>
      </w:r>
      <w:r w:rsidR="00F455D0">
        <w:rPr>
          <w:rStyle w:val="contentpasted0"/>
          <w:rFonts w:ascii="Arial" w:hAnsi="Arial" w:cs="Arial"/>
          <w:color w:val="000000"/>
        </w:rPr>
        <w:t>T</w:t>
      </w:r>
      <w:r>
        <w:rPr>
          <w:rStyle w:val="contentpasted0"/>
          <w:rFonts w:ascii="Arial" w:hAnsi="Arial" w:cs="Arial"/>
          <w:color w:val="000000"/>
        </w:rPr>
        <w:t>reasury, visto anche l'elevatissimo rating di cui ancora beneficiano. </w:t>
      </w:r>
    </w:p>
    <w:p w14:paraId="5FD1FE93" w14:textId="3994546C" w:rsidR="00F965C0" w:rsidRDefault="00F455D0" w:rsidP="00F455D0">
      <w:pPr>
        <w:spacing w:after="160"/>
        <w:ind w:right="-285"/>
        <w:rPr>
          <w:color w:val="000000"/>
        </w:rPr>
      </w:pPr>
      <w:r>
        <w:rPr>
          <w:rStyle w:val="contentpasted0"/>
          <w:rFonts w:ascii="Arial" w:hAnsi="Arial" w:cs="Arial"/>
          <w:color w:val="000000"/>
        </w:rPr>
        <w:t>Tuttavia, le</w:t>
      </w:r>
      <w:r w:rsidR="00F965C0">
        <w:rPr>
          <w:rStyle w:val="contentpasted0"/>
          <w:rFonts w:ascii="Arial" w:hAnsi="Arial" w:cs="Arial"/>
          <w:color w:val="000000"/>
        </w:rPr>
        <w:t xml:space="preserve"> </w:t>
      </w:r>
      <w:r w:rsidR="00F965C0">
        <w:rPr>
          <w:rStyle w:val="contentpasted0"/>
          <w:rFonts w:ascii="Arial" w:hAnsi="Arial" w:cs="Arial"/>
          <w:b/>
          <w:bCs/>
          <w:color w:val="000000"/>
        </w:rPr>
        <w:t>pressioni al rialzo dei tassi</w:t>
      </w:r>
      <w:r>
        <w:rPr>
          <w:rStyle w:val="contentpasted0"/>
          <w:rFonts w:ascii="Arial" w:hAnsi="Arial" w:cs="Arial"/>
          <w:b/>
          <w:bCs/>
          <w:color w:val="000000"/>
        </w:rPr>
        <w:t xml:space="preserve"> </w:t>
      </w:r>
      <w:r w:rsidR="00F965C0">
        <w:rPr>
          <w:rStyle w:val="contentpasted0"/>
          <w:rFonts w:ascii="Arial" w:hAnsi="Arial" w:cs="Arial"/>
          <w:b/>
          <w:bCs/>
          <w:color w:val="000000"/>
        </w:rPr>
        <w:t>nel breve possono derivare innanzitutto da due fattori</w:t>
      </w:r>
      <w:r>
        <w:rPr>
          <w:rStyle w:val="contentpasted0"/>
          <w:rFonts w:ascii="Arial" w:hAnsi="Arial" w:cs="Arial"/>
          <w:b/>
          <w:bCs/>
          <w:color w:val="000000"/>
        </w:rPr>
        <w:t>:</w:t>
      </w:r>
    </w:p>
    <w:p w14:paraId="162035A1" w14:textId="278E32B3" w:rsidR="00F965C0" w:rsidRPr="00F455D0" w:rsidRDefault="00F965C0" w:rsidP="00F965C0">
      <w:pPr>
        <w:numPr>
          <w:ilvl w:val="0"/>
          <w:numId w:val="54"/>
        </w:numPr>
        <w:spacing w:before="100" w:beforeAutospacing="1" w:after="100" w:afterAutospacing="1" w:line="240" w:lineRule="auto"/>
        <w:rPr>
          <w:rFonts w:ascii="Arial" w:eastAsia="Times New Roman" w:hAnsi="Arial" w:cs="Arial"/>
          <w:color w:val="000000"/>
        </w:rPr>
      </w:pPr>
      <w:r w:rsidRPr="00F455D0">
        <w:rPr>
          <w:rStyle w:val="contentpasted0"/>
          <w:rFonts w:ascii="Arial" w:eastAsia="Times New Roman" w:hAnsi="Arial" w:cs="Arial"/>
          <w:b/>
          <w:bCs/>
          <w:color w:val="000000"/>
        </w:rPr>
        <w:t>incremento dell'offerta di emissioni</w:t>
      </w:r>
      <w:r w:rsidRPr="00F455D0">
        <w:rPr>
          <w:rStyle w:val="contentpasted0"/>
          <w:rFonts w:ascii="Arial" w:eastAsia="Times New Roman" w:hAnsi="Arial" w:cs="Arial"/>
          <w:color w:val="000000"/>
        </w:rPr>
        <w:t>, come prima sottolineato</w:t>
      </w:r>
      <w:r w:rsidR="00F455D0">
        <w:rPr>
          <w:rStyle w:val="contentpasted0"/>
          <w:rFonts w:ascii="Arial" w:eastAsia="Times New Roman" w:hAnsi="Arial" w:cs="Arial"/>
          <w:color w:val="000000"/>
        </w:rPr>
        <w:t>;</w:t>
      </w:r>
    </w:p>
    <w:p w14:paraId="6CB62E5D" w14:textId="1E3E77DB" w:rsidR="00F965C0" w:rsidRPr="00F455D0" w:rsidRDefault="00F965C0" w:rsidP="00F455D0">
      <w:pPr>
        <w:numPr>
          <w:ilvl w:val="0"/>
          <w:numId w:val="54"/>
        </w:numPr>
        <w:spacing w:before="100" w:beforeAutospacing="1" w:after="0" w:line="240" w:lineRule="auto"/>
        <w:rPr>
          <w:rFonts w:ascii="Arial" w:eastAsia="Times New Roman" w:hAnsi="Arial" w:cs="Arial"/>
          <w:color w:val="000000"/>
        </w:rPr>
      </w:pPr>
      <w:r w:rsidRPr="00F455D0">
        <w:rPr>
          <w:rFonts w:ascii="Arial" w:eastAsia="Times New Roman" w:hAnsi="Arial" w:cs="Arial"/>
          <w:b/>
          <w:bCs/>
          <w:color w:val="000000"/>
        </w:rPr>
        <w:t>recente decisione della banca centrale giapponese</w:t>
      </w:r>
      <w:r w:rsidRPr="00F455D0">
        <w:rPr>
          <w:rFonts w:ascii="Arial" w:eastAsia="Times New Roman" w:hAnsi="Arial" w:cs="Arial"/>
          <w:color w:val="000000"/>
        </w:rPr>
        <w:t xml:space="preserve"> di consentire di fatto ai tassi dei titoli di </w:t>
      </w:r>
      <w:r w:rsidR="00F455D0">
        <w:rPr>
          <w:rFonts w:ascii="Arial" w:eastAsia="Times New Roman" w:hAnsi="Arial" w:cs="Arial"/>
          <w:color w:val="000000"/>
        </w:rPr>
        <w:t>S</w:t>
      </w:r>
      <w:r w:rsidRPr="00F455D0">
        <w:rPr>
          <w:rFonts w:ascii="Arial" w:eastAsia="Times New Roman" w:hAnsi="Arial" w:cs="Arial"/>
          <w:color w:val="000000"/>
        </w:rPr>
        <w:t>tato decennali nipponici di potersi spingersi fin verso l'1%, eliminando pertanto il tetto dello 0,5% presente da diversi anni</w:t>
      </w:r>
      <w:r w:rsidR="00F455D0">
        <w:rPr>
          <w:rFonts w:ascii="Arial" w:eastAsia="Times New Roman" w:hAnsi="Arial" w:cs="Arial"/>
          <w:color w:val="000000"/>
        </w:rPr>
        <w:t>;</w:t>
      </w:r>
      <w:r w:rsidRPr="00F455D0">
        <w:rPr>
          <w:rFonts w:ascii="Arial" w:eastAsia="Times New Roman" w:hAnsi="Arial" w:cs="Arial"/>
          <w:color w:val="000000"/>
        </w:rPr>
        <w:t> </w:t>
      </w:r>
      <w:r w:rsidRPr="00F455D0">
        <w:rPr>
          <w:rStyle w:val="contentpasted0"/>
          <w:rFonts w:ascii="Arial" w:eastAsia="Times New Roman" w:hAnsi="Arial" w:cs="Arial"/>
          <w:color w:val="000000"/>
        </w:rPr>
        <w:t> </w:t>
      </w:r>
    </w:p>
    <w:p w14:paraId="241D8D90" w14:textId="4FE7A00A" w:rsidR="00F965C0" w:rsidRPr="00F455D0" w:rsidRDefault="00F455D0" w:rsidP="00F455D0">
      <w:pPr>
        <w:numPr>
          <w:ilvl w:val="0"/>
          <w:numId w:val="55"/>
        </w:numPr>
        <w:spacing w:after="100" w:afterAutospacing="1" w:line="240" w:lineRule="auto"/>
        <w:rPr>
          <w:rFonts w:ascii="Arial" w:eastAsia="Times New Roman" w:hAnsi="Arial" w:cs="Arial"/>
          <w:color w:val="000000"/>
        </w:rPr>
      </w:pPr>
      <w:r>
        <w:rPr>
          <w:rStyle w:val="contentpasted0"/>
          <w:rFonts w:ascii="Arial" w:eastAsia="Times New Roman" w:hAnsi="Arial" w:cs="Arial"/>
          <w:color w:val="000000"/>
        </w:rPr>
        <w:t>p</w:t>
      </w:r>
      <w:r w:rsidR="00F965C0" w:rsidRPr="00F455D0">
        <w:rPr>
          <w:rStyle w:val="contentpasted0"/>
          <w:rFonts w:ascii="Arial" w:eastAsia="Times New Roman" w:hAnsi="Arial" w:cs="Arial"/>
          <w:color w:val="000000"/>
        </w:rPr>
        <w:t>uò sembrare una decisione che apparentemente non ha punti di collegamento con gli USA</w:t>
      </w:r>
      <w:r>
        <w:rPr>
          <w:rStyle w:val="contentpasted0"/>
          <w:rFonts w:ascii="Arial" w:eastAsia="Times New Roman" w:hAnsi="Arial" w:cs="Arial"/>
          <w:color w:val="000000"/>
        </w:rPr>
        <w:t>,</w:t>
      </w:r>
      <w:r w:rsidR="00F965C0" w:rsidRPr="00F455D0">
        <w:rPr>
          <w:rStyle w:val="contentpasted0"/>
          <w:rFonts w:ascii="Arial" w:eastAsia="Times New Roman" w:hAnsi="Arial" w:cs="Arial"/>
          <w:color w:val="000000"/>
        </w:rPr>
        <w:t xml:space="preserve"> ma in realtà i nessi di causa/effetto in questo caso son</w:t>
      </w:r>
      <w:r>
        <w:rPr>
          <w:rStyle w:val="contentpasted0"/>
          <w:rFonts w:ascii="Arial" w:eastAsia="Times New Roman" w:hAnsi="Arial" w:cs="Arial"/>
          <w:color w:val="000000"/>
        </w:rPr>
        <w:t>o</w:t>
      </w:r>
      <w:r w:rsidR="00F965C0" w:rsidRPr="00F455D0">
        <w:rPr>
          <w:rStyle w:val="contentpasted0"/>
          <w:rFonts w:ascii="Arial" w:eastAsia="Times New Roman" w:hAnsi="Arial" w:cs="Arial"/>
          <w:color w:val="000000"/>
        </w:rPr>
        <w:t xml:space="preserve"> molto forti. Questo perché il Giappone è il principale detentore al mondo </w:t>
      </w:r>
      <w:r>
        <w:rPr>
          <w:rStyle w:val="contentpasted0"/>
          <w:rFonts w:ascii="Arial" w:eastAsia="Times New Roman" w:hAnsi="Arial" w:cs="Arial"/>
          <w:color w:val="000000"/>
        </w:rPr>
        <w:t>d</w:t>
      </w:r>
      <w:r w:rsidR="00F965C0" w:rsidRPr="00F455D0">
        <w:rPr>
          <w:rStyle w:val="contentpasted0"/>
          <w:rFonts w:ascii="Arial" w:eastAsia="Times New Roman" w:hAnsi="Arial" w:cs="Arial"/>
          <w:color w:val="000000"/>
        </w:rPr>
        <w:t xml:space="preserve">i Treasury a lunga scadenza, </w:t>
      </w:r>
      <w:r w:rsidR="00D208BB">
        <w:rPr>
          <w:rStyle w:val="contentpasted0"/>
          <w:rFonts w:ascii="Arial" w:eastAsia="Times New Roman" w:hAnsi="Arial" w:cs="Arial"/>
          <w:color w:val="000000"/>
        </w:rPr>
        <w:t xml:space="preserve">per un importo pari </w:t>
      </w:r>
      <w:r w:rsidR="00F965C0" w:rsidRPr="00F455D0">
        <w:rPr>
          <w:rStyle w:val="contentpasted0"/>
          <w:rFonts w:ascii="Arial" w:eastAsia="Times New Roman" w:hAnsi="Arial" w:cs="Arial"/>
          <w:color w:val="000000"/>
        </w:rPr>
        <w:t xml:space="preserve">a 1096 Mld$, già in netto calo rispetto alle punte record del 2021 di oltre </w:t>
      </w:r>
      <w:r w:rsidR="00CA6C7E" w:rsidRPr="00F455D0">
        <w:rPr>
          <w:rStyle w:val="contentpasted0"/>
          <w:rFonts w:ascii="Arial" w:eastAsia="Times New Roman" w:hAnsi="Arial" w:cs="Arial"/>
          <w:color w:val="000000"/>
        </w:rPr>
        <w:t>$</w:t>
      </w:r>
      <w:r w:rsidR="00F965C0" w:rsidRPr="00F455D0">
        <w:rPr>
          <w:rStyle w:val="contentpasted0"/>
          <w:rFonts w:ascii="Arial" w:eastAsia="Times New Roman" w:hAnsi="Arial" w:cs="Arial"/>
          <w:color w:val="000000"/>
        </w:rPr>
        <w:t>1300</w:t>
      </w:r>
      <w:r w:rsidR="00CA6C7E">
        <w:rPr>
          <w:rStyle w:val="contentpasted0"/>
          <w:rFonts w:ascii="Arial" w:eastAsia="Times New Roman" w:hAnsi="Arial" w:cs="Arial"/>
          <w:color w:val="000000"/>
        </w:rPr>
        <w:t xml:space="preserve"> </w:t>
      </w:r>
      <w:r w:rsidR="00F965C0" w:rsidRPr="00F455D0">
        <w:rPr>
          <w:rStyle w:val="contentpasted0"/>
          <w:rFonts w:ascii="Arial" w:eastAsia="Times New Roman" w:hAnsi="Arial" w:cs="Arial"/>
          <w:color w:val="000000"/>
        </w:rPr>
        <w:t>Mld</w:t>
      </w:r>
    </w:p>
    <w:p w14:paraId="1CCC96D2" w14:textId="2924DA59" w:rsidR="00F965C0" w:rsidRDefault="00F965C0" w:rsidP="00D208BB">
      <w:pPr>
        <w:jc w:val="center"/>
        <w:rPr>
          <w:rFonts w:ascii="Aptos" w:eastAsia="Times New Roman" w:hAnsi="Aptos" w:cs="Calibri"/>
          <w:color w:val="000000"/>
          <w:sz w:val="24"/>
          <w:szCs w:val="24"/>
        </w:rPr>
      </w:pPr>
      <w:r>
        <w:rPr>
          <w:rFonts w:ascii="Aptos" w:eastAsia="Times New Roman" w:hAnsi="Aptos"/>
          <w:noProof/>
          <w:color w:val="000000"/>
          <w:sz w:val="24"/>
          <w:szCs w:val="24"/>
        </w:rPr>
        <w:drawing>
          <wp:inline distT="0" distB="0" distL="0" distR="0" wp14:anchorId="2FDF2F9D" wp14:editId="0A713641">
            <wp:extent cx="4981575" cy="2766795"/>
            <wp:effectExtent l="0" t="0" r="0" b="0"/>
            <wp:docPr id="798634484" name="Immagine 1" descr="Immagine che contiene testo, diagramm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634484" name="Immagine 1" descr="Immagine che contiene testo, diagramma, Diagramma, linea&#10;&#10;Descrizione generata automaticament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88639" cy="2770718"/>
                    </a:xfrm>
                    <a:prstGeom prst="rect">
                      <a:avLst/>
                    </a:prstGeom>
                    <a:noFill/>
                    <a:ln>
                      <a:noFill/>
                    </a:ln>
                  </pic:spPr>
                </pic:pic>
              </a:graphicData>
            </a:graphic>
          </wp:inline>
        </w:drawing>
      </w:r>
    </w:p>
    <w:p w14:paraId="7614EFF7" w14:textId="03F3817E" w:rsidR="00F965C0" w:rsidRPr="00D208BB" w:rsidRDefault="00F965C0" w:rsidP="00D208BB">
      <w:pPr>
        <w:numPr>
          <w:ilvl w:val="0"/>
          <w:numId w:val="56"/>
        </w:numPr>
        <w:spacing w:before="100" w:beforeAutospacing="1" w:after="100" w:afterAutospacing="1" w:line="240" w:lineRule="auto"/>
        <w:jc w:val="both"/>
        <w:rPr>
          <w:rFonts w:ascii="Arial" w:eastAsia="Times New Roman" w:hAnsi="Arial" w:cs="Arial"/>
          <w:color w:val="000000"/>
        </w:rPr>
      </w:pPr>
      <w:r w:rsidRPr="00D208BB">
        <w:rPr>
          <w:rStyle w:val="contentpasted0"/>
          <w:rFonts w:ascii="Arial" w:eastAsia="Times New Roman" w:hAnsi="Arial" w:cs="Arial"/>
          <w:b/>
          <w:bCs/>
          <w:color w:val="000000"/>
        </w:rPr>
        <w:t>Gli investitori nipponici, dopo la decisione della BOJ hanno ora molt</w:t>
      </w:r>
      <w:r w:rsidR="00D208BB">
        <w:rPr>
          <w:rStyle w:val="contentpasted0"/>
          <w:rFonts w:ascii="Arial" w:eastAsia="Times New Roman" w:hAnsi="Arial" w:cs="Arial"/>
          <w:b/>
          <w:bCs/>
          <w:color w:val="000000"/>
        </w:rPr>
        <w:t>a</w:t>
      </w:r>
      <w:r w:rsidRPr="00D208BB">
        <w:rPr>
          <w:rStyle w:val="contentpasted0"/>
          <w:rFonts w:ascii="Arial" w:eastAsia="Times New Roman" w:hAnsi="Arial" w:cs="Arial"/>
          <w:b/>
          <w:bCs/>
          <w:color w:val="000000"/>
        </w:rPr>
        <w:t xml:space="preserve"> più convenienza a rivolgersi ai titoli di </w:t>
      </w:r>
      <w:r w:rsidR="00D208BB">
        <w:rPr>
          <w:rStyle w:val="contentpasted0"/>
          <w:rFonts w:ascii="Arial" w:eastAsia="Times New Roman" w:hAnsi="Arial" w:cs="Arial"/>
          <w:b/>
          <w:bCs/>
          <w:color w:val="000000"/>
        </w:rPr>
        <w:t>S</w:t>
      </w:r>
      <w:r w:rsidRPr="00D208BB">
        <w:rPr>
          <w:rStyle w:val="contentpasted0"/>
          <w:rFonts w:ascii="Arial" w:eastAsia="Times New Roman" w:hAnsi="Arial" w:cs="Arial"/>
          <w:b/>
          <w:bCs/>
          <w:color w:val="000000"/>
        </w:rPr>
        <w:t>tato domestici</w:t>
      </w:r>
      <w:r w:rsidRPr="00D208BB">
        <w:rPr>
          <w:rStyle w:val="contentpasted0"/>
          <w:rFonts w:ascii="Arial" w:eastAsia="Times New Roman" w:hAnsi="Arial" w:cs="Arial"/>
          <w:color w:val="000000"/>
        </w:rPr>
        <w:t xml:space="preserve"> in luogo dei </w:t>
      </w:r>
      <w:r w:rsidR="00D208BB">
        <w:rPr>
          <w:rStyle w:val="contentpasted0"/>
          <w:rFonts w:ascii="Arial" w:eastAsia="Times New Roman" w:hAnsi="Arial" w:cs="Arial"/>
          <w:color w:val="000000"/>
        </w:rPr>
        <w:t>T</w:t>
      </w:r>
      <w:r w:rsidRPr="00D208BB">
        <w:rPr>
          <w:rStyle w:val="contentpasted0"/>
          <w:rFonts w:ascii="Arial" w:eastAsia="Times New Roman" w:hAnsi="Arial" w:cs="Arial"/>
          <w:color w:val="000000"/>
        </w:rPr>
        <w:t xml:space="preserve">reasury. Apparentemente il tasso decennale </w:t>
      </w:r>
      <w:proofErr w:type="spellStart"/>
      <w:r w:rsidRPr="00D208BB">
        <w:rPr>
          <w:rStyle w:val="contentpasted0"/>
          <w:rFonts w:ascii="Arial" w:eastAsia="Times New Roman" w:hAnsi="Arial" w:cs="Arial"/>
          <w:color w:val="000000"/>
        </w:rPr>
        <w:t>US</w:t>
      </w:r>
      <w:proofErr w:type="spellEnd"/>
      <w:r w:rsidRPr="00D208BB">
        <w:rPr>
          <w:rStyle w:val="contentpasted0"/>
          <w:rFonts w:ascii="Arial" w:eastAsia="Times New Roman" w:hAnsi="Arial" w:cs="Arial"/>
          <w:color w:val="000000"/>
        </w:rPr>
        <w:t xml:space="preserve"> è molto superiore a quello nipponico (attualmente circa 4,10% vs 0,62%), ma la realtà è diversa: un investitore nipponico che acquisti </w:t>
      </w:r>
      <w:r w:rsidR="00D208BB">
        <w:rPr>
          <w:rStyle w:val="contentpasted0"/>
          <w:rFonts w:ascii="Arial" w:eastAsia="Times New Roman" w:hAnsi="Arial" w:cs="Arial"/>
          <w:color w:val="000000"/>
        </w:rPr>
        <w:t>T</w:t>
      </w:r>
      <w:r w:rsidRPr="00D208BB">
        <w:rPr>
          <w:rStyle w:val="contentpasted0"/>
          <w:rFonts w:ascii="Arial" w:eastAsia="Times New Roman" w:hAnsi="Arial" w:cs="Arial"/>
          <w:color w:val="000000"/>
        </w:rPr>
        <w:t>reasury decennali coprendosi dal rischio cambio, percepisce addirittura un tasso finale (ossia comprensivo del costo della copertura dal valutario) negativo di circa l'1,5%. </w:t>
      </w:r>
    </w:p>
    <w:p w14:paraId="6282B9A9" w14:textId="13B1F035" w:rsidR="00F965C0" w:rsidRDefault="00F965C0" w:rsidP="00F965C0">
      <w:pPr>
        <w:spacing w:after="160"/>
        <w:rPr>
          <w:color w:val="000000"/>
        </w:rPr>
      </w:pPr>
      <w:r>
        <w:rPr>
          <w:rStyle w:val="contentpasted0"/>
          <w:rFonts w:ascii="Arial" w:hAnsi="Arial" w:cs="Arial"/>
          <w:b/>
          <w:bCs/>
          <w:color w:val="000000"/>
        </w:rPr>
        <w:t>In sintesi </w:t>
      </w:r>
    </w:p>
    <w:p w14:paraId="4C19629C" w14:textId="2540C9E6" w:rsidR="00F965C0" w:rsidRPr="00D208BB" w:rsidRDefault="00F965C0" w:rsidP="00F965C0">
      <w:pPr>
        <w:numPr>
          <w:ilvl w:val="0"/>
          <w:numId w:val="57"/>
        </w:numPr>
        <w:spacing w:before="100" w:beforeAutospacing="1" w:after="100" w:afterAutospacing="1" w:line="240" w:lineRule="auto"/>
        <w:rPr>
          <w:rFonts w:ascii="Arial" w:eastAsia="Times New Roman" w:hAnsi="Arial" w:cs="Arial"/>
          <w:color w:val="000000"/>
        </w:rPr>
      </w:pPr>
      <w:r w:rsidRPr="00D208BB">
        <w:rPr>
          <w:rStyle w:val="contentpasted0"/>
          <w:rFonts w:ascii="Arial" w:eastAsia="Times New Roman" w:hAnsi="Arial" w:cs="Arial"/>
          <w:b/>
          <w:bCs/>
          <w:color w:val="000000"/>
        </w:rPr>
        <w:t xml:space="preserve">La decisione di Fitch di per </w:t>
      </w:r>
      <w:proofErr w:type="spellStart"/>
      <w:r w:rsidRPr="00D208BB">
        <w:rPr>
          <w:rStyle w:val="contentpasted0"/>
          <w:rFonts w:ascii="Arial" w:eastAsia="Times New Roman" w:hAnsi="Arial" w:cs="Arial"/>
          <w:b/>
          <w:bCs/>
          <w:color w:val="000000"/>
        </w:rPr>
        <w:t>sè</w:t>
      </w:r>
      <w:proofErr w:type="spellEnd"/>
      <w:r w:rsidRPr="00D208BB">
        <w:rPr>
          <w:rStyle w:val="contentpasted0"/>
          <w:rFonts w:ascii="Arial" w:eastAsia="Times New Roman" w:hAnsi="Arial" w:cs="Arial"/>
          <w:b/>
          <w:bCs/>
          <w:color w:val="000000"/>
        </w:rPr>
        <w:t xml:space="preserve"> non rappresenta un fattore di pressione </w:t>
      </w:r>
      <w:r w:rsidR="00D208BB">
        <w:rPr>
          <w:rStyle w:val="contentpasted0"/>
          <w:rFonts w:ascii="Arial" w:eastAsia="Times New Roman" w:hAnsi="Arial" w:cs="Arial"/>
          <w:b/>
          <w:bCs/>
          <w:color w:val="000000"/>
        </w:rPr>
        <w:t>alla</w:t>
      </w:r>
      <w:r w:rsidRPr="00D208BB">
        <w:rPr>
          <w:rStyle w:val="contentpasted0"/>
          <w:rFonts w:ascii="Arial" w:eastAsia="Times New Roman" w:hAnsi="Arial" w:cs="Arial"/>
          <w:b/>
          <w:bCs/>
          <w:color w:val="000000"/>
        </w:rPr>
        <w:t xml:space="preserve"> vendita sui </w:t>
      </w:r>
      <w:r w:rsidR="00D208BB">
        <w:rPr>
          <w:rStyle w:val="contentpasted0"/>
          <w:rFonts w:ascii="Arial" w:eastAsia="Times New Roman" w:hAnsi="Arial" w:cs="Arial"/>
          <w:b/>
          <w:bCs/>
          <w:color w:val="000000"/>
        </w:rPr>
        <w:t>T</w:t>
      </w:r>
      <w:r w:rsidRPr="00D208BB">
        <w:rPr>
          <w:rStyle w:val="contentpasted0"/>
          <w:rFonts w:ascii="Arial" w:eastAsia="Times New Roman" w:hAnsi="Arial" w:cs="Arial"/>
          <w:b/>
          <w:bCs/>
          <w:color w:val="000000"/>
        </w:rPr>
        <w:t>reasury,</w:t>
      </w:r>
      <w:r w:rsidRPr="00D208BB">
        <w:rPr>
          <w:rStyle w:val="contentpasted0"/>
          <w:rFonts w:ascii="Arial" w:eastAsia="Times New Roman" w:hAnsi="Arial" w:cs="Arial"/>
          <w:color w:val="000000"/>
        </w:rPr>
        <w:t xml:space="preserve"> trattandosi comunque ancora dei titoli della prima economia al mondo con un rating molto elevato</w:t>
      </w:r>
      <w:r w:rsidR="00D208BB">
        <w:rPr>
          <w:rStyle w:val="contentpasted0"/>
          <w:rFonts w:ascii="Arial" w:eastAsia="Times New Roman" w:hAnsi="Arial" w:cs="Arial"/>
          <w:color w:val="000000"/>
        </w:rPr>
        <w:t>.</w:t>
      </w:r>
      <w:r w:rsidRPr="00D208BB">
        <w:rPr>
          <w:rStyle w:val="contentpasted0"/>
          <w:rFonts w:ascii="Arial" w:eastAsia="Times New Roman" w:hAnsi="Arial" w:cs="Arial"/>
          <w:color w:val="000000"/>
        </w:rPr>
        <w:t> </w:t>
      </w:r>
    </w:p>
    <w:p w14:paraId="04E8C8D3" w14:textId="418E3DF8" w:rsidR="00F965C0" w:rsidRDefault="00F965C0" w:rsidP="00F965C0">
      <w:pPr>
        <w:numPr>
          <w:ilvl w:val="0"/>
          <w:numId w:val="58"/>
        </w:numPr>
        <w:spacing w:after="160" w:line="240" w:lineRule="auto"/>
        <w:rPr>
          <w:rFonts w:ascii="Calibri" w:hAnsi="Calibri" w:cs="Calibri"/>
          <w:color w:val="000000"/>
        </w:rPr>
      </w:pPr>
      <w:r>
        <w:rPr>
          <w:rStyle w:val="contentpasted0"/>
          <w:rFonts w:ascii="Arial" w:hAnsi="Arial" w:cs="Arial"/>
          <w:b/>
          <w:bCs/>
          <w:color w:val="000000"/>
        </w:rPr>
        <w:lastRenderedPageBreak/>
        <w:t>Le pressioni in vendita (in modo particolare sul segmento decennale) nel breve arrivano piuttosto da altri due fattori</w:t>
      </w:r>
      <w:r w:rsidR="00D208BB">
        <w:rPr>
          <w:rStyle w:val="contentpasted0"/>
          <w:rFonts w:ascii="Arial" w:hAnsi="Arial" w:cs="Arial"/>
          <w:b/>
          <w:bCs/>
          <w:color w:val="000000"/>
        </w:rPr>
        <w:t>:</w:t>
      </w:r>
      <w:r>
        <w:rPr>
          <w:rStyle w:val="contentpasted0"/>
          <w:rFonts w:ascii="Arial" w:hAnsi="Arial" w:cs="Arial"/>
          <w:b/>
          <w:bCs/>
          <w:color w:val="000000"/>
        </w:rPr>
        <w:t> </w:t>
      </w:r>
    </w:p>
    <w:p w14:paraId="716D0B6F" w14:textId="77777777" w:rsidR="00F965C0" w:rsidRDefault="00F965C0" w:rsidP="00D208BB">
      <w:pPr>
        <w:numPr>
          <w:ilvl w:val="1"/>
          <w:numId w:val="58"/>
        </w:numPr>
        <w:spacing w:after="0" w:line="240" w:lineRule="auto"/>
        <w:rPr>
          <w:color w:val="000000"/>
        </w:rPr>
      </w:pPr>
      <w:r>
        <w:rPr>
          <w:rFonts w:ascii="Arial" w:hAnsi="Arial" w:cs="Arial"/>
          <w:color w:val="000000"/>
        </w:rPr>
        <w:t>L’incremento delle emissioni per finanziare il crescente deficit di bilancio </w:t>
      </w:r>
    </w:p>
    <w:p w14:paraId="1E37DA9B" w14:textId="336ADD03" w:rsidR="00F965C0" w:rsidRPr="00D208BB" w:rsidRDefault="00F965C0" w:rsidP="00D208BB">
      <w:pPr>
        <w:numPr>
          <w:ilvl w:val="1"/>
          <w:numId w:val="58"/>
        </w:numPr>
        <w:spacing w:after="0" w:line="240" w:lineRule="auto"/>
        <w:rPr>
          <w:color w:val="000000"/>
        </w:rPr>
      </w:pPr>
      <w:r>
        <w:rPr>
          <w:rFonts w:ascii="Arial" w:hAnsi="Arial" w:cs="Arial"/>
          <w:color w:val="000000"/>
        </w:rPr>
        <w:t>Le potenziali vendite degli investitori giapponesi dopo la recente decisione della BoJ </w:t>
      </w:r>
    </w:p>
    <w:p w14:paraId="5FCA2507" w14:textId="7E08B40E" w:rsidR="00F965C0" w:rsidRPr="00D208BB" w:rsidRDefault="00F965C0" w:rsidP="00D208BB">
      <w:pPr>
        <w:numPr>
          <w:ilvl w:val="0"/>
          <w:numId w:val="59"/>
        </w:numPr>
        <w:spacing w:before="100" w:beforeAutospacing="1" w:after="100" w:afterAutospacing="1" w:line="240" w:lineRule="auto"/>
        <w:jc w:val="both"/>
        <w:rPr>
          <w:rFonts w:ascii="Arial" w:eastAsia="Times New Roman" w:hAnsi="Arial" w:cs="Arial"/>
          <w:color w:val="000000"/>
        </w:rPr>
      </w:pPr>
      <w:r w:rsidRPr="00D208BB">
        <w:rPr>
          <w:rFonts w:ascii="Arial" w:eastAsia="Times New Roman" w:hAnsi="Arial" w:cs="Arial"/>
          <w:b/>
          <w:bCs/>
          <w:color w:val="000000"/>
        </w:rPr>
        <w:t xml:space="preserve">Questi fattori possono comportare come conseguenza un richiamo dal mondo tassi tale da portare volatilità sui mercati azionari dopo </w:t>
      </w:r>
      <w:proofErr w:type="gramStart"/>
      <w:r w:rsidRPr="00D208BB">
        <w:rPr>
          <w:rFonts w:ascii="Arial" w:eastAsia="Times New Roman" w:hAnsi="Arial" w:cs="Arial"/>
          <w:b/>
          <w:bCs/>
          <w:color w:val="000000"/>
        </w:rPr>
        <w:t>5</w:t>
      </w:r>
      <w:proofErr w:type="gramEnd"/>
      <w:r w:rsidRPr="00D208BB">
        <w:rPr>
          <w:rFonts w:ascii="Arial" w:eastAsia="Times New Roman" w:hAnsi="Arial" w:cs="Arial"/>
          <w:b/>
          <w:bCs/>
          <w:color w:val="000000"/>
        </w:rPr>
        <w:t xml:space="preserve"> mesi consecutivi di rialzo nel caso USA,</w:t>
      </w:r>
      <w:r w:rsidRPr="00D208BB">
        <w:rPr>
          <w:rFonts w:ascii="Arial" w:eastAsia="Times New Roman" w:hAnsi="Arial" w:cs="Arial"/>
          <w:color w:val="000000"/>
        </w:rPr>
        <w:t xml:space="preserve"> in un contesto in cui la Fed</w:t>
      </w:r>
      <w:r w:rsidR="00D208BB">
        <w:rPr>
          <w:rFonts w:ascii="Arial" w:eastAsia="Times New Roman" w:hAnsi="Arial" w:cs="Arial"/>
          <w:color w:val="000000"/>
        </w:rPr>
        <w:t>,</w:t>
      </w:r>
      <w:r w:rsidRPr="00D208BB">
        <w:rPr>
          <w:rFonts w:ascii="Arial" w:eastAsia="Times New Roman" w:hAnsi="Arial" w:cs="Arial"/>
          <w:color w:val="000000"/>
        </w:rPr>
        <w:t xml:space="preserve"> e in generale le principali banche centrali</w:t>
      </w:r>
      <w:r w:rsidR="00D208BB">
        <w:rPr>
          <w:rFonts w:ascii="Arial" w:eastAsia="Times New Roman" w:hAnsi="Arial" w:cs="Arial"/>
          <w:color w:val="000000"/>
        </w:rPr>
        <w:t>,</w:t>
      </w:r>
      <w:r w:rsidRPr="00D208BB">
        <w:rPr>
          <w:rFonts w:ascii="Arial" w:eastAsia="Times New Roman" w:hAnsi="Arial" w:cs="Arial"/>
          <w:color w:val="000000"/>
        </w:rPr>
        <w:t xml:space="preserve"> stanno riducendo la liquidità in circolazione (sebbene rimanga in assolut</w:t>
      </w:r>
      <w:r w:rsidR="00D208BB">
        <w:rPr>
          <w:rFonts w:ascii="Arial" w:eastAsia="Times New Roman" w:hAnsi="Arial" w:cs="Arial"/>
          <w:color w:val="000000"/>
        </w:rPr>
        <w:t>o</w:t>
      </w:r>
      <w:r w:rsidRPr="00D208BB">
        <w:rPr>
          <w:rFonts w:ascii="Arial" w:eastAsia="Times New Roman" w:hAnsi="Arial" w:cs="Arial"/>
          <w:color w:val="000000"/>
        </w:rPr>
        <w:t xml:space="preserve"> ancora molto elevata) per frenare le spinte inflattive. </w:t>
      </w:r>
    </w:p>
    <w:p w14:paraId="68FB6AA3" w14:textId="3D4DC4A5" w:rsidR="00F965C0" w:rsidRPr="00D208BB" w:rsidRDefault="00F965C0" w:rsidP="00D208BB">
      <w:pPr>
        <w:numPr>
          <w:ilvl w:val="0"/>
          <w:numId w:val="60"/>
        </w:numPr>
        <w:spacing w:after="160" w:line="240" w:lineRule="auto"/>
        <w:jc w:val="both"/>
        <w:rPr>
          <w:rFonts w:ascii="Calibri" w:hAnsi="Calibri" w:cs="Calibri"/>
          <w:color w:val="000000"/>
        </w:rPr>
      </w:pPr>
      <w:r w:rsidRPr="00D208BB">
        <w:rPr>
          <w:rFonts w:ascii="Arial" w:hAnsi="Arial" w:cs="Arial"/>
          <w:b/>
          <w:bCs/>
          <w:color w:val="000000"/>
        </w:rPr>
        <w:t>Sul fronte macro</w:t>
      </w:r>
      <w:r w:rsidRPr="00D208BB">
        <w:rPr>
          <w:rFonts w:ascii="Arial" w:hAnsi="Arial" w:cs="Arial"/>
          <w:color w:val="000000"/>
        </w:rPr>
        <w:t xml:space="preserve"> i rialzi </w:t>
      </w:r>
      <w:r w:rsidR="00D208BB">
        <w:rPr>
          <w:rFonts w:ascii="Arial" w:hAnsi="Arial" w:cs="Arial"/>
          <w:color w:val="000000"/>
        </w:rPr>
        <w:t xml:space="preserve">a </w:t>
      </w:r>
      <w:r w:rsidRPr="00D208BB">
        <w:rPr>
          <w:rFonts w:ascii="Arial" w:hAnsi="Arial" w:cs="Arial"/>
          <w:color w:val="000000"/>
        </w:rPr>
        <w:t>cui potremmo assistere da un lato aumentano la possibilità di un rallentamento marcato dell’economia</w:t>
      </w:r>
      <w:r w:rsidR="00D208BB">
        <w:rPr>
          <w:rFonts w:ascii="Arial" w:hAnsi="Arial" w:cs="Arial"/>
          <w:color w:val="000000"/>
        </w:rPr>
        <w:t>,</w:t>
      </w:r>
      <w:r w:rsidRPr="00D208BB">
        <w:rPr>
          <w:rFonts w:ascii="Arial" w:hAnsi="Arial" w:cs="Arial"/>
          <w:color w:val="000000"/>
        </w:rPr>
        <w:t xml:space="preserve"> soprattutto in ottica 2024</w:t>
      </w:r>
      <w:r w:rsidR="00D208BB">
        <w:rPr>
          <w:rFonts w:ascii="Arial" w:hAnsi="Arial" w:cs="Arial"/>
          <w:color w:val="000000"/>
        </w:rPr>
        <w:t>,</w:t>
      </w:r>
      <w:r w:rsidRPr="00D208BB">
        <w:rPr>
          <w:rFonts w:ascii="Arial" w:hAnsi="Arial" w:cs="Arial"/>
          <w:color w:val="000000"/>
        </w:rPr>
        <w:t xml:space="preserve"> senza escludere ancora l'ipotesi recessione, dall’altro rappresentano anche un potenziale freno ad un eccesso di manovre restrittive delle banche centrali (Fed in testa), anche per evitare ripercussioni eccessive sui conti pubblici. </w:t>
      </w:r>
    </w:p>
    <w:p w14:paraId="237DD0B9" w14:textId="1CEF8338" w:rsidR="00F965C0" w:rsidRPr="00D208BB" w:rsidRDefault="00F965C0" w:rsidP="00D208BB">
      <w:pPr>
        <w:pStyle w:val="elementtoproof"/>
        <w:numPr>
          <w:ilvl w:val="0"/>
          <w:numId w:val="60"/>
        </w:numPr>
        <w:jc w:val="both"/>
        <w:rPr>
          <w:rFonts w:ascii="Arial" w:eastAsia="Times New Roman" w:hAnsi="Arial" w:cs="Arial"/>
          <w:color w:val="000000"/>
        </w:rPr>
      </w:pPr>
      <w:r w:rsidRPr="00D208BB">
        <w:rPr>
          <w:rStyle w:val="contentpasted0"/>
          <w:rFonts w:ascii="Arial" w:eastAsia="Times New Roman" w:hAnsi="Arial" w:cs="Arial"/>
          <w:color w:val="000000"/>
        </w:rPr>
        <w:t xml:space="preserve">Tutto questo depone a favore di </w:t>
      </w:r>
      <w:r w:rsidRPr="00D208BB">
        <w:rPr>
          <w:rStyle w:val="contentpasted0"/>
          <w:rFonts w:ascii="Arial" w:eastAsia="Times New Roman" w:hAnsi="Arial" w:cs="Arial"/>
          <w:b/>
          <w:bCs/>
          <w:color w:val="000000"/>
        </w:rPr>
        <w:t>Fed e BCE che possono propendere per una pausa a settembre,</w:t>
      </w:r>
      <w:r w:rsidR="00D208BB">
        <w:rPr>
          <w:rStyle w:val="contentpasted0"/>
          <w:rFonts w:ascii="Arial" w:eastAsia="Times New Roman" w:hAnsi="Arial" w:cs="Arial"/>
          <w:b/>
          <w:bCs/>
          <w:color w:val="000000"/>
        </w:rPr>
        <w:t xml:space="preserve"> </w:t>
      </w:r>
      <w:r w:rsidRPr="00D208BB">
        <w:rPr>
          <w:rStyle w:val="contentpasted0"/>
          <w:rFonts w:ascii="Arial" w:eastAsia="Times New Roman" w:hAnsi="Arial" w:cs="Arial"/>
          <w:b/>
          <w:bCs/>
          <w:color w:val="000000"/>
        </w:rPr>
        <w:t xml:space="preserve">accompagnando la decisione con un’avvertenza: la pausa non necessariamente </w:t>
      </w:r>
      <w:r w:rsidR="00D208BB">
        <w:rPr>
          <w:rStyle w:val="contentpasted0"/>
          <w:rFonts w:ascii="Arial" w:eastAsia="Times New Roman" w:hAnsi="Arial" w:cs="Arial"/>
          <w:b/>
          <w:bCs/>
          <w:color w:val="000000"/>
        </w:rPr>
        <w:t>sarà</w:t>
      </w:r>
      <w:r w:rsidRPr="00D208BB">
        <w:rPr>
          <w:rStyle w:val="contentpasted0"/>
          <w:rFonts w:ascii="Arial" w:eastAsia="Times New Roman" w:hAnsi="Arial" w:cs="Arial"/>
          <w:b/>
          <w:bCs/>
          <w:color w:val="000000"/>
        </w:rPr>
        <w:t xml:space="preserve"> definitiva.</w:t>
      </w:r>
      <w:r w:rsidR="00D208BB">
        <w:rPr>
          <w:rStyle w:val="contentpasted0"/>
          <w:rFonts w:ascii="Arial" w:eastAsia="Times New Roman" w:hAnsi="Arial" w:cs="Arial"/>
          <w:b/>
          <w:bCs/>
          <w:color w:val="000000"/>
        </w:rPr>
        <w:t xml:space="preserve"> </w:t>
      </w:r>
      <w:r w:rsidRPr="00D208BB">
        <w:rPr>
          <w:rStyle w:val="contentpasted0"/>
          <w:rFonts w:ascii="Arial" w:eastAsia="Times New Roman" w:hAnsi="Arial" w:cs="Arial"/>
          <w:color w:val="000000"/>
        </w:rPr>
        <w:t>Un modo per cercare di difendersi dal rischio di recrudescenza dell’inflazione e per frenare l’</w:t>
      </w:r>
      <w:r w:rsidR="00D208BB" w:rsidRPr="00D208BB">
        <w:rPr>
          <w:rStyle w:val="contentpasted0"/>
          <w:rFonts w:ascii="Arial" w:eastAsia="Times New Roman" w:hAnsi="Arial" w:cs="Arial"/>
          <w:color w:val="000000"/>
        </w:rPr>
        <w:t xml:space="preserve">eccessivo </w:t>
      </w:r>
      <w:r w:rsidRPr="00D208BB">
        <w:rPr>
          <w:rStyle w:val="contentpasted0"/>
          <w:rFonts w:ascii="Arial" w:eastAsia="Times New Roman" w:hAnsi="Arial" w:cs="Arial"/>
          <w:color w:val="000000"/>
        </w:rPr>
        <w:t>effetto ricchezza derivante dalle borse</w:t>
      </w:r>
      <w:r w:rsidR="00D208BB">
        <w:rPr>
          <w:rStyle w:val="contentpasted0"/>
          <w:rFonts w:ascii="Arial" w:eastAsia="Times New Roman" w:hAnsi="Arial" w:cs="Arial"/>
          <w:color w:val="000000"/>
        </w:rPr>
        <w:t>,</w:t>
      </w:r>
      <w:r w:rsidRPr="00D208BB">
        <w:rPr>
          <w:rStyle w:val="contentpasted0"/>
          <w:rFonts w:ascii="Arial" w:eastAsia="Times New Roman" w:hAnsi="Arial" w:cs="Arial"/>
          <w:color w:val="000000"/>
        </w:rPr>
        <w:t xml:space="preserve"> soprattutto in Usa, che oltre un certo livello, rischia di mettere a rischio la lunga lotta all’inflazione degli ultimi trimestri.</w:t>
      </w:r>
    </w:p>
    <w:p w14:paraId="658F8C65" w14:textId="133B97B0" w:rsidR="00216645" w:rsidRPr="00F965C0" w:rsidRDefault="00216645" w:rsidP="00F965C0">
      <w:pPr>
        <w:jc w:val="center"/>
        <w:rPr>
          <w:rFonts w:ascii="Calibri" w:eastAsia="Times New Roman" w:hAnsi="Calibri" w:cs="Calibri"/>
        </w:rPr>
      </w:pPr>
    </w:p>
    <w:p w14:paraId="7FCD3608" w14:textId="7AEFEBEB" w:rsidR="00BC43BE" w:rsidRPr="00EA4FCC" w:rsidRDefault="00BC43BE" w:rsidP="00BC43BE">
      <w:pPr>
        <w:tabs>
          <w:tab w:val="left" w:pos="426"/>
        </w:tabs>
        <w:spacing w:after="0" w:line="20" w:lineRule="atLeast"/>
        <w:ind w:right="-1"/>
        <w:jc w:val="both"/>
        <w:rPr>
          <w:rFonts w:ascii="Arial" w:hAnsi="Arial" w:cs="Arial"/>
          <w:b/>
          <w:bCs/>
          <w:i/>
          <w:iCs/>
          <w:spacing w:val="-2"/>
          <w:sz w:val="18"/>
          <w:szCs w:val="18"/>
          <w:u w:val="single"/>
        </w:rPr>
      </w:pPr>
      <w:proofErr w:type="spellStart"/>
      <w:r w:rsidRPr="00EA4FCC">
        <w:rPr>
          <w:rFonts w:ascii="Arial" w:hAnsi="Arial" w:cs="Arial"/>
          <w:b/>
          <w:bCs/>
          <w:i/>
          <w:iCs/>
          <w:spacing w:val="-2"/>
          <w:sz w:val="18"/>
          <w:szCs w:val="18"/>
          <w:u w:val="single"/>
        </w:rPr>
        <w:t>INTERMONTE</w:t>
      </w:r>
      <w:proofErr w:type="spellEnd"/>
      <w:r w:rsidRPr="00EA4FCC">
        <w:rPr>
          <w:rFonts w:ascii="Arial" w:hAnsi="Arial" w:cs="Arial"/>
          <w:b/>
          <w:bCs/>
          <w:i/>
          <w:iCs/>
          <w:spacing w:val="-2"/>
          <w:sz w:val="18"/>
          <w:szCs w:val="18"/>
          <w:u w:val="single"/>
        </w:rPr>
        <w:t xml:space="preserve"> </w:t>
      </w:r>
    </w:p>
    <w:p w14:paraId="7E9EC2DE" w14:textId="77777777" w:rsidR="00BC43BE" w:rsidRPr="00EA4FCC" w:rsidRDefault="00BC43BE" w:rsidP="00BC43BE">
      <w:pPr>
        <w:pStyle w:val="Paragrafoelenco"/>
        <w:spacing w:after="0" w:line="20" w:lineRule="atLeast"/>
        <w:ind w:left="0"/>
        <w:jc w:val="both"/>
        <w:rPr>
          <w:rFonts w:ascii="Arial" w:hAnsi="Arial" w:cs="Arial"/>
          <w:color w:val="000000"/>
          <w:sz w:val="18"/>
          <w:szCs w:val="18"/>
        </w:rPr>
      </w:pPr>
      <w:proofErr w:type="spellStart"/>
      <w:r w:rsidRPr="00EA4FCC">
        <w:rPr>
          <w:rFonts w:ascii="Arial" w:hAnsi="Arial" w:cs="Arial"/>
          <w:color w:val="000000"/>
          <w:sz w:val="18"/>
          <w:szCs w:val="18"/>
        </w:rPr>
        <w:t>Intermonte</w:t>
      </w:r>
      <w:proofErr w:type="spellEnd"/>
      <w:r w:rsidRPr="00EA4FCC">
        <w:rPr>
          <w:rFonts w:ascii="Arial" w:hAnsi="Arial" w:cs="Arial"/>
          <w:color w:val="000000"/>
          <w:sz w:val="18"/>
          <w:szCs w:val="18"/>
        </w:rPr>
        <w:t xml:space="preserve"> è una Investment bank indipendente leader in Italia e punto di riferimento per gli investitori istituzionali italiani e internazionali nel segmento delle </w:t>
      </w:r>
      <w:proofErr w:type="spellStart"/>
      <w:r w:rsidRPr="00EA4FCC">
        <w:rPr>
          <w:rFonts w:ascii="Arial" w:hAnsi="Arial" w:cs="Arial"/>
          <w:color w:val="000000"/>
          <w:sz w:val="18"/>
          <w:szCs w:val="18"/>
        </w:rPr>
        <w:t>mid</w:t>
      </w:r>
      <w:proofErr w:type="spellEnd"/>
      <w:r w:rsidRPr="00EA4FCC">
        <w:rPr>
          <w:rFonts w:ascii="Arial" w:hAnsi="Arial" w:cs="Arial"/>
          <w:color w:val="000000"/>
          <w:sz w:val="18"/>
          <w:szCs w:val="18"/>
        </w:rPr>
        <w:t xml:space="preserve"> &amp; small </w:t>
      </w:r>
      <w:proofErr w:type="spellStart"/>
      <w:r w:rsidRPr="00EA4FCC">
        <w:rPr>
          <w:rFonts w:ascii="Arial" w:hAnsi="Arial" w:cs="Arial"/>
          <w:color w:val="000000"/>
          <w:sz w:val="18"/>
          <w:szCs w:val="18"/>
        </w:rPr>
        <w:t>caps</w:t>
      </w:r>
      <w:proofErr w:type="spellEnd"/>
      <w:r w:rsidRPr="00EA4FCC">
        <w:rPr>
          <w:rFonts w:ascii="Arial" w:hAnsi="Arial" w:cs="Arial"/>
          <w:color w:val="000000"/>
          <w:sz w:val="18"/>
          <w:szCs w:val="18"/>
        </w:rPr>
        <w:t xml:space="preserve">. Quotata sul mercato Euronext </w:t>
      </w:r>
      <w:proofErr w:type="spellStart"/>
      <w:r w:rsidRPr="00EA4FCC">
        <w:rPr>
          <w:rFonts w:ascii="Arial" w:hAnsi="Arial" w:cs="Arial"/>
          <w:color w:val="000000"/>
          <w:sz w:val="18"/>
          <w:szCs w:val="18"/>
        </w:rPr>
        <w:t>Growth</w:t>
      </w:r>
      <w:proofErr w:type="spellEnd"/>
      <w:r w:rsidRPr="00EA4FCC">
        <w:rPr>
          <w:rFonts w:ascii="Arial" w:hAnsi="Arial" w:cs="Arial"/>
          <w:color w:val="000000"/>
          <w:sz w:val="18"/>
          <w:szCs w:val="18"/>
        </w:rPr>
        <w:t xml:space="preserve"> Milan di Borsa Italiana, presenta un modello di business diversificato su quattro linee di attività, “Investment Banking”, “Sales &amp; Trading”, Global Markets” e “Digital </w:t>
      </w:r>
      <w:proofErr w:type="spellStart"/>
      <w:r w:rsidRPr="00EA4FCC">
        <w:rPr>
          <w:rFonts w:ascii="Arial" w:hAnsi="Arial" w:cs="Arial"/>
          <w:color w:val="000000"/>
          <w:sz w:val="18"/>
          <w:szCs w:val="18"/>
        </w:rPr>
        <w:t>Division</w:t>
      </w:r>
      <w:proofErr w:type="spellEnd"/>
      <w:r w:rsidRPr="00EA4FCC">
        <w:rPr>
          <w:rFonts w:ascii="Arial" w:hAnsi="Arial" w:cs="Arial"/>
          <w:color w:val="000000"/>
          <w:sz w:val="18"/>
          <w:szCs w:val="18"/>
        </w:rPr>
        <w:t xml:space="preserve"> &amp; Advisory”. L’Investment Banking offre servizi rivolti a imprese quotate e non quotate in operazioni straordinarie, incluse operazioni di Equity Capital Markets, </w:t>
      </w:r>
      <w:proofErr w:type="spellStart"/>
      <w:r w:rsidRPr="00EA4FCC">
        <w:rPr>
          <w:rFonts w:ascii="Arial" w:hAnsi="Arial" w:cs="Arial"/>
          <w:color w:val="000000"/>
          <w:sz w:val="18"/>
          <w:szCs w:val="18"/>
        </w:rPr>
        <w:t>M&amp;A</w:t>
      </w:r>
      <w:proofErr w:type="spellEnd"/>
      <w:r w:rsidRPr="00EA4FCC">
        <w:rPr>
          <w:rFonts w:ascii="Arial" w:hAnsi="Arial" w:cs="Arial"/>
          <w:color w:val="000000"/>
          <w:sz w:val="18"/>
          <w:szCs w:val="18"/>
        </w:rPr>
        <w:t xml:space="preserve"> e </w:t>
      </w:r>
      <w:proofErr w:type="spellStart"/>
      <w:r w:rsidRPr="00EA4FCC">
        <w:rPr>
          <w:rFonts w:ascii="Arial" w:hAnsi="Arial" w:cs="Arial"/>
          <w:color w:val="000000"/>
          <w:sz w:val="18"/>
          <w:szCs w:val="18"/>
        </w:rPr>
        <w:t>Debt</w:t>
      </w:r>
      <w:proofErr w:type="spellEnd"/>
      <w:r w:rsidRPr="00EA4FCC">
        <w:rPr>
          <w:rFonts w:ascii="Arial" w:hAnsi="Arial" w:cs="Arial"/>
          <w:color w:val="000000"/>
          <w:sz w:val="18"/>
          <w:szCs w:val="18"/>
        </w:rPr>
        <w:t xml:space="preserve"> Capital Markets. Le divisioni Sales &amp; Trading e Global Markets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La divisione “Digital </w:t>
      </w:r>
      <w:proofErr w:type="spellStart"/>
      <w:r w:rsidRPr="00EA4FCC">
        <w:rPr>
          <w:rFonts w:ascii="Arial" w:hAnsi="Arial" w:cs="Arial"/>
          <w:color w:val="000000"/>
          <w:sz w:val="18"/>
          <w:szCs w:val="18"/>
        </w:rPr>
        <w:t>Division</w:t>
      </w:r>
      <w:proofErr w:type="spellEnd"/>
      <w:r w:rsidRPr="00EA4FCC">
        <w:rPr>
          <w:rFonts w:ascii="Arial" w:hAnsi="Arial" w:cs="Arial"/>
          <w:color w:val="000000"/>
          <w:sz w:val="18"/>
          <w:szCs w:val="18"/>
        </w:rPr>
        <w:t xml:space="preserve"> &amp; Advisory” è attiva nel risparmio gestito e consulenza agli investimenti. </w:t>
      </w:r>
      <w:proofErr w:type="spellStart"/>
      <w:r w:rsidRPr="00EA4FCC">
        <w:rPr>
          <w:rFonts w:ascii="Arial" w:hAnsi="Arial" w:cs="Arial"/>
          <w:color w:val="000000"/>
          <w:sz w:val="18"/>
          <w:szCs w:val="18"/>
        </w:rPr>
        <w:t>Websim</w:t>
      </w:r>
      <w:proofErr w:type="spellEnd"/>
      <w:r w:rsidRPr="00EA4FCC">
        <w:rPr>
          <w:rFonts w:ascii="Arial" w:hAnsi="Arial" w:cs="Arial"/>
          <w:color w:val="000000"/>
          <w:sz w:val="18"/>
          <w:szCs w:val="18"/>
        </w:rPr>
        <w:t xml:space="preserve"> è specializzata in produzione di contenuti finanziari destinati a investitori retail. </w:t>
      </w:r>
      <w:proofErr w:type="spellStart"/>
      <w:r w:rsidRPr="00EA4FCC">
        <w:rPr>
          <w:rFonts w:ascii="Arial" w:hAnsi="Arial" w:cs="Arial"/>
          <w:color w:val="000000"/>
          <w:sz w:val="18"/>
          <w:szCs w:val="18"/>
        </w:rPr>
        <w:t>T.I.E</w:t>
      </w:r>
      <w:proofErr w:type="spellEnd"/>
      <w:r w:rsidRPr="00EA4FCC">
        <w:rPr>
          <w:rFonts w:ascii="Arial" w:hAnsi="Arial" w:cs="Arial"/>
          <w:color w:val="000000"/>
          <w:sz w:val="18"/>
          <w:szCs w:val="18"/>
        </w:rPr>
        <w:t xml:space="preserve">. - The </w:t>
      </w:r>
      <w:proofErr w:type="spellStart"/>
      <w:r w:rsidRPr="00EA4FCC">
        <w:rPr>
          <w:rFonts w:ascii="Arial" w:hAnsi="Arial" w:cs="Arial"/>
          <w:color w:val="000000"/>
          <w:sz w:val="18"/>
          <w:szCs w:val="18"/>
        </w:rPr>
        <w:t>Intermonte</w:t>
      </w:r>
      <w:proofErr w:type="spellEnd"/>
      <w:r w:rsidRPr="00EA4FCC">
        <w:rPr>
          <w:rFonts w:ascii="Arial" w:hAnsi="Arial" w:cs="Arial"/>
          <w:color w:val="000000"/>
          <w:sz w:val="18"/>
          <w:szCs w:val="18"/>
        </w:rPr>
        <w:t xml:space="preserve"> Eye - è l’area riservata a consulenti finanziari e private banker.</w:t>
      </w:r>
    </w:p>
    <w:p w14:paraId="2BA6C97E" w14:textId="77777777" w:rsidR="00BC43BE" w:rsidRPr="00EA4FCC" w:rsidRDefault="00BC43BE" w:rsidP="00BC43BE">
      <w:pPr>
        <w:pStyle w:val="Paragrafoelenco"/>
        <w:spacing w:after="0" w:line="20" w:lineRule="atLeast"/>
        <w:ind w:left="0"/>
        <w:jc w:val="both"/>
        <w:rPr>
          <w:rFonts w:ascii="Arial" w:hAnsi="Arial" w:cs="Arial"/>
          <w:b/>
          <w:i/>
          <w:sz w:val="18"/>
          <w:szCs w:val="18"/>
        </w:rPr>
      </w:pPr>
    </w:p>
    <w:p w14:paraId="388CB094" w14:textId="77777777" w:rsidR="00BC43BE" w:rsidRPr="00EA4FCC" w:rsidRDefault="00BC43BE" w:rsidP="00BC43BE">
      <w:pPr>
        <w:pStyle w:val="Paragrafoelenco"/>
        <w:spacing w:after="0" w:line="20" w:lineRule="atLeast"/>
        <w:ind w:left="0"/>
        <w:jc w:val="both"/>
        <w:rPr>
          <w:rFonts w:ascii="Arial" w:hAnsi="Arial" w:cs="Arial"/>
          <w:b/>
          <w:i/>
          <w:sz w:val="18"/>
          <w:szCs w:val="18"/>
        </w:rPr>
      </w:pPr>
    </w:p>
    <w:p w14:paraId="085EF463"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 xml:space="preserve">Contatti per la stampa: </w:t>
      </w:r>
    </w:p>
    <w:p w14:paraId="3DD22C8B"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BC Communication</w:t>
      </w:r>
    </w:p>
    <w:p w14:paraId="43039B46"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 xml:space="preserve">Beatrice Cagnoni </w:t>
      </w:r>
      <w:r w:rsidRPr="00EA4FCC">
        <w:rPr>
          <w:rFonts w:ascii="Arial" w:hAnsi="Arial" w:cs="Arial"/>
          <w:bCs/>
          <w:i/>
          <w:sz w:val="18"/>
          <w:szCs w:val="18"/>
        </w:rPr>
        <w:t xml:space="preserve">– </w:t>
      </w:r>
      <w:hyperlink r:id="rId14" w:history="1">
        <w:r w:rsidRPr="00EA4FCC">
          <w:rPr>
            <w:rStyle w:val="Collegamentoipertestuale"/>
            <w:rFonts w:ascii="Arial" w:hAnsi="Arial" w:cs="Arial"/>
            <w:i/>
            <w:sz w:val="18"/>
            <w:szCs w:val="18"/>
          </w:rPr>
          <w:t>beatrice.cagnoni@bc-communication.it</w:t>
        </w:r>
      </w:hyperlink>
      <w:r w:rsidRPr="00EA4FCC">
        <w:rPr>
          <w:rStyle w:val="Collegamentoipertestuale"/>
          <w:rFonts w:ascii="Arial" w:hAnsi="Arial" w:cs="Arial"/>
          <w:i/>
          <w:sz w:val="18"/>
          <w:szCs w:val="18"/>
          <w:u w:val="none"/>
        </w:rPr>
        <w:t xml:space="preserve"> </w:t>
      </w:r>
      <w:r w:rsidRPr="00EA4FCC">
        <w:rPr>
          <w:rFonts w:ascii="Arial" w:hAnsi="Arial" w:cs="Arial"/>
          <w:bCs/>
          <w:i/>
          <w:sz w:val="18"/>
          <w:szCs w:val="18"/>
        </w:rPr>
        <w:t xml:space="preserve">– </w:t>
      </w:r>
      <w:r w:rsidRPr="00EA4FCC">
        <w:rPr>
          <w:rFonts w:ascii="Arial" w:hAnsi="Arial" w:cs="Arial"/>
          <w:b/>
          <w:i/>
          <w:sz w:val="18"/>
          <w:szCs w:val="18"/>
        </w:rPr>
        <w:t>+39 335 5635111</w:t>
      </w:r>
    </w:p>
    <w:p w14:paraId="7C68B0E8"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 xml:space="preserve">Federica Guerrini </w:t>
      </w:r>
      <w:r w:rsidRPr="00EA4FCC">
        <w:rPr>
          <w:rFonts w:ascii="Arial" w:hAnsi="Arial" w:cs="Arial"/>
          <w:bCs/>
          <w:i/>
          <w:sz w:val="18"/>
          <w:szCs w:val="18"/>
        </w:rPr>
        <w:t xml:space="preserve">– </w:t>
      </w:r>
      <w:hyperlink r:id="rId15" w:history="1">
        <w:r w:rsidRPr="00EA4FCC">
          <w:rPr>
            <w:rStyle w:val="Collegamentoipertestuale"/>
            <w:rFonts w:ascii="Arial" w:hAnsi="Arial" w:cs="Arial"/>
            <w:bCs/>
            <w:i/>
            <w:sz w:val="18"/>
            <w:szCs w:val="18"/>
          </w:rPr>
          <w:t>federica.guerrini@bc-communication.it</w:t>
        </w:r>
      </w:hyperlink>
      <w:r w:rsidRPr="00EA4FCC">
        <w:rPr>
          <w:rFonts w:ascii="Arial" w:hAnsi="Arial" w:cs="Arial"/>
          <w:bCs/>
          <w:i/>
          <w:sz w:val="18"/>
          <w:szCs w:val="18"/>
        </w:rPr>
        <w:t xml:space="preserve"> - </w:t>
      </w:r>
      <w:r w:rsidRPr="00EA4FCC">
        <w:rPr>
          <w:rFonts w:ascii="Arial" w:hAnsi="Arial" w:cs="Arial"/>
          <w:b/>
          <w:i/>
          <w:sz w:val="18"/>
          <w:szCs w:val="18"/>
        </w:rPr>
        <w:t>+39 340 7500862</w:t>
      </w:r>
    </w:p>
    <w:p w14:paraId="7F81618D" w14:textId="77777777" w:rsidR="00A76468" w:rsidRPr="00EA4FCC" w:rsidRDefault="00A76468" w:rsidP="006D3714">
      <w:pPr>
        <w:pStyle w:val="notaintermonte"/>
        <w:spacing w:line="20" w:lineRule="atLeast"/>
        <w:rPr>
          <w:rFonts w:ascii="Arial" w:hAnsi="Arial" w:cs="Arial"/>
          <w:b/>
          <w:bCs/>
          <w:spacing w:val="-2"/>
          <w:u w:val="single"/>
        </w:rPr>
      </w:pPr>
    </w:p>
    <w:sectPr w:rsidR="00A76468" w:rsidRPr="00EA4FCC" w:rsidSect="00BC43BE">
      <w:footerReference w:type="default" r:id="rId16"/>
      <w:headerReference w:type="first" r:id="rId17"/>
      <w:pgSz w:w="11906" w:h="16838" w:code="9"/>
      <w:pgMar w:top="1417" w:right="1134" w:bottom="113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0574" w14:textId="77777777" w:rsidR="00CF4302" w:rsidRDefault="00CF4302" w:rsidP="00652E76">
      <w:pPr>
        <w:spacing w:after="0" w:line="240" w:lineRule="auto"/>
      </w:pPr>
      <w:r>
        <w:separator/>
      </w:r>
    </w:p>
  </w:endnote>
  <w:endnote w:type="continuationSeparator" w:id="0">
    <w:p w14:paraId="24B5A053" w14:textId="77777777" w:rsidR="00CF4302" w:rsidRDefault="00CF4302" w:rsidP="006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70120"/>
      <w:docPartObj>
        <w:docPartGallery w:val="Page Numbers (Bottom of Page)"/>
        <w:docPartUnique/>
      </w:docPartObj>
    </w:sdtPr>
    <w:sdtContent>
      <w:p w14:paraId="4A5CDA46" w14:textId="1D010531" w:rsidR="00EA4FCC" w:rsidRDefault="00EA4FCC">
        <w:pPr>
          <w:pStyle w:val="Pidipagina"/>
          <w:jc w:val="center"/>
        </w:pPr>
        <w:r>
          <w:fldChar w:fldCharType="begin"/>
        </w:r>
        <w:r>
          <w:instrText>PAGE   \* MERGEFORMAT</w:instrText>
        </w:r>
        <w:r>
          <w:fldChar w:fldCharType="separate"/>
        </w:r>
        <w:r>
          <w:t>2</w:t>
        </w:r>
        <w:r>
          <w:fldChar w:fldCharType="end"/>
        </w:r>
      </w:p>
    </w:sdtContent>
  </w:sdt>
  <w:p w14:paraId="2676B4DF" w14:textId="77777777" w:rsidR="00EA4FCC" w:rsidRDefault="00EA4F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47ED" w14:textId="77777777" w:rsidR="00CF4302" w:rsidRDefault="00CF4302" w:rsidP="00652E76">
      <w:pPr>
        <w:spacing w:after="0" w:line="240" w:lineRule="auto"/>
      </w:pPr>
      <w:r>
        <w:separator/>
      </w:r>
    </w:p>
  </w:footnote>
  <w:footnote w:type="continuationSeparator" w:id="0">
    <w:p w14:paraId="089FCC6A" w14:textId="77777777" w:rsidR="00CF4302" w:rsidRDefault="00CF4302" w:rsidP="006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6F26" w14:textId="7F0DACD1" w:rsidR="0000155C" w:rsidRDefault="0000155C" w:rsidP="0000155C">
    <w:pPr>
      <w:pStyle w:val="Intestazione"/>
      <w:jc w:val="center"/>
    </w:pPr>
    <w:r>
      <w:rPr>
        <w:noProof/>
        <w:lang w:eastAsia="it-IT"/>
      </w:rPr>
      <w:drawing>
        <wp:inline distT="0" distB="0" distL="0" distR="0" wp14:anchorId="4AABBA7F" wp14:editId="391E7B9F">
          <wp:extent cx="2160000" cy="5360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MONT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1080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5688E8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Bullet"/>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9"/>
    <w:multiLevelType w:val="singleLevel"/>
    <w:tmpl w:val="00000009"/>
    <w:name w:val="WW8Num9"/>
    <w:lvl w:ilvl="0">
      <w:start w:val="1"/>
      <w:numFmt w:val="decimal"/>
      <w:pStyle w:val="Numeroelenco1"/>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bullet"/>
      <w:pStyle w:val="Puntoelenco1"/>
      <w:lvlText w:val=""/>
      <w:lvlJc w:val="left"/>
      <w:pPr>
        <w:tabs>
          <w:tab w:val="num" w:pos="360"/>
        </w:tabs>
        <w:ind w:left="360" w:hanging="360"/>
      </w:pPr>
      <w:rPr>
        <w:rFonts w:ascii="Symbol" w:hAnsi="Symbol" w:cs="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7"/>
    <w:multiLevelType w:val="singleLevel"/>
    <w:tmpl w:val="00000017"/>
    <w:name w:val="WW8Num23"/>
    <w:lvl w:ilvl="0">
      <w:numFmt w:val="bullet"/>
      <w:lvlText w:val="•"/>
      <w:lvlJc w:val="left"/>
      <w:pPr>
        <w:tabs>
          <w:tab w:val="num" w:pos="0"/>
        </w:tabs>
        <w:ind w:left="756" w:hanging="396"/>
      </w:pPr>
      <w:rPr>
        <w:rFonts w:ascii="Calibri" w:hAnsi="Calibri" w:cs="Symbol"/>
        <w:color w:val="000000"/>
      </w:rPr>
    </w:lvl>
  </w:abstractNum>
  <w:abstractNum w:abstractNumId="7" w15:restartNumberingAfterBreak="0">
    <w:nsid w:val="00B54CE3"/>
    <w:multiLevelType w:val="multilevel"/>
    <w:tmpl w:val="E61C4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CF225D"/>
    <w:multiLevelType w:val="multilevel"/>
    <w:tmpl w:val="F3DA9A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4C82D29"/>
    <w:multiLevelType w:val="multilevel"/>
    <w:tmpl w:val="74C0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5A3FA8"/>
    <w:multiLevelType w:val="multilevel"/>
    <w:tmpl w:val="ABD2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DF6983"/>
    <w:multiLevelType w:val="multilevel"/>
    <w:tmpl w:val="45A8C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F37E4"/>
    <w:multiLevelType w:val="multilevel"/>
    <w:tmpl w:val="D7CE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73761"/>
    <w:multiLevelType w:val="multilevel"/>
    <w:tmpl w:val="83329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4F6D54"/>
    <w:multiLevelType w:val="multilevel"/>
    <w:tmpl w:val="1024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752799"/>
    <w:multiLevelType w:val="multilevel"/>
    <w:tmpl w:val="87460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AC3EE0"/>
    <w:multiLevelType w:val="multilevel"/>
    <w:tmpl w:val="BAC2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055F88"/>
    <w:multiLevelType w:val="multilevel"/>
    <w:tmpl w:val="42E82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1E65B8"/>
    <w:multiLevelType w:val="multilevel"/>
    <w:tmpl w:val="FCA01F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6D7074"/>
    <w:multiLevelType w:val="multilevel"/>
    <w:tmpl w:val="A37A2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942DED"/>
    <w:multiLevelType w:val="multilevel"/>
    <w:tmpl w:val="2220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B519B0"/>
    <w:multiLevelType w:val="multilevel"/>
    <w:tmpl w:val="460C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4C0802"/>
    <w:multiLevelType w:val="multilevel"/>
    <w:tmpl w:val="E536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776E2C"/>
    <w:multiLevelType w:val="multilevel"/>
    <w:tmpl w:val="993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452740"/>
    <w:multiLevelType w:val="multilevel"/>
    <w:tmpl w:val="1436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756D24"/>
    <w:multiLevelType w:val="multilevel"/>
    <w:tmpl w:val="80CE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0F2D37"/>
    <w:multiLevelType w:val="multilevel"/>
    <w:tmpl w:val="BB46E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43B7C"/>
    <w:multiLevelType w:val="multilevel"/>
    <w:tmpl w:val="79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C94B27"/>
    <w:multiLevelType w:val="multilevel"/>
    <w:tmpl w:val="9BC0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75791"/>
    <w:multiLevelType w:val="multilevel"/>
    <w:tmpl w:val="43A4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271356"/>
    <w:multiLevelType w:val="multilevel"/>
    <w:tmpl w:val="DEC02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3E6734"/>
    <w:multiLevelType w:val="multilevel"/>
    <w:tmpl w:val="063E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FD0374"/>
    <w:multiLevelType w:val="multilevel"/>
    <w:tmpl w:val="35AC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710E0A"/>
    <w:multiLevelType w:val="multilevel"/>
    <w:tmpl w:val="8C9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285B46"/>
    <w:multiLevelType w:val="multilevel"/>
    <w:tmpl w:val="8B64E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68156A"/>
    <w:multiLevelType w:val="multilevel"/>
    <w:tmpl w:val="6F24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EC3C67"/>
    <w:multiLevelType w:val="multilevel"/>
    <w:tmpl w:val="01905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5503198"/>
    <w:multiLevelType w:val="multilevel"/>
    <w:tmpl w:val="C450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9036FB"/>
    <w:multiLevelType w:val="multilevel"/>
    <w:tmpl w:val="E26A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7D6EC7"/>
    <w:multiLevelType w:val="multilevel"/>
    <w:tmpl w:val="4EA8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9B0441"/>
    <w:multiLevelType w:val="multilevel"/>
    <w:tmpl w:val="A3660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8861E5"/>
    <w:multiLevelType w:val="multilevel"/>
    <w:tmpl w:val="9AEC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586D97"/>
    <w:multiLevelType w:val="multilevel"/>
    <w:tmpl w:val="FFB0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99438E"/>
    <w:multiLevelType w:val="multilevel"/>
    <w:tmpl w:val="E2AC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E91291"/>
    <w:multiLevelType w:val="multilevel"/>
    <w:tmpl w:val="F200A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A46956"/>
    <w:multiLevelType w:val="multilevel"/>
    <w:tmpl w:val="933E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617174"/>
    <w:multiLevelType w:val="multilevel"/>
    <w:tmpl w:val="9DDC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833C39"/>
    <w:multiLevelType w:val="multilevel"/>
    <w:tmpl w:val="1C8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CB30B2"/>
    <w:multiLevelType w:val="multilevel"/>
    <w:tmpl w:val="9EF80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050046"/>
    <w:multiLevelType w:val="multilevel"/>
    <w:tmpl w:val="447E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9C2C5F"/>
    <w:multiLevelType w:val="multilevel"/>
    <w:tmpl w:val="F2E8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403FD4"/>
    <w:multiLevelType w:val="multilevel"/>
    <w:tmpl w:val="B72EE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1167C5"/>
    <w:multiLevelType w:val="multilevel"/>
    <w:tmpl w:val="6344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B24E8C"/>
    <w:multiLevelType w:val="multilevel"/>
    <w:tmpl w:val="4152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424F9A"/>
    <w:multiLevelType w:val="multilevel"/>
    <w:tmpl w:val="1D0C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20105C"/>
    <w:multiLevelType w:val="multilevel"/>
    <w:tmpl w:val="B1C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2D4468"/>
    <w:multiLevelType w:val="multilevel"/>
    <w:tmpl w:val="09B6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2153DD"/>
    <w:multiLevelType w:val="multilevel"/>
    <w:tmpl w:val="090C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AE6156"/>
    <w:multiLevelType w:val="multilevel"/>
    <w:tmpl w:val="BFA4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123BB1"/>
    <w:multiLevelType w:val="multilevel"/>
    <w:tmpl w:val="8EE2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6C3BA4"/>
    <w:multiLevelType w:val="multilevel"/>
    <w:tmpl w:val="8CAAE8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61166122">
    <w:abstractNumId w:val="2"/>
  </w:num>
  <w:num w:numId="2" w16cid:durableId="1846629177">
    <w:abstractNumId w:val="3"/>
  </w:num>
  <w:num w:numId="3" w16cid:durableId="1015426339">
    <w:abstractNumId w:val="4"/>
  </w:num>
  <w:num w:numId="4" w16cid:durableId="1520700158">
    <w:abstractNumId w:val="1"/>
  </w:num>
  <w:num w:numId="5" w16cid:durableId="1866602473">
    <w:abstractNumId w:val="0"/>
  </w:num>
  <w:num w:numId="6" w16cid:durableId="1912425940">
    <w:abstractNumId w:val="10"/>
  </w:num>
  <w:num w:numId="7" w16cid:durableId="75442133">
    <w:abstractNumId w:val="47"/>
  </w:num>
  <w:num w:numId="8" w16cid:durableId="1502354731">
    <w:abstractNumId w:val="41"/>
  </w:num>
  <w:num w:numId="9" w16cid:durableId="1159007046">
    <w:abstractNumId w:val="55"/>
  </w:num>
  <w:num w:numId="10" w16cid:durableId="1071583816">
    <w:abstractNumId w:val="16"/>
  </w:num>
  <w:num w:numId="11" w16cid:durableId="1773238840">
    <w:abstractNumId w:val="49"/>
  </w:num>
  <w:num w:numId="12" w16cid:durableId="1475416074">
    <w:abstractNumId w:val="29"/>
  </w:num>
  <w:num w:numId="13" w16cid:durableId="1911310375">
    <w:abstractNumId w:val="24"/>
  </w:num>
  <w:num w:numId="14" w16cid:durableId="562133050">
    <w:abstractNumId w:val="33"/>
  </w:num>
  <w:num w:numId="15" w16cid:durableId="911350417">
    <w:abstractNumId w:val="54"/>
  </w:num>
  <w:num w:numId="16" w16cid:durableId="211770006">
    <w:abstractNumId w:val="23"/>
  </w:num>
  <w:num w:numId="17" w16cid:durableId="1675844259">
    <w:abstractNumId w:val="39"/>
  </w:num>
  <w:num w:numId="18" w16cid:durableId="1945729841">
    <w:abstractNumId w:val="21"/>
  </w:num>
  <w:num w:numId="19" w16cid:durableId="1849246288">
    <w:abstractNumId w:val="31"/>
  </w:num>
  <w:num w:numId="20" w16cid:durableId="1664627395">
    <w:abstractNumId w:val="46"/>
  </w:num>
  <w:num w:numId="21" w16cid:durableId="1930195021">
    <w:abstractNumId w:val="22"/>
  </w:num>
  <w:num w:numId="22" w16cid:durableId="1230382549">
    <w:abstractNumId w:val="28"/>
  </w:num>
  <w:num w:numId="23" w16cid:durableId="1602834213">
    <w:abstractNumId w:val="32"/>
  </w:num>
  <w:num w:numId="24" w16cid:durableId="236979604">
    <w:abstractNumId w:val="35"/>
  </w:num>
  <w:num w:numId="25" w16cid:durableId="1730954519">
    <w:abstractNumId w:val="25"/>
  </w:num>
  <w:num w:numId="26" w16cid:durableId="832911448">
    <w:abstractNumId w:val="38"/>
  </w:num>
  <w:num w:numId="27" w16cid:durableId="1350520802">
    <w:abstractNumId w:val="52"/>
  </w:num>
  <w:num w:numId="28" w16cid:durableId="2033845447">
    <w:abstractNumId w:val="9"/>
  </w:num>
  <w:num w:numId="29" w16cid:durableId="294414855">
    <w:abstractNumId w:val="42"/>
  </w:num>
  <w:num w:numId="30" w16cid:durableId="556012639">
    <w:abstractNumId w:val="56"/>
  </w:num>
  <w:num w:numId="31" w16cid:durableId="1600408554">
    <w:abstractNumId w:val="43"/>
  </w:num>
  <w:num w:numId="32" w16cid:durableId="1904828800">
    <w:abstractNumId w:val="7"/>
  </w:num>
  <w:num w:numId="33" w16cid:durableId="348222447">
    <w:abstractNumId w:val="59"/>
  </w:num>
  <w:num w:numId="34" w16cid:durableId="1788115590">
    <w:abstractNumId w:val="27"/>
  </w:num>
  <w:num w:numId="35" w16cid:durableId="354310954">
    <w:abstractNumId w:val="50"/>
  </w:num>
  <w:num w:numId="36" w16cid:durableId="135339046">
    <w:abstractNumId w:val="57"/>
  </w:num>
  <w:num w:numId="37" w16cid:durableId="1060129259">
    <w:abstractNumId w:val="14"/>
  </w:num>
  <w:num w:numId="38" w16cid:durableId="441917527">
    <w:abstractNumId w:val="12"/>
  </w:num>
  <w:num w:numId="39" w16cid:durableId="454492761">
    <w:abstractNumId w:val="45"/>
  </w:num>
  <w:num w:numId="40" w16cid:durableId="1477141141">
    <w:abstractNumId w:val="45"/>
  </w:num>
  <w:num w:numId="41" w16cid:durableId="1286542535">
    <w:abstractNumId w:val="18"/>
  </w:num>
  <w:num w:numId="42" w16cid:durableId="907417395">
    <w:abstractNumId w:val="53"/>
  </w:num>
  <w:num w:numId="43" w16cid:durableId="237640234">
    <w:abstractNumId w:val="51"/>
  </w:num>
  <w:num w:numId="44" w16cid:durableId="780763063">
    <w:abstractNumId w:val="36"/>
  </w:num>
  <w:num w:numId="45" w16cid:durableId="233198967">
    <w:abstractNumId w:val="8"/>
  </w:num>
  <w:num w:numId="46" w16cid:durableId="1793862398">
    <w:abstractNumId w:val="60"/>
  </w:num>
  <w:num w:numId="47" w16cid:durableId="726416046">
    <w:abstractNumId w:val="40"/>
  </w:num>
  <w:num w:numId="48" w16cid:durableId="1861629224">
    <w:abstractNumId w:val="13"/>
  </w:num>
  <w:num w:numId="49" w16cid:durableId="781802156">
    <w:abstractNumId w:val="19"/>
  </w:num>
  <w:num w:numId="50" w16cid:durableId="347610504">
    <w:abstractNumId w:val="20"/>
  </w:num>
  <w:num w:numId="51" w16cid:durableId="1675958090">
    <w:abstractNumId w:val="15"/>
  </w:num>
  <w:num w:numId="52" w16cid:durableId="1726296821">
    <w:abstractNumId w:val="48"/>
    <w:lvlOverride w:ilvl="0"/>
    <w:lvlOverride w:ilvl="1"/>
    <w:lvlOverride w:ilvl="2"/>
    <w:lvlOverride w:ilvl="3"/>
    <w:lvlOverride w:ilvl="4"/>
    <w:lvlOverride w:ilvl="5"/>
    <w:lvlOverride w:ilvl="6"/>
    <w:lvlOverride w:ilvl="7"/>
    <w:lvlOverride w:ilvl="8"/>
  </w:num>
  <w:num w:numId="53" w16cid:durableId="105128339">
    <w:abstractNumId w:val="17"/>
    <w:lvlOverride w:ilvl="0"/>
    <w:lvlOverride w:ilvl="1"/>
    <w:lvlOverride w:ilvl="2"/>
    <w:lvlOverride w:ilvl="3"/>
    <w:lvlOverride w:ilvl="4"/>
    <w:lvlOverride w:ilvl="5"/>
    <w:lvlOverride w:ilvl="6"/>
    <w:lvlOverride w:ilvl="7"/>
    <w:lvlOverride w:ilvl="8"/>
  </w:num>
  <w:num w:numId="54" w16cid:durableId="777528200">
    <w:abstractNumId w:val="30"/>
    <w:lvlOverride w:ilvl="0"/>
    <w:lvlOverride w:ilvl="1"/>
    <w:lvlOverride w:ilvl="2"/>
    <w:lvlOverride w:ilvl="3"/>
    <w:lvlOverride w:ilvl="4"/>
    <w:lvlOverride w:ilvl="5"/>
    <w:lvlOverride w:ilvl="6"/>
    <w:lvlOverride w:ilvl="7"/>
    <w:lvlOverride w:ilvl="8"/>
  </w:num>
  <w:num w:numId="55" w16cid:durableId="1927035647">
    <w:abstractNumId w:val="34"/>
    <w:lvlOverride w:ilvl="0"/>
    <w:lvlOverride w:ilvl="1"/>
    <w:lvlOverride w:ilvl="2"/>
    <w:lvlOverride w:ilvl="3"/>
    <w:lvlOverride w:ilvl="4"/>
    <w:lvlOverride w:ilvl="5"/>
    <w:lvlOverride w:ilvl="6"/>
    <w:lvlOverride w:ilvl="7"/>
    <w:lvlOverride w:ilvl="8"/>
  </w:num>
  <w:num w:numId="56" w16cid:durableId="391542200">
    <w:abstractNumId w:val="26"/>
    <w:lvlOverride w:ilvl="0"/>
    <w:lvlOverride w:ilvl="1"/>
    <w:lvlOverride w:ilvl="2"/>
    <w:lvlOverride w:ilvl="3"/>
    <w:lvlOverride w:ilvl="4"/>
    <w:lvlOverride w:ilvl="5"/>
    <w:lvlOverride w:ilvl="6"/>
    <w:lvlOverride w:ilvl="7"/>
    <w:lvlOverride w:ilvl="8"/>
  </w:num>
  <w:num w:numId="57" w16cid:durableId="1677686559">
    <w:abstractNumId w:val="58"/>
    <w:lvlOverride w:ilvl="0"/>
    <w:lvlOverride w:ilvl="1"/>
    <w:lvlOverride w:ilvl="2"/>
    <w:lvlOverride w:ilvl="3"/>
    <w:lvlOverride w:ilvl="4"/>
    <w:lvlOverride w:ilvl="5"/>
    <w:lvlOverride w:ilvl="6"/>
    <w:lvlOverride w:ilvl="7"/>
    <w:lvlOverride w:ilvl="8"/>
  </w:num>
  <w:num w:numId="58" w16cid:durableId="1813137580">
    <w:abstractNumId w:val="11"/>
    <w:lvlOverride w:ilvl="0"/>
    <w:lvlOverride w:ilvl="1"/>
    <w:lvlOverride w:ilvl="2"/>
    <w:lvlOverride w:ilvl="3"/>
    <w:lvlOverride w:ilvl="4"/>
    <w:lvlOverride w:ilvl="5"/>
    <w:lvlOverride w:ilvl="6"/>
    <w:lvlOverride w:ilvl="7"/>
    <w:lvlOverride w:ilvl="8"/>
  </w:num>
  <w:num w:numId="59" w16cid:durableId="1215392438">
    <w:abstractNumId w:val="44"/>
    <w:lvlOverride w:ilvl="0"/>
    <w:lvlOverride w:ilvl="1"/>
    <w:lvlOverride w:ilvl="2"/>
    <w:lvlOverride w:ilvl="3"/>
    <w:lvlOverride w:ilvl="4"/>
    <w:lvlOverride w:ilvl="5"/>
    <w:lvlOverride w:ilvl="6"/>
    <w:lvlOverride w:ilvl="7"/>
    <w:lvlOverride w:ilvl="8"/>
  </w:num>
  <w:num w:numId="60" w16cid:durableId="1760060308">
    <w:abstractNumId w:val="37"/>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47C9E"/>
    <w:rsid w:val="0000083D"/>
    <w:rsid w:val="00000E27"/>
    <w:rsid w:val="0000155C"/>
    <w:rsid w:val="0000310B"/>
    <w:rsid w:val="00004334"/>
    <w:rsid w:val="00005043"/>
    <w:rsid w:val="000058B5"/>
    <w:rsid w:val="00005950"/>
    <w:rsid w:val="00005BB6"/>
    <w:rsid w:val="00005C08"/>
    <w:rsid w:val="0000613A"/>
    <w:rsid w:val="000063DC"/>
    <w:rsid w:val="0000696A"/>
    <w:rsid w:val="00007C99"/>
    <w:rsid w:val="00012BEA"/>
    <w:rsid w:val="00015719"/>
    <w:rsid w:val="00016917"/>
    <w:rsid w:val="000171B7"/>
    <w:rsid w:val="00017286"/>
    <w:rsid w:val="0001741D"/>
    <w:rsid w:val="000201D3"/>
    <w:rsid w:val="00020390"/>
    <w:rsid w:val="000221B3"/>
    <w:rsid w:val="00022218"/>
    <w:rsid w:val="0002460F"/>
    <w:rsid w:val="00024DA5"/>
    <w:rsid w:val="00024F22"/>
    <w:rsid w:val="000257B3"/>
    <w:rsid w:val="00030899"/>
    <w:rsid w:val="00030FCF"/>
    <w:rsid w:val="00031C27"/>
    <w:rsid w:val="000328E2"/>
    <w:rsid w:val="000343B4"/>
    <w:rsid w:val="0003465F"/>
    <w:rsid w:val="000349F1"/>
    <w:rsid w:val="00034E3A"/>
    <w:rsid w:val="00034F8E"/>
    <w:rsid w:val="0003578D"/>
    <w:rsid w:val="000373E5"/>
    <w:rsid w:val="00043461"/>
    <w:rsid w:val="00044534"/>
    <w:rsid w:val="000445E4"/>
    <w:rsid w:val="00044B44"/>
    <w:rsid w:val="00045130"/>
    <w:rsid w:val="00046C67"/>
    <w:rsid w:val="0004711E"/>
    <w:rsid w:val="00047484"/>
    <w:rsid w:val="00052756"/>
    <w:rsid w:val="0005289D"/>
    <w:rsid w:val="0005452D"/>
    <w:rsid w:val="00055536"/>
    <w:rsid w:val="0005714F"/>
    <w:rsid w:val="000578A5"/>
    <w:rsid w:val="00057C91"/>
    <w:rsid w:val="00057E9C"/>
    <w:rsid w:val="000629BF"/>
    <w:rsid w:val="0006313D"/>
    <w:rsid w:val="0006429A"/>
    <w:rsid w:val="000648D1"/>
    <w:rsid w:val="000668D0"/>
    <w:rsid w:val="00067A12"/>
    <w:rsid w:val="0007061A"/>
    <w:rsid w:val="00070DBE"/>
    <w:rsid w:val="00072A6C"/>
    <w:rsid w:val="00072A8C"/>
    <w:rsid w:val="0007319A"/>
    <w:rsid w:val="00073FC5"/>
    <w:rsid w:val="000744FD"/>
    <w:rsid w:val="00074BDA"/>
    <w:rsid w:val="00075ECD"/>
    <w:rsid w:val="00076F2B"/>
    <w:rsid w:val="0007772F"/>
    <w:rsid w:val="00082526"/>
    <w:rsid w:val="00082845"/>
    <w:rsid w:val="0008358B"/>
    <w:rsid w:val="00083A1B"/>
    <w:rsid w:val="00084D9A"/>
    <w:rsid w:val="00085FF7"/>
    <w:rsid w:val="00092F60"/>
    <w:rsid w:val="00093B7F"/>
    <w:rsid w:val="00095032"/>
    <w:rsid w:val="000A015F"/>
    <w:rsid w:val="000A098C"/>
    <w:rsid w:val="000A241A"/>
    <w:rsid w:val="000A2805"/>
    <w:rsid w:val="000A2F97"/>
    <w:rsid w:val="000A4BF1"/>
    <w:rsid w:val="000A5ABB"/>
    <w:rsid w:val="000A5D81"/>
    <w:rsid w:val="000A73E8"/>
    <w:rsid w:val="000A76B5"/>
    <w:rsid w:val="000B1F85"/>
    <w:rsid w:val="000B546F"/>
    <w:rsid w:val="000B5872"/>
    <w:rsid w:val="000B6671"/>
    <w:rsid w:val="000B7841"/>
    <w:rsid w:val="000B79A5"/>
    <w:rsid w:val="000B7C48"/>
    <w:rsid w:val="000B7E51"/>
    <w:rsid w:val="000C0DD4"/>
    <w:rsid w:val="000C10F0"/>
    <w:rsid w:val="000C14D0"/>
    <w:rsid w:val="000C16F0"/>
    <w:rsid w:val="000C1A93"/>
    <w:rsid w:val="000C1D2E"/>
    <w:rsid w:val="000C29B3"/>
    <w:rsid w:val="000C3B7B"/>
    <w:rsid w:val="000C5572"/>
    <w:rsid w:val="000C6C01"/>
    <w:rsid w:val="000D0DB9"/>
    <w:rsid w:val="000D1EB9"/>
    <w:rsid w:val="000D278C"/>
    <w:rsid w:val="000D45F6"/>
    <w:rsid w:val="000D46FC"/>
    <w:rsid w:val="000D4DC4"/>
    <w:rsid w:val="000D75DB"/>
    <w:rsid w:val="000D7A05"/>
    <w:rsid w:val="000E0AA5"/>
    <w:rsid w:val="000E1369"/>
    <w:rsid w:val="000E1782"/>
    <w:rsid w:val="000E2668"/>
    <w:rsid w:val="000E417E"/>
    <w:rsid w:val="000E46AD"/>
    <w:rsid w:val="000E4F3F"/>
    <w:rsid w:val="000E55AE"/>
    <w:rsid w:val="000E6385"/>
    <w:rsid w:val="000E7DDB"/>
    <w:rsid w:val="000F1F74"/>
    <w:rsid w:val="000F4C05"/>
    <w:rsid w:val="000F6B53"/>
    <w:rsid w:val="000F6DD5"/>
    <w:rsid w:val="00100546"/>
    <w:rsid w:val="00102622"/>
    <w:rsid w:val="00102DFC"/>
    <w:rsid w:val="0010342B"/>
    <w:rsid w:val="00104A31"/>
    <w:rsid w:val="001050CB"/>
    <w:rsid w:val="00107694"/>
    <w:rsid w:val="00111B9E"/>
    <w:rsid w:val="00113EA5"/>
    <w:rsid w:val="00113FBF"/>
    <w:rsid w:val="001168AD"/>
    <w:rsid w:val="00116D8B"/>
    <w:rsid w:val="00120F8A"/>
    <w:rsid w:val="00121470"/>
    <w:rsid w:val="00122523"/>
    <w:rsid w:val="001232C9"/>
    <w:rsid w:val="00124217"/>
    <w:rsid w:val="00126CFE"/>
    <w:rsid w:val="00130804"/>
    <w:rsid w:val="00130D1C"/>
    <w:rsid w:val="00133B9C"/>
    <w:rsid w:val="0013435C"/>
    <w:rsid w:val="00136A35"/>
    <w:rsid w:val="001370BA"/>
    <w:rsid w:val="00137668"/>
    <w:rsid w:val="00141B5E"/>
    <w:rsid w:val="00142699"/>
    <w:rsid w:val="00144429"/>
    <w:rsid w:val="00145B72"/>
    <w:rsid w:val="00147769"/>
    <w:rsid w:val="001510A6"/>
    <w:rsid w:val="00151B79"/>
    <w:rsid w:val="00153EE6"/>
    <w:rsid w:val="00154ABA"/>
    <w:rsid w:val="00155356"/>
    <w:rsid w:val="001608B6"/>
    <w:rsid w:val="001609E2"/>
    <w:rsid w:val="00161428"/>
    <w:rsid w:val="00161561"/>
    <w:rsid w:val="00161DBD"/>
    <w:rsid w:val="00164DB9"/>
    <w:rsid w:val="0016679E"/>
    <w:rsid w:val="00170604"/>
    <w:rsid w:val="0017242B"/>
    <w:rsid w:val="001748AB"/>
    <w:rsid w:val="00174FF5"/>
    <w:rsid w:val="001763A2"/>
    <w:rsid w:val="0017657F"/>
    <w:rsid w:val="001805A3"/>
    <w:rsid w:val="00180DBF"/>
    <w:rsid w:val="00181486"/>
    <w:rsid w:val="001820B1"/>
    <w:rsid w:val="0018272A"/>
    <w:rsid w:val="00182951"/>
    <w:rsid w:val="00183096"/>
    <w:rsid w:val="0018336E"/>
    <w:rsid w:val="00183D3F"/>
    <w:rsid w:val="001842EE"/>
    <w:rsid w:val="00184632"/>
    <w:rsid w:val="001846CA"/>
    <w:rsid w:val="001847FB"/>
    <w:rsid w:val="00186517"/>
    <w:rsid w:val="00186E69"/>
    <w:rsid w:val="00187BBA"/>
    <w:rsid w:val="00190082"/>
    <w:rsid w:val="00190904"/>
    <w:rsid w:val="00190D3D"/>
    <w:rsid w:val="0019156E"/>
    <w:rsid w:val="00191A66"/>
    <w:rsid w:val="00193C2C"/>
    <w:rsid w:val="001947B2"/>
    <w:rsid w:val="001A066D"/>
    <w:rsid w:val="001A3537"/>
    <w:rsid w:val="001A4887"/>
    <w:rsid w:val="001A4A32"/>
    <w:rsid w:val="001A559E"/>
    <w:rsid w:val="001A5F18"/>
    <w:rsid w:val="001B0802"/>
    <w:rsid w:val="001B19BC"/>
    <w:rsid w:val="001B2512"/>
    <w:rsid w:val="001B2977"/>
    <w:rsid w:val="001B31DE"/>
    <w:rsid w:val="001B3288"/>
    <w:rsid w:val="001B4422"/>
    <w:rsid w:val="001B595B"/>
    <w:rsid w:val="001B59AA"/>
    <w:rsid w:val="001B776E"/>
    <w:rsid w:val="001C0F58"/>
    <w:rsid w:val="001C12F7"/>
    <w:rsid w:val="001C1624"/>
    <w:rsid w:val="001C3E55"/>
    <w:rsid w:val="001C5D3D"/>
    <w:rsid w:val="001C6319"/>
    <w:rsid w:val="001C71C0"/>
    <w:rsid w:val="001D123A"/>
    <w:rsid w:val="001D158B"/>
    <w:rsid w:val="001D1E9B"/>
    <w:rsid w:val="001D56C0"/>
    <w:rsid w:val="001D5977"/>
    <w:rsid w:val="001D788F"/>
    <w:rsid w:val="001D7A2D"/>
    <w:rsid w:val="001E06D5"/>
    <w:rsid w:val="001E14CD"/>
    <w:rsid w:val="001E25D1"/>
    <w:rsid w:val="001E470A"/>
    <w:rsid w:val="001E4AD1"/>
    <w:rsid w:val="001E564A"/>
    <w:rsid w:val="001E5701"/>
    <w:rsid w:val="001E6442"/>
    <w:rsid w:val="001E6F88"/>
    <w:rsid w:val="001E6FC3"/>
    <w:rsid w:val="001E7B72"/>
    <w:rsid w:val="001F0654"/>
    <w:rsid w:val="001F1FD7"/>
    <w:rsid w:val="001F2498"/>
    <w:rsid w:val="001F346F"/>
    <w:rsid w:val="001F3D83"/>
    <w:rsid w:val="001F5217"/>
    <w:rsid w:val="001F595B"/>
    <w:rsid w:val="001F65BF"/>
    <w:rsid w:val="00200262"/>
    <w:rsid w:val="002025DC"/>
    <w:rsid w:val="002048BD"/>
    <w:rsid w:val="0021277C"/>
    <w:rsid w:val="00214796"/>
    <w:rsid w:val="00215699"/>
    <w:rsid w:val="00216645"/>
    <w:rsid w:val="00217006"/>
    <w:rsid w:val="00221AAE"/>
    <w:rsid w:val="00221C58"/>
    <w:rsid w:val="002220FF"/>
    <w:rsid w:val="002224EE"/>
    <w:rsid w:val="00225A08"/>
    <w:rsid w:val="002300BF"/>
    <w:rsid w:val="002322C9"/>
    <w:rsid w:val="00234867"/>
    <w:rsid w:val="00235263"/>
    <w:rsid w:val="00235885"/>
    <w:rsid w:val="002408C8"/>
    <w:rsid w:val="00242FCD"/>
    <w:rsid w:val="002461B4"/>
    <w:rsid w:val="002467BE"/>
    <w:rsid w:val="00247B0D"/>
    <w:rsid w:val="0025003E"/>
    <w:rsid w:val="00251A91"/>
    <w:rsid w:val="00251D9B"/>
    <w:rsid w:val="00252B0F"/>
    <w:rsid w:val="00253364"/>
    <w:rsid w:val="00253A97"/>
    <w:rsid w:val="00253B02"/>
    <w:rsid w:val="0025403B"/>
    <w:rsid w:val="002568F6"/>
    <w:rsid w:val="002572C6"/>
    <w:rsid w:val="0026048B"/>
    <w:rsid w:val="002605BE"/>
    <w:rsid w:val="00260C7B"/>
    <w:rsid w:val="0026532D"/>
    <w:rsid w:val="00265602"/>
    <w:rsid w:val="002660CE"/>
    <w:rsid w:val="002664FC"/>
    <w:rsid w:val="0026705E"/>
    <w:rsid w:val="002719FF"/>
    <w:rsid w:val="002735A1"/>
    <w:rsid w:val="002747C7"/>
    <w:rsid w:val="0027617E"/>
    <w:rsid w:val="00276C3B"/>
    <w:rsid w:val="00281559"/>
    <w:rsid w:val="00282942"/>
    <w:rsid w:val="00295AB1"/>
    <w:rsid w:val="00295CC2"/>
    <w:rsid w:val="00295E59"/>
    <w:rsid w:val="0029665A"/>
    <w:rsid w:val="00296BC5"/>
    <w:rsid w:val="00297BB4"/>
    <w:rsid w:val="002A0E82"/>
    <w:rsid w:val="002A19DC"/>
    <w:rsid w:val="002A60AA"/>
    <w:rsid w:val="002A6A13"/>
    <w:rsid w:val="002A6F82"/>
    <w:rsid w:val="002A76A2"/>
    <w:rsid w:val="002B3415"/>
    <w:rsid w:val="002B5132"/>
    <w:rsid w:val="002B620D"/>
    <w:rsid w:val="002B650E"/>
    <w:rsid w:val="002C0668"/>
    <w:rsid w:val="002C4A24"/>
    <w:rsid w:val="002C657E"/>
    <w:rsid w:val="002C6801"/>
    <w:rsid w:val="002C6D98"/>
    <w:rsid w:val="002D0E4C"/>
    <w:rsid w:val="002D1502"/>
    <w:rsid w:val="002D1B92"/>
    <w:rsid w:val="002D4580"/>
    <w:rsid w:val="002D5DA1"/>
    <w:rsid w:val="002D6FA0"/>
    <w:rsid w:val="002D701D"/>
    <w:rsid w:val="002E1421"/>
    <w:rsid w:val="002E1564"/>
    <w:rsid w:val="002E2104"/>
    <w:rsid w:val="002E50B7"/>
    <w:rsid w:val="002E723F"/>
    <w:rsid w:val="002F10E3"/>
    <w:rsid w:val="002F123E"/>
    <w:rsid w:val="002F269F"/>
    <w:rsid w:val="002F3304"/>
    <w:rsid w:val="002F3EE6"/>
    <w:rsid w:val="002F65A6"/>
    <w:rsid w:val="002F684C"/>
    <w:rsid w:val="002F7277"/>
    <w:rsid w:val="002F73F5"/>
    <w:rsid w:val="003008EE"/>
    <w:rsid w:val="00301718"/>
    <w:rsid w:val="00301906"/>
    <w:rsid w:val="00301D0B"/>
    <w:rsid w:val="0030249A"/>
    <w:rsid w:val="00304640"/>
    <w:rsid w:val="00305161"/>
    <w:rsid w:val="003051F2"/>
    <w:rsid w:val="00305E16"/>
    <w:rsid w:val="00306D53"/>
    <w:rsid w:val="00307063"/>
    <w:rsid w:val="00312ADA"/>
    <w:rsid w:val="00314B42"/>
    <w:rsid w:val="00314FE7"/>
    <w:rsid w:val="00315530"/>
    <w:rsid w:val="00315A8D"/>
    <w:rsid w:val="0031627F"/>
    <w:rsid w:val="003173F6"/>
    <w:rsid w:val="003175B7"/>
    <w:rsid w:val="00317974"/>
    <w:rsid w:val="003203AD"/>
    <w:rsid w:val="003205D4"/>
    <w:rsid w:val="0032288F"/>
    <w:rsid w:val="00323C82"/>
    <w:rsid w:val="00324419"/>
    <w:rsid w:val="00324544"/>
    <w:rsid w:val="00324A7A"/>
    <w:rsid w:val="00324AF5"/>
    <w:rsid w:val="003257DF"/>
    <w:rsid w:val="00326798"/>
    <w:rsid w:val="00326C2B"/>
    <w:rsid w:val="003303D0"/>
    <w:rsid w:val="0033043A"/>
    <w:rsid w:val="00330B71"/>
    <w:rsid w:val="00331330"/>
    <w:rsid w:val="00331EBD"/>
    <w:rsid w:val="0033216D"/>
    <w:rsid w:val="00332543"/>
    <w:rsid w:val="00333D86"/>
    <w:rsid w:val="0033410B"/>
    <w:rsid w:val="00337023"/>
    <w:rsid w:val="003374AC"/>
    <w:rsid w:val="00337A66"/>
    <w:rsid w:val="00340151"/>
    <w:rsid w:val="00340CC2"/>
    <w:rsid w:val="0034161E"/>
    <w:rsid w:val="00342042"/>
    <w:rsid w:val="00343AEB"/>
    <w:rsid w:val="00343E2F"/>
    <w:rsid w:val="0034413A"/>
    <w:rsid w:val="00344548"/>
    <w:rsid w:val="003445B9"/>
    <w:rsid w:val="003446FA"/>
    <w:rsid w:val="0034548E"/>
    <w:rsid w:val="0034582D"/>
    <w:rsid w:val="003458CC"/>
    <w:rsid w:val="00345FE2"/>
    <w:rsid w:val="0035013F"/>
    <w:rsid w:val="003505FA"/>
    <w:rsid w:val="00350F2E"/>
    <w:rsid w:val="00352842"/>
    <w:rsid w:val="00353833"/>
    <w:rsid w:val="003539DF"/>
    <w:rsid w:val="00353D89"/>
    <w:rsid w:val="0035557D"/>
    <w:rsid w:val="0035625A"/>
    <w:rsid w:val="0035715B"/>
    <w:rsid w:val="00357225"/>
    <w:rsid w:val="0035756F"/>
    <w:rsid w:val="0036031C"/>
    <w:rsid w:val="00360E37"/>
    <w:rsid w:val="00360EA6"/>
    <w:rsid w:val="00361A4A"/>
    <w:rsid w:val="00363760"/>
    <w:rsid w:val="00363FD7"/>
    <w:rsid w:val="00365190"/>
    <w:rsid w:val="00365923"/>
    <w:rsid w:val="00366041"/>
    <w:rsid w:val="00366AD8"/>
    <w:rsid w:val="00367B3C"/>
    <w:rsid w:val="00370214"/>
    <w:rsid w:val="003719CB"/>
    <w:rsid w:val="00373919"/>
    <w:rsid w:val="00375523"/>
    <w:rsid w:val="00376669"/>
    <w:rsid w:val="00377425"/>
    <w:rsid w:val="003774BC"/>
    <w:rsid w:val="00377719"/>
    <w:rsid w:val="00377926"/>
    <w:rsid w:val="00377B01"/>
    <w:rsid w:val="0038088E"/>
    <w:rsid w:val="003808C5"/>
    <w:rsid w:val="00383742"/>
    <w:rsid w:val="00384EF3"/>
    <w:rsid w:val="003869BD"/>
    <w:rsid w:val="003879E0"/>
    <w:rsid w:val="00387E6B"/>
    <w:rsid w:val="0039075A"/>
    <w:rsid w:val="003907EC"/>
    <w:rsid w:val="00390A8E"/>
    <w:rsid w:val="00390DD2"/>
    <w:rsid w:val="0039190F"/>
    <w:rsid w:val="00394960"/>
    <w:rsid w:val="00394F6F"/>
    <w:rsid w:val="00395B70"/>
    <w:rsid w:val="003965E1"/>
    <w:rsid w:val="0039754D"/>
    <w:rsid w:val="003A11E1"/>
    <w:rsid w:val="003A1CC2"/>
    <w:rsid w:val="003A2DCC"/>
    <w:rsid w:val="003A487D"/>
    <w:rsid w:val="003A5650"/>
    <w:rsid w:val="003A644E"/>
    <w:rsid w:val="003A6891"/>
    <w:rsid w:val="003A6D67"/>
    <w:rsid w:val="003A75B3"/>
    <w:rsid w:val="003A7721"/>
    <w:rsid w:val="003A78D5"/>
    <w:rsid w:val="003B084E"/>
    <w:rsid w:val="003B32BE"/>
    <w:rsid w:val="003B4654"/>
    <w:rsid w:val="003B4669"/>
    <w:rsid w:val="003B4B09"/>
    <w:rsid w:val="003B5412"/>
    <w:rsid w:val="003B6162"/>
    <w:rsid w:val="003B6528"/>
    <w:rsid w:val="003C2A21"/>
    <w:rsid w:val="003C3138"/>
    <w:rsid w:val="003C4A09"/>
    <w:rsid w:val="003C4C59"/>
    <w:rsid w:val="003C6051"/>
    <w:rsid w:val="003D00A1"/>
    <w:rsid w:val="003D04C2"/>
    <w:rsid w:val="003D06D5"/>
    <w:rsid w:val="003D1131"/>
    <w:rsid w:val="003D2053"/>
    <w:rsid w:val="003D419D"/>
    <w:rsid w:val="003E2105"/>
    <w:rsid w:val="003E2846"/>
    <w:rsid w:val="003E5041"/>
    <w:rsid w:val="003E5073"/>
    <w:rsid w:val="003E551E"/>
    <w:rsid w:val="003E7592"/>
    <w:rsid w:val="003E7803"/>
    <w:rsid w:val="003E7BB5"/>
    <w:rsid w:val="003F1411"/>
    <w:rsid w:val="003F151F"/>
    <w:rsid w:val="003F287A"/>
    <w:rsid w:val="003F3442"/>
    <w:rsid w:val="003F3F89"/>
    <w:rsid w:val="003F421C"/>
    <w:rsid w:val="004002AD"/>
    <w:rsid w:val="0040036D"/>
    <w:rsid w:val="0040040C"/>
    <w:rsid w:val="00401031"/>
    <w:rsid w:val="00403D20"/>
    <w:rsid w:val="004051DD"/>
    <w:rsid w:val="004062F2"/>
    <w:rsid w:val="00407643"/>
    <w:rsid w:val="00410264"/>
    <w:rsid w:val="0041090F"/>
    <w:rsid w:val="0041159B"/>
    <w:rsid w:val="00411B7B"/>
    <w:rsid w:val="00413BCD"/>
    <w:rsid w:val="00414EB4"/>
    <w:rsid w:val="00415393"/>
    <w:rsid w:val="0041562A"/>
    <w:rsid w:val="00415DBD"/>
    <w:rsid w:val="00416100"/>
    <w:rsid w:val="00416160"/>
    <w:rsid w:val="00417E6F"/>
    <w:rsid w:val="00420F96"/>
    <w:rsid w:val="00422728"/>
    <w:rsid w:val="00422A02"/>
    <w:rsid w:val="00422AB7"/>
    <w:rsid w:val="00422C92"/>
    <w:rsid w:val="00422CF7"/>
    <w:rsid w:val="004230F9"/>
    <w:rsid w:val="00423D1C"/>
    <w:rsid w:val="00424FB6"/>
    <w:rsid w:val="004253F0"/>
    <w:rsid w:val="00425590"/>
    <w:rsid w:val="0042692E"/>
    <w:rsid w:val="00427EA8"/>
    <w:rsid w:val="00430402"/>
    <w:rsid w:val="004309D8"/>
    <w:rsid w:val="00430C17"/>
    <w:rsid w:val="0043198B"/>
    <w:rsid w:val="0043250B"/>
    <w:rsid w:val="00432688"/>
    <w:rsid w:val="00432AF7"/>
    <w:rsid w:val="00433C71"/>
    <w:rsid w:val="00434C01"/>
    <w:rsid w:val="00434D91"/>
    <w:rsid w:val="00434FFA"/>
    <w:rsid w:val="00436428"/>
    <w:rsid w:val="0044110E"/>
    <w:rsid w:val="00441446"/>
    <w:rsid w:val="004425AC"/>
    <w:rsid w:val="00442C43"/>
    <w:rsid w:val="00442D15"/>
    <w:rsid w:val="0044366A"/>
    <w:rsid w:val="00443C43"/>
    <w:rsid w:val="00443EDE"/>
    <w:rsid w:val="00444834"/>
    <w:rsid w:val="00445110"/>
    <w:rsid w:val="00446336"/>
    <w:rsid w:val="004504A7"/>
    <w:rsid w:val="0045236C"/>
    <w:rsid w:val="00452C3B"/>
    <w:rsid w:val="004534E5"/>
    <w:rsid w:val="00453734"/>
    <w:rsid w:val="00454778"/>
    <w:rsid w:val="00454D4E"/>
    <w:rsid w:val="004550E9"/>
    <w:rsid w:val="004566CD"/>
    <w:rsid w:val="00456A2B"/>
    <w:rsid w:val="00457F3A"/>
    <w:rsid w:val="00460AFC"/>
    <w:rsid w:val="00461BC8"/>
    <w:rsid w:val="00462137"/>
    <w:rsid w:val="00462F71"/>
    <w:rsid w:val="00463D34"/>
    <w:rsid w:val="0046458D"/>
    <w:rsid w:val="00464B71"/>
    <w:rsid w:val="00464C80"/>
    <w:rsid w:val="00465C03"/>
    <w:rsid w:val="00471A7B"/>
    <w:rsid w:val="0047241E"/>
    <w:rsid w:val="004727D6"/>
    <w:rsid w:val="00477579"/>
    <w:rsid w:val="00477D17"/>
    <w:rsid w:val="00477E5C"/>
    <w:rsid w:val="00482192"/>
    <w:rsid w:val="004835CA"/>
    <w:rsid w:val="004864B7"/>
    <w:rsid w:val="00487433"/>
    <w:rsid w:val="00487D87"/>
    <w:rsid w:val="00490867"/>
    <w:rsid w:val="00490DA3"/>
    <w:rsid w:val="004912AE"/>
    <w:rsid w:val="00492384"/>
    <w:rsid w:val="00492E8C"/>
    <w:rsid w:val="004931BF"/>
    <w:rsid w:val="0049443B"/>
    <w:rsid w:val="00494632"/>
    <w:rsid w:val="004A0338"/>
    <w:rsid w:val="004A0DA2"/>
    <w:rsid w:val="004A34D6"/>
    <w:rsid w:val="004A4CA1"/>
    <w:rsid w:val="004A5228"/>
    <w:rsid w:val="004A594D"/>
    <w:rsid w:val="004A7E7E"/>
    <w:rsid w:val="004B0D1B"/>
    <w:rsid w:val="004B18A4"/>
    <w:rsid w:val="004B1C38"/>
    <w:rsid w:val="004B5C4E"/>
    <w:rsid w:val="004B5E30"/>
    <w:rsid w:val="004B7A4F"/>
    <w:rsid w:val="004B7D2B"/>
    <w:rsid w:val="004C0AEF"/>
    <w:rsid w:val="004C174A"/>
    <w:rsid w:val="004C2CF6"/>
    <w:rsid w:val="004C3E42"/>
    <w:rsid w:val="004C5270"/>
    <w:rsid w:val="004C656E"/>
    <w:rsid w:val="004C7286"/>
    <w:rsid w:val="004C7E5C"/>
    <w:rsid w:val="004D0642"/>
    <w:rsid w:val="004D072A"/>
    <w:rsid w:val="004D202F"/>
    <w:rsid w:val="004D3E20"/>
    <w:rsid w:val="004D509B"/>
    <w:rsid w:val="004D5890"/>
    <w:rsid w:val="004D60EA"/>
    <w:rsid w:val="004D621B"/>
    <w:rsid w:val="004E0D9B"/>
    <w:rsid w:val="004E16EE"/>
    <w:rsid w:val="004E1EFC"/>
    <w:rsid w:val="004E2204"/>
    <w:rsid w:val="004E553F"/>
    <w:rsid w:val="004E6972"/>
    <w:rsid w:val="004E6B84"/>
    <w:rsid w:val="004F0F4B"/>
    <w:rsid w:val="004F1196"/>
    <w:rsid w:val="004F130C"/>
    <w:rsid w:val="004F34E1"/>
    <w:rsid w:val="004F4680"/>
    <w:rsid w:val="004F61FC"/>
    <w:rsid w:val="004F738A"/>
    <w:rsid w:val="004F7A08"/>
    <w:rsid w:val="00500790"/>
    <w:rsid w:val="005011AB"/>
    <w:rsid w:val="00503854"/>
    <w:rsid w:val="00503954"/>
    <w:rsid w:val="005048E5"/>
    <w:rsid w:val="00506AD2"/>
    <w:rsid w:val="00507F39"/>
    <w:rsid w:val="005102A9"/>
    <w:rsid w:val="00510650"/>
    <w:rsid w:val="0051068B"/>
    <w:rsid w:val="005119FB"/>
    <w:rsid w:val="00512CD4"/>
    <w:rsid w:val="005152EB"/>
    <w:rsid w:val="00515A70"/>
    <w:rsid w:val="00515DEB"/>
    <w:rsid w:val="00516083"/>
    <w:rsid w:val="00516ACB"/>
    <w:rsid w:val="005222B8"/>
    <w:rsid w:val="0052399C"/>
    <w:rsid w:val="00524087"/>
    <w:rsid w:val="00524111"/>
    <w:rsid w:val="00525FB7"/>
    <w:rsid w:val="0052683D"/>
    <w:rsid w:val="0052716F"/>
    <w:rsid w:val="00532187"/>
    <w:rsid w:val="00532B10"/>
    <w:rsid w:val="005333A4"/>
    <w:rsid w:val="00534EEE"/>
    <w:rsid w:val="0053526A"/>
    <w:rsid w:val="00535670"/>
    <w:rsid w:val="005358F4"/>
    <w:rsid w:val="0053648B"/>
    <w:rsid w:val="00537425"/>
    <w:rsid w:val="00542796"/>
    <w:rsid w:val="00542BD1"/>
    <w:rsid w:val="00544C2E"/>
    <w:rsid w:val="00545F64"/>
    <w:rsid w:val="00546CC7"/>
    <w:rsid w:val="00547094"/>
    <w:rsid w:val="0054726C"/>
    <w:rsid w:val="005513A9"/>
    <w:rsid w:val="005519EF"/>
    <w:rsid w:val="005528DE"/>
    <w:rsid w:val="00553463"/>
    <w:rsid w:val="00555BAC"/>
    <w:rsid w:val="00555DBF"/>
    <w:rsid w:val="00556456"/>
    <w:rsid w:val="00557C25"/>
    <w:rsid w:val="005617FD"/>
    <w:rsid w:val="00561992"/>
    <w:rsid w:val="005622E5"/>
    <w:rsid w:val="00562D37"/>
    <w:rsid w:val="00563D67"/>
    <w:rsid w:val="00566EAC"/>
    <w:rsid w:val="00573DB3"/>
    <w:rsid w:val="00573F3C"/>
    <w:rsid w:val="00574548"/>
    <w:rsid w:val="00574A15"/>
    <w:rsid w:val="00581A54"/>
    <w:rsid w:val="005829AC"/>
    <w:rsid w:val="005834E1"/>
    <w:rsid w:val="00583ADC"/>
    <w:rsid w:val="0058678A"/>
    <w:rsid w:val="00586C6C"/>
    <w:rsid w:val="005876DA"/>
    <w:rsid w:val="00587F1A"/>
    <w:rsid w:val="00592F68"/>
    <w:rsid w:val="005956ED"/>
    <w:rsid w:val="005957B7"/>
    <w:rsid w:val="00597DE4"/>
    <w:rsid w:val="00597ED3"/>
    <w:rsid w:val="005A0E7C"/>
    <w:rsid w:val="005A4A51"/>
    <w:rsid w:val="005A4DC4"/>
    <w:rsid w:val="005A5552"/>
    <w:rsid w:val="005A5E68"/>
    <w:rsid w:val="005A6440"/>
    <w:rsid w:val="005A6DEA"/>
    <w:rsid w:val="005A79C3"/>
    <w:rsid w:val="005A7AB0"/>
    <w:rsid w:val="005A7CA0"/>
    <w:rsid w:val="005A7CD6"/>
    <w:rsid w:val="005B50D0"/>
    <w:rsid w:val="005B5E20"/>
    <w:rsid w:val="005B7369"/>
    <w:rsid w:val="005B7E0D"/>
    <w:rsid w:val="005C1198"/>
    <w:rsid w:val="005C1538"/>
    <w:rsid w:val="005C16FD"/>
    <w:rsid w:val="005C1A8D"/>
    <w:rsid w:val="005C40B9"/>
    <w:rsid w:val="005C4F9B"/>
    <w:rsid w:val="005C6373"/>
    <w:rsid w:val="005D22C2"/>
    <w:rsid w:val="005D24C1"/>
    <w:rsid w:val="005D2F35"/>
    <w:rsid w:val="005D470E"/>
    <w:rsid w:val="005D4883"/>
    <w:rsid w:val="005D5E9A"/>
    <w:rsid w:val="005E04F3"/>
    <w:rsid w:val="005E10F8"/>
    <w:rsid w:val="005E1D3B"/>
    <w:rsid w:val="005E3B33"/>
    <w:rsid w:val="005E44A3"/>
    <w:rsid w:val="005E49BF"/>
    <w:rsid w:val="005E51FA"/>
    <w:rsid w:val="005E5A15"/>
    <w:rsid w:val="005E5CEF"/>
    <w:rsid w:val="005E620B"/>
    <w:rsid w:val="005E6766"/>
    <w:rsid w:val="005F20BA"/>
    <w:rsid w:val="005F2D0E"/>
    <w:rsid w:val="005F450B"/>
    <w:rsid w:val="005F51CC"/>
    <w:rsid w:val="005F60EB"/>
    <w:rsid w:val="005F68B1"/>
    <w:rsid w:val="00603008"/>
    <w:rsid w:val="00604316"/>
    <w:rsid w:val="00604D0A"/>
    <w:rsid w:val="0060622E"/>
    <w:rsid w:val="00606369"/>
    <w:rsid w:val="00607D4B"/>
    <w:rsid w:val="006115A1"/>
    <w:rsid w:val="00613274"/>
    <w:rsid w:val="00613AE6"/>
    <w:rsid w:val="0061539F"/>
    <w:rsid w:val="00617819"/>
    <w:rsid w:val="00620D9B"/>
    <w:rsid w:val="00620DB6"/>
    <w:rsid w:val="0062102C"/>
    <w:rsid w:val="0062286B"/>
    <w:rsid w:val="00622A53"/>
    <w:rsid w:val="00625700"/>
    <w:rsid w:val="00625EEA"/>
    <w:rsid w:val="00626288"/>
    <w:rsid w:val="006265E6"/>
    <w:rsid w:val="00626A23"/>
    <w:rsid w:val="00627449"/>
    <w:rsid w:val="00627EE9"/>
    <w:rsid w:val="006303E9"/>
    <w:rsid w:val="006319B9"/>
    <w:rsid w:val="00632892"/>
    <w:rsid w:val="006331EC"/>
    <w:rsid w:val="006343BD"/>
    <w:rsid w:val="0063476C"/>
    <w:rsid w:val="00635A19"/>
    <w:rsid w:val="006363E0"/>
    <w:rsid w:val="00636F8A"/>
    <w:rsid w:val="00637406"/>
    <w:rsid w:val="00640067"/>
    <w:rsid w:val="0064009F"/>
    <w:rsid w:val="00641026"/>
    <w:rsid w:val="00642A85"/>
    <w:rsid w:val="00646A94"/>
    <w:rsid w:val="00646B6D"/>
    <w:rsid w:val="00646E43"/>
    <w:rsid w:val="00651BEC"/>
    <w:rsid w:val="00651D02"/>
    <w:rsid w:val="0065261A"/>
    <w:rsid w:val="00652E76"/>
    <w:rsid w:val="00653121"/>
    <w:rsid w:val="00655A61"/>
    <w:rsid w:val="00655C50"/>
    <w:rsid w:val="00656641"/>
    <w:rsid w:val="00660B9E"/>
    <w:rsid w:val="00660D15"/>
    <w:rsid w:val="0066250D"/>
    <w:rsid w:val="006637B3"/>
    <w:rsid w:val="00664111"/>
    <w:rsid w:val="006642AD"/>
    <w:rsid w:val="006646E5"/>
    <w:rsid w:val="00666824"/>
    <w:rsid w:val="00667581"/>
    <w:rsid w:val="006720E5"/>
    <w:rsid w:val="006726E0"/>
    <w:rsid w:val="00672DC9"/>
    <w:rsid w:val="00674C4D"/>
    <w:rsid w:val="0067510C"/>
    <w:rsid w:val="0067629A"/>
    <w:rsid w:val="00682562"/>
    <w:rsid w:val="00686DD3"/>
    <w:rsid w:val="00691F24"/>
    <w:rsid w:val="00694383"/>
    <w:rsid w:val="00694582"/>
    <w:rsid w:val="00694E2E"/>
    <w:rsid w:val="006959B8"/>
    <w:rsid w:val="00696DA8"/>
    <w:rsid w:val="00697057"/>
    <w:rsid w:val="006A0384"/>
    <w:rsid w:val="006A0C2E"/>
    <w:rsid w:val="006A10A1"/>
    <w:rsid w:val="006A3BF6"/>
    <w:rsid w:val="006A503A"/>
    <w:rsid w:val="006A59F8"/>
    <w:rsid w:val="006A6277"/>
    <w:rsid w:val="006A753E"/>
    <w:rsid w:val="006B05F8"/>
    <w:rsid w:val="006B0942"/>
    <w:rsid w:val="006B0CC7"/>
    <w:rsid w:val="006B18C2"/>
    <w:rsid w:val="006B52A4"/>
    <w:rsid w:val="006B6C72"/>
    <w:rsid w:val="006B7458"/>
    <w:rsid w:val="006C3E04"/>
    <w:rsid w:val="006C539E"/>
    <w:rsid w:val="006C5CAD"/>
    <w:rsid w:val="006C602E"/>
    <w:rsid w:val="006C63D0"/>
    <w:rsid w:val="006C7896"/>
    <w:rsid w:val="006C7C89"/>
    <w:rsid w:val="006D0682"/>
    <w:rsid w:val="006D0A5D"/>
    <w:rsid w:val="006D3714"/>
    <w:rsid w:val="006D3DDD"/>
    <w:rsid w:val="006D511A"/>
    <w:rsid w:val="006D5DC5"/>
    <w:rsid w:val="006D6593"/>
    <w:rsid w:val="006E117C"/>
    <w:rsid w:val="006E3049"/>
    <w:rsid w:val="006E32F6"/>
    <w:rsid w:val="006E3B0F"/>
    <w:rsid w:val="006E5487"/>
    <w:rsid w:val="006E5816"/>
    <w:rsid w:val="006E6C7B"/>
    <w:rsid w:val="006E7FCE"/>
    <w:rsid w:val="006F2CF4"/>
    <w:rsid w:val="006F338C"/>
    <w:rsid w:val="006F3EB9"/>
    <w:rsid w:val="006F430C"/>
    <w:rsid w:val="006F570B"/>
    <w:rsid w:val="006F65AA"/>
    <w:rsid w:val="006F6E09"/>
    <w:rsid w:val="006F799E"/>
    <w:rsid w:val="006F7AAF"/>
    <w:rsid w:val="00701B19"/>
    <w:rsid w:val="00702AC0"/>
    <w:rsid w:val="007039F9"/>
    <w:rsid w:val="00704CD0"/>
    <w:rsid w:val="00705246"/>
    <w:rsid w:val="007070FF"/>
    <w:rsid w:val="00707AC7"/>
    <w:rsid w:val="00707B83"/>
    <w:rsid w:val="007120DA"/>
    <w:rsid w:val="00714492"/>
    <w:rsid w:val="007171BC"/>
    <w:rsid w:val="00717373"/>
    <w:rsid w:val="007176D2"/>
    <w:rsid w:val="00717F2C"/>
    <w:rsid w:val="00720555"/>
    <w:rsid w:val="0072069B"/>
    <w:rsid w:val="007216DD"/>
    <w:rsid w:val="00722E3D"/>
    <w:rsid w:val="00722F8A"/>
    <w:rsid w:val="00723D98"/>
    <w:rsid w:val="0072423B"/>
    <w:rsid w:val="00724E93"/>
    <w:rsid w:val="007269E4"/>
    <w:rsid w:val="00733116"/>
    <w:rsid w:val="007336EF"/>
    <w:rsid w:val="007341E5"/>
    <w:rsid w:val="00735282"/>
    <w:rsid w:val="00735B7A"/>
    <w:rsid w:val="00736853"/>
    <w:rsid w:val="00736CFB"/>
    <w:rsid w:val="00737AF2"/>
    <w:rsid w:val="00737C11"/>
    <w:rsid w:val="0074047A"/>
    <w:rsid w:val="00742059"/>
    <w:rsid w:val="007447BF"/>
    <w:rsid w:val="00745B16"/>
    <w:rsid w:val="00746095"/>
    <w:rsid w:val="00746906"/>
    <w:rsid w:val="00746F0C"/>
    <w:rsid w:val="00747193"/>
    <w:rsid w:val="007502F7"/>
    <w:rsid w:val="00751DE5"/>
    <w:rsid w:val="007539AF"/>
    <w:rsid w:val="00753F64"/>
    <w:rsid w:val="00754551"/>
    <w:rsid w:val="00754C28"/>
    <w:rsid w:val="00756158"/>
    <w:rsid w:val="0075679C"/>
    <w:rsid w:val="007574E9"/>
    <w:rsid w:val="0076132D"/>
    <w:rsid w:val="007646C6"/>
    <w:rsid w:val="007647FC"/>
    <w:rsid w:val="00771D5C"/>
    <w:rsid w:val="007725A8"/>
    <w:rsid w:val="00772704"/>
    <w:rsid w:val="007731CD"/>
    <w:rsid w:val="00773932"/>
    <w:rsid w:val="00774B5A"/>
    <w:rsid w:val="00775C98"/>
    <w:rsid w:val="00776D48"/>
    <w:rsid w:val="007802AF"/>
    <w:rsid w:val="007807E9"/>
    <w:rsid w:val="00780F71"/>
    <w:rsid w:val="00781059"/>
    <w:rsid w:val="0078215A"/>
    <w:rsid w:val="007828C8"/>
    <w:rsid w:val="00782AF2"/>
    <w:rsid w:val="00782B97"/>
    <w:rsid w:val="007852F4"/>
    <w:rsid w:val="00785318"/>
    <w:rsid w:val="00786239"/>
    <w:rsid w:val="00786A1F"/>
    <w:rsid w:val="0078738D"/>
    <w:rsid w:val="00787F79"/>
    <w:rsid w:val="00790328"/>
    <w:rsid w:val="00791821"/>
    <w:rsid w:val="00792D51"/>
    <w:rsid w:val="0079407E"/>
    <w:rsid w:val="00794608"/>
    <w:rsid w:val="00794987"/>
    <w:rsid w:val="00794A99"/>
    <w:rsid w:val="00795922"/>
    <w:rsid w:val="00796B4B"/>
    <w:rsid w:val="00797984"/>
    <w:rsid w:val="007A0883"/>
    <w:rsid w:val="007A3617"/>
    <w:rsid w:val="007A4F59"/>
    <w:rsid w:val="007A7701"/>
    <w:rsid w:val="007A7D67"/>
    <w:rsid w:val="007B0B8B"/>
    <w:rsid w:val="007B0E95"/>
    <w:rsid w:val="007B1A69"/>
    <w:rsid w:val="007B20CE"/>
    <w:rsid w:val="007B4FEF"/>
    <w:rsid w:val="007B5486"/>
    <w:rsid w:val="007B5A19"/>
    <w:rsid w:val="007C083B"/>
    <w:rsid w:val="007C16C5"/>
    <w:rsid w:val="007C2397"/>
    <w:rsid w:val="007C5BF2"/>
    <w:rsid w:val="007C6382"/>
    <w:rsid w:val="007D049B"/>
    <w:rsid w:val="007D0992"/>
    <w:rsid w:val="007D1306"/>
    <w:rsid w:val="007D241D"/>
    <w:rsid w:val="007D4DAB"/>
    <w:rsid w:val="007D4E73"/>
    <w:rsid w:val="007D70BC"/>
    <w:rsid w:val="007E0B16"/>
    <w:rsid w:val="007E0E2D"/>
    <w:rsid w:val="007E2217"/>
    <w:rsid w:val="007E38D2"/>
    <w:rsid w:val="007E45C0"/>
    <w:rsid w:val="007E5B5C"/>
    <w:rsid w:val="007E5C90"/>
    <w:rsid w:val="007E7977"/>
    <w:rsid w:val="007F138E"/>
    <w:rsid w:val="007F4718"/>
    <w:rsid w:val="007F6BD4"/>
    <w:rsid w:val="007F7745"/>
    <w:rsid w:val="007F7AEF"/>
    <w:rsid w:val="00801118"/>
    <w:rsid w:val="008044CF"/>
    <w:rsid w:val="00804A64"/>
    <w:rsid w:val="0080538E"/>
    <w:rsid w:val="00805872"/>
    <w:rsid w:val="00807CA8"/>
    <w:rsid w:val="00810BBC"/>
    <w:rsid w:val="00810EFD"/>
    <w:rsid w:val="00812F8C"/>
    <w:rsid w:val="008132FF"/>
    <w:rsid w:val="0081443B"/>
    <w:rsid w:val="00814E79"/>
    <w:rsid w:val="0081607F"/>
    <w:rsid w:val="00817FA0"/>
    <w:rsid w:val="00820FB5"/>
    <w:rsid w:val="00821613"/>
    <w:rsid w:val="00822669"/>
    <w:rsid w:val="00823056"/>
    <w:rsid w:val="008233E9"/>
    <w:rsid w:val="00823520"/>
    <w:rsid w:val="00824475"/>
    <w:rsid w:val="008246C6"/>
    <w:rsid w:val="00824F15"/>
    <w:rsid w:val="00825A8E"/>
    <w:rsid w:val="00826A3B"/>
    <w:rsid w:val="00827D21"/>
    <w:rsid w:val="00827E7B"/>
    <w:rsid w:val="008309FA"/>
    <w:rsid w:val="00830D81"/>
    <w:rsid w:val="00831260"/>
    <w:rsid w:val="00831B7C"/>
    <w:rsid w:val="008327F4"/>
    <w:rsid w:val="008328C2"/>
    <w:rsid w:val="00833E51"/>
    <w:rsid w:val="008343C8"/>
    <w:rsid w:val="00834B65"/>
    <w:rsid w:val="00834EDF"/>
    <w:rsid w:val="008353BC"/>
    <w:rsid w:val="00835772"/>
    <w:rsid w:val="0083738C"/>
    <w:rsid w:val="00844B02"/>
    <w:rsid w:val="008456E6"/>
    <w:rsid w:val="00850E7E"/>
    <w:rsid w:val="00850E8D"/>
    <w:rsid w:val="00851549"/>
    <w:rsid w:val="008521C3"/>
    <w:rsid w:val="00853136"/>
    <w:rsid w:val="00853873"/>
    <w:rsid w:val="008546A3"/>
    <w:rsid w:val="00854CFE"/>
    <w:rsid w:val="008561E6"/>
    <w:rsid w:val="00857CF3"/>
    <w:rsid w:val="0086024E"/>
    <w:rsid w:val="00860317"/>
    <w:rsid w:val="0086106F"/>
    <w:rsid w:val="00861542"/>
    <w:rsid w:val="00861AFA"/>
    <w:rsid w:val="0086204B"/>
    <w:rsid w:val="008642FE"/>
    <w:rsid w:val="008654E9"/>
    <w:rsid w:val="00867290"/>
    <w:rsid w:val="00870E38"/>
    <w:rsid w:val="00870FC0"/>
    <w:rsid w:val="008718CE"/>
    <w:rsid w:val="00871F58"/>
    <w:rsid w:val="00872E99"/>
    <w:rsid w:val="008739C7"/>
    <w:rsid w:val="0087401B"/>
    <w:rsid w:val="00875403"/>
    <w:rsid w:val="00880124"/>
    <w:rsid w:val="00880341"/>
    <w:rsid w:val="0088101E"/>
    <w:rsid w:val="0088185B"/>
    <w:rsid w:val="00881EB7"/>
    <w:rsid w:val="00883177"/>
    <w:rsid w:val="00885380"/>
    <w:rsid w:val="00886694"/>
    <w:rsid w:val="00887739"/>
    <w:rsid w:val="00891868"/>
    <w:rsid w:val="008919BF"/>
    <w:rsid w:val="00892B13"/>
    <w:rsid w:val="00892EE4"/>
    <w:rsid w:val="0089378A"/>
    <w:rsid w:val="00896023"/>
    <w:rsid w:val="008963F3"/>
    <w:rsid w:val="00896791"/>
    <w:rsid w:val="00897181"/>
    <w:rsid w:val="00897A3A"/>
    <w:rsid w:val="008A0643"/>
    <w:rsid w:val="008A090A"/>
    <w:rsid w:val="008A0EF7"/>
    <w:rsid w:val="008A16F9"/>
    <w:rsid w:val="008A33D9"/>
    <w:rsid w:val="008A4E0D"/>
    <w:rsid w:val="008A6426"/>
    <w:rsid w:val="008A6DA8"/>
    <w:rsid w:val="008A7260"/>
    <w:rsid w:val="008A77B4"/>
    <w:rsid w:val="008B070C"/>
    <w:rsid w:val="008B0C35"/>
    <w:rsid w:val="008B1D76"/>
    <w:rsid w:val="008B4AEF"/>
    <w:rsid w:val="008B6B77"/>
    <w:rsid w:val="008B7B89"/>
    <w:rsid w:val="008C1583"/>
    <w:rsid w:val="008C1E93"/>
    <w:rsid w:val="008C305E"/>
    <w:rsid w:val="008C3E6E"/>
    <w:rsid w:val="008C425D"/>
    <w:rsid w:val="008C494A"/>
    <w:rsid w:val="008C4E23"/>
    <w:rsid w:val="008C4F92"/>
    <w:rsid w:val="008C5109"/>
    <w:rsid w:val="008C57A6"/>
    <w:rsid w:val="008C59E5"/>
    <w:rsid w:val="008D0418"/>
    <w:rsid w:val="008D0C5E"/>
    <w:rsid w:val="008D12D5"/>
    <w:rsid w:val="008D1C48"/>
    <w:rsid w:val="008D2060"/>
    <w:rsid w:val="008D3EA4"/>
    <w:rsid w:val="008D4477"/>
    <w:rsid w:val="008D50C3"/>
    <w:rsid w:val="008D54DF"/>
    <w:rsid w:val="008D55D0"/>
    <w:rsid w:val="008D5693"/>
    <w:rsid w:val="008D7AE5"/>
    <w:rsid w:val="008D7BA5"/>
    <w:rsid w:val="008D7BD7"/>
    <w:rsid w:val="008D7DF8"/>
    <w:rsid w:val="008E16FA"/>
    <w:rsid w:val="008E1C05"/>
    <w:rsid w:val="008E3767"/>
    <w:rsid w:val="008E3B14"/>
    <w:rsid w:val="008E499E"/>
    <w:rsid w:val="008E4A50"/>
    <w:rsid w:val="008E6E54"/>
    <w:rsid w:val="008E7D7D"/>
    <w:rsid w:val="008F07E9"/>
    <w:rsid w:val="008F08A9"/>
    <w:rsid w:val="008F0B10"/>
    <w:rsid w:val="008F2E09"/>
    <w:rsid w:val="008F31B3"/>
    <w:rsid w:val="008F3689"/>
    <w:rsid w:val="008F4152"/>
    <w:rsid w:val="008F5171"/>
    <w:rsid w:val="008F5B3A"/>
    <w:rsid w:val="008F7277"/>
    <w:rsid w:val="00900BA4"/>
    <w:rsid w:val="00903C5A"/>
    <w:rsid w:val="009048C4"/>
    <w:rsid w:val="0090532F"/>
    <w:rsid w:val="00905339"/>
    <w:rsid w:val="00906AE2"/>
    <w:rsid w:val="00906D96"/>
    <w:rsid w:val="00907DB6"/>
    <w:rsid w:val="009101A9"/>
    <w:rsid w:val="00910F5D"/>
    <w:rsid w:val="00911279"/>
    <w:rsid w:val="00911E44"/>
    <w:rsid w:val="009121B3"/>
    <w:rsid w:val="009121D6"/>
    <w:rsid w:val="009122F9"/>
    <w:rsid w:val="00913179"/>
    <w:rsid w:val="009133C5"/>
    <w:rsid w:val="00913C99"/>
    <w:rsid w:val="009172ED"/>
    <w:rsid w:val="00917981"/>
    <w:rsid w:val="00922526"/>
    <w:rsid w:val="0092431F"/>
    <w:rsid w:val="00924CBE"/>
    <w:rsid w:val="00925875"/>
    <w:rsid w:val="00926BF2"/>
    <w:rsid w:val="0092719B"/>
    <w:rsid w:val="00927A03"/>
    <w:rsid w:val="00931577"/>
    <w:rsid w:val="00931F63"/>
    <w:rsid w:val="00934A15"/>
    <w:rsid w:val="00934E31"/>
    <w:rsid w:val="00935052"/>
    <w:rsid w:val="009355C2"/>
    <w:rsid w:val="00937D57"/>
    <w:rsid w:val="009460FF"/>
    <w:rsid w:val="00947DC8"/>
    <w:rsid w:val="009500FF"/>
    <w:rsid w:val="00950A24"/>
    <w:rsid w:val="009537BF"/>
    <w:rsid w:val="00954BD5"/>
    <w:rsid w:val="00957CD2"/>
    <w:rsid w:val="009605E8"/>
    <w:rsid w:val="00961283"/>
    <w:rsid w:val="00962996"/>
    <w:rsid w:val="00962F72"/>
    <w:rsid w:val="009635A3"/>
    <w:rsid w:val="00964CF3"/>
    <w:rsid w:val="0096538B"/>
    <w:rsid w:val="009677D9"/>
    <w:rsid w:val="00972038"/>
    <w:rsid w:val="00972A84"/>
    <w:rsid w:val="00972BCA"/>
    <w:rsid w:val="0097533F"/>
    <w:rsid w:val="00976500"/>
    <w:rsid w:val="00980C7C"/>
    <w:rsid w:val="0098212A"/>
    <w:rsid w:val="00983EB3"/>
    <w:rsid w:val="00984010"/>
    <w:rsid w:val="00984B3D"/>
    <w:rsid w:val="00986CC7"/>
    <w:rsid w:val="009901D8"/>
    <w:rsid w:val="0099030B"/>
    <w:rsid w:val="009904E9"/>
    <w:rsid w:val="00991007"/>
    <w:rsid w:val="009911DE"/>
    <w:rsid w:val="00991303"/>
    <w:rsid w:val="00991F26"/>
    <w:rsid w:val="009950EE"/>
    <w:rsid w:val="009A07B2"/>
    <w:rsid w:val="009A31F8"/>
    <w:rsid w:val="009A3286"/>
    <w:rsid w:val="009A3780"/>
    <w:rsid w:val="009A4F25"/>
    <w:rsid w:val="009A5E9C"/>
    <w:rsid w:val="009B10A6"/>
    <w:rsid w:val="009B11FD"/>
    <w:rsid w:val="009B14DC"/>
    <w:rsid w:val="009B1FCE"/>
    <w:rsid w:val="009B54A9"/>
    <w:rsid w:val="009B5C58"/>
    <w:rsid w:val="009B68F2"/>
    <w:rsid w:val="009B6942"/>
    <w:rsid w:val="009B6EBE"/>
    <w:rsid w:val="009B7291"/>
    <w:rsid w:val="009B766B"/>
    <w:rsid w:val="009B76E3"/>
    <w:rsid w:val="009C59D7"/>
    <w:rsid w:val="009C6751"/>
    <w:rsid w:val="009C67E4"/>
    <w:rsid w:val="009C760E"/>
    <w:rsid w:val="009D1047"/>
    <w:rsid w:val="009D141F"/>
    <w:rsid w:val="009D1634"/>
    <w:rsid w:val="009D2639"/>
    <w:rsid w:val="009D34EA"/>
    <w:rsid w:val="009D3A37"/>
    <w:rsid w:val="009D5EC1"/>
    <w:rsid w:val="009D691F"/>
    <w:rsid w:val="009D6922"/>
    <w:rsid w:val="009E0BB0"/>
    <w:rsid w:val="009E14B8"/>
    <w:rsid w:val="009E215F"/>
    <w:rsid w:val="009F0F55"/>
    <w:rsid w:val="009F1FEB"/>
    <w:rsid w:val="009F29F2"/>
    <w:rsid w:val="009F2F68"/>
    <w:rsid w:val="009F3148"/>
    <w:rsid w:val="009F3DE0"/>
    <w:rsid w:val="009F5177"/>
    <w:rsid w:val="009F6490"/>
    <w:rsid w:val="009F6D21"/>
    <w:rsid w:val="009F6DE3"/>
    <w:rsid w:val="00A00B47"/>
    <w:rsid w:val="00A01F38"/>
    <w:rsid w:val="00A0394C"/>
    <w:rsid w:val="00A0396D"/>
    <w:rsid w:val="00A03D44"/>
    <w:rsid w:val="00A04167"/>
    <w:rsid w:val="00A07447"/>
    <w:rsid w:val="00A07EBA"/>
    <w:rsid w:val="00A10760"/>
    <w:rsid w:val="00A141AB"/>
    <w:rsid w:val="00A14E9A"/>
    <w:rsid w:val="00A159B9"/>
    <w:rsid w:val="00A17A3E"/>
    <w:rsid w:val="00A17A95"/>
    <w:rsid w:val="00A2120D"/>
    <w:rsid w:val="00A22FF1"/>
    <w:rsid w:val="00A231C8"/>
    <w:rsid w:val="00A23C2E"/>
    <w:rsid w:val="00A246AE"/>
    <w:rsid w:val="00A24958"/>
    <w:rsid w:val="00A24A1C"/>
    <w:rsid w:val="00A25F84"/>
    <w:rsid w:val="00A26BF8"/>
    <w:rsid w:val="00A27E7C"/>
    <w:rsid w:val="00A308A4"/>
    <w:rsid w:val="00A31458"/>
    <w:rsid w:val="00A3162A"/>
    <w:rsid w:val="00A31F6F"/>
    <w:rsid w:val="00A3283B"/>
    <w:rsid w:val="00A34461"/>
    <w:rsid w:val="00A354E1"/>
    <w:rsid w:val="00A41A54"/>
    <w:rsid w:val="00A45D9F"/>
    <w:rsid w:val="00A47B00"/>
    <w:rsid w:val="00A51B84"/>
    <w:rsid w:val="00A576D6"/>
    <w:rsid w:val="00A57A78"/>
    <w:rsid w:val="00A64472"/>
    <w:rsid w:val="00A6589D"/>
    <w:rsid w:val="00A67013"/>
    <w:rsid w:val="00A672DC"/>
    <w:rsid w:val="00A71EEB"/>
    <w:rsid w:val="00A72ED5"/>
    <w:rsid w:val="00A72FC9"/>
    <w:rsid w:val="00A7368D"/>
    <w:rsid w:val="00A738A5"/>
    <w:rsid w:val="00A73DB7"/>
    <w:rsid w:val="00A73F8B"/>
    <w:rsid w:val="00A745E3"/>
    <w:rsid w:val="00A76468"/>
    <w:rsid w:val="00A800C1"/>
    <w:rsid w:val="00A849DE"/>
    <w:rsid w:val="00A84C88"/>
    <w:rsid w:val="00A8507D"/>
    <w:rsid w:val="00A85DC1"/>
    <w:rsid w:val="00A8621E"/>
    <w:rsid w:val="00A87C3C"/>
    <w:rsid w:val="00A9053B"/>
    <w:rsid w:val="00A91163"/>
    <w:rsid w:val="00A91D1D"/>
    <w:rsid w:val="00A92933"/>
    <w:rsid w:val="00A94A19"/>
    <w:rsid w:val="00A94F78"/>
    <w:rsid w:val="00A95410"/>
    <w:rsid w:val="00A9580A"/>
    <w:rsid w:val="00A95B3B"/>
    <w:rsid w:val="00A97311"/>
    <w:rsid w:val="00A97D8A"/>
    <w:rsid w:val="00AA08A9"/>
    <w:rsid w:val="00AA0A45"/>
    <w:rsid w:val="00AA379F"/>
    <w:rsid w:val="00AA4C8D"/>
    <w:rsid w:val="00AA7C28"/>
    <w:rsid w:val="00AA7E57"/>
    <w:rsid w:val="00AA7F84"/>
    <w:rsid w:val="00AB089E"/>
    <w:rsid w:val="00AB090E"/>
    <w:rsid w:val="00AB27E1"/>
    <w:rsid w:val="00AB34DE"/>
    <w:rsid w:val="00AB5BAD"/>
    <w:rsid w:val="00AB772C"/>
    <w:rsid w:val="00AB791D"/>
    <w:rsid w:val="00AB7A28"/>
    <w:rsid w:val="00AC01B1"/>
    <w:rsid w:val="00AC426C"/>
    <w:rsid w:val="00AC42EF"/>
    <w:rsid w:val="00AC6EEE"/>
    <w:rsid w:val="00AD0782"/>
    <w:rsid w:val="00AD1A2B"/>
    <w:rsid w:val="00AD1EB5"/>
    <w:rsid w:val="00AD3194"/>
    <w:rsid w:val="00AD49C8"/>
    <w:rsid w:val="00AD50DD"/>
    <w:rsid w:val="00AD529C"/>
    <w:rsid w:val="00AD5531"/>
    <w:rsid w:val="00AD6322"/>
    <w:rsid w:val="00AD6517"/>
    <w:rsid w:val="00AD656B"/>
    <w:rsid w:val="00AD6CC7"/>
    <w:rsid w:val="00AD76D8"/>
    <w:rsid w:val="00AE0196"/>
    <w:rsid w:val="00AE4E19"/>
    <w:rsid w:val="00AE4F0D"/>
    <w:rsid w:val="00AE7826"/>
    <w:rsid w:val="00AF1024"/>
    <w:rsid w:val="00AF30DA"/>
    <w:rsid w:val="00AF3901"/>
    <w:rsid w:val="00AF3F99"/>
    <w:rsid w:val="00AF4418"/>
    <w:rsid w:val="00AF51C9"/>
    <w:rsid w:val="00AF5639"/>
    <w:rsid w:val="00AF5A90"/>
    <w:rsid w:val="00AF5B80"/>
    <w:rsid w:val="00AF5BC5"/>
    <w:rsid w:val="00AF632F"/>
    <w:rsid w:val="00AF76EC"/>
    <w:rsid w:val="00AF7CF4"/>
    <w:rsid w:val="00B00098"/>
    <w:rsid w:val="00B00448"/>
    <w:rsid w:val="00B0068F"/>
    <w:rsid w:val="00B0143A"/>
    <w:rsid w:val="00B01D5E"/>
    <w:rsid w:val="00B023FB"/>
    <w:rsid w:val="00B0316F"/>
    <w:rsid w:val="00B0353F"/>
    <w:rsid w:val="00B050BD"/>
    <w:rsid w:val="00B06489"/>
    <w:rsid w:val="00B102E8"/>
    <w:rsid w:val="00B11CD0"/>
    <w:rsid w:val="00B1257F"/>
    <w:rsid w:val="00B131EB"/>
    <w:rsid w:val="00B14274"/>
    <w:rsid w:val="00B15991"/>
    <w:rsid w:val="00B16DC1"/>
    <w:rsid w:val="00B203D3"/>
    <w:rsid w:val="00B204FA"/>
    <w:rsid w:val="00B2114D"/>
    <w:rsid w:val="00B21CD5"/>
    <w:rsid w:val="00B21F2A"/>
    <w:rsid w:val="00B224D8"/>
    <w:rsid w:val="00B22AD9"/>
    <w:rsid w:val="00B22B42"/>
    <w:rsid w:val="00B23916"/>
    <w:rsid w:val="00B25164"/>
    <w:rsid w:val="00B25F98"/>
    <w:rsid w:val="00B260DF"/>
    <w:rsid w:val="00B26CD4"/>
    <w:rsid w:val="00B27B9F"/>
    <w:rsid w:val="00B303B7"/>
    <w:rsid w:val="00B326EB"/>
    <w:rsid w:val="00B337EB"/>
    <w:rsid w:val="00B36134"/>
    <w:rsid w:val="00B36F96"/>
    <w:rsid w:val="00B37B98"/>
    <w:rsid w:val="00B405AA"/>
    <w:rsid w:val="00B4085C"/>
    <w:rsid w:val="00B40DF0"/>
    <w:rsid w:val="00B4385E"/>
    <w:rsid w:val="00B46FA4"/>
    <w:rsid w:val="00B47488"/>
    <w:rsid w:val="00B51323"/>
    <w:rsid w:val="00B515BB"/>
    <w:rsid w:val="00B52B6B"/>
    <w:rsid w:val="00B54460"/>
    <w:rsid w:val="00B546E0"/>
    <w:rsid w:val="00B5583C"/>
    <w:rsid w:val="00B561F8"/>
    <w:rsid w:val="00B60FA4"/>
    <w:rsid w:val="00B61EB8"/>
    <w:rsid w:val="00B6327A"/>
    <w:rsid w:val="00B63E25"/>
    <w:rsid w:val="00B63FB7"/>
    <w:rsid w:val="00B644B5"/>
    <w:rsid w:val="00B658B4"/>
    <w:rsid w:val="00B662FC"/>
    <w:rsid w:val="00B6675F"/>
    <w:rsid w:val="00B679CA"/>
    <w:rsid w:val="00B67D37"/>
    <w:rsid w:val="00B709C3"/>
    <w:rsid w:val="00B71C87"/>
    <w:rsid w:val="00B7343B"/>
    <w:rsid w:val="00B73C38"/>
    <w:rsid w:val="00B741CF"/>
    <w:rsid w:val="00B77A0C"/>
    <w:rsid w:val="00B800C4"/>
    <w:rsid w:val="00B81B75"/>
    <w:rsid w:val="00B83930"/>
    <w:rsid w:val="00B84FB3"/>
    <w:rsid w:val="00B8696E"/>
    <w:rsid w:val="00B905F3"/>
    <w:rsid w:val="00B92260"/>
    <w:rsid w:val="00B93231"/>
    <w:rsid w:val="00B93425"/>
    <w:rsid w:val="00B9614F"/>
    <w:rsid w:val="00BA2C73"/>
    <w:rsid w:val="00BA3E33"/>
    <w:rsid w:val="00BA4D43"/>
    <w:rsid w:val="00BA556D"/>
    <w:rsid w:val="00BA64F7"/>
    <w:rsid w:val="00BB2DF3"/>
    <w:rsid w:val="00BB3A45"/>
    <w:rsid w:val="00BB41C4"/>
    <w:rsid w:val="00BB4BB2"/>
    <w:rsid w:val="00BB609A"/>
    <w:rsid w:val="00BB7699"/>
    <w:rsid w:val="00BC0682"/>
    <w:rsid w:val="00BC0D35"/>
    <w:rsid w:val="00BC43BE"/>
    <w:rsid w:val="00BC4838"/>
    <w:rsid w:val="00BC58C4"/>
    <w:rsid w:val="00BC5EC1"/>
    <w:rsid w:val="00BC60FB"/>
    <w:rsid w:val="00BD01FC"/>
    <w:rsid w:val="00BD3196"/>
    <w:rsid w:val="00BD5A28"/>
    <w:rsid w:val="00BE0B16"/>
    <w:rsid w:val="00BE2394"/>
    <w:rsid w:val="00BE33F1"/>
    <w:rsid w:val="00BE462B"/>
    <w:rsid w:val="00BE4FFF"/>
    <w:rsid w:val="00BE62DA"/>
    <w:rsid w:val="00BF0534"/>
    <w:rsid w:val="00BF0FD0"/>
    <w:rsid w:val="00BF28A1"/>
    <w:rsid w:val="00BF7CD4"/>
    <w:rsid w:val="00C02E7B"/>
    <w:rsid w:val="00C06301"/>
    <w:rsid w:val="00C0700B"/>
    <w:rsid w:val="00C10805"/>
    <w:rsid w:val="00C115C0"/>
    <w:rsid w:val="00C1282E"/>
    <w:rsid w:val="00C13DBC"/>
    <w:rsid w:val="00C1481D"/>
    <w:rsid w:val="00C14852"/>
    <w:rsid w:val="00C14B64"/>
    <w:rsid w:val="00C15372"/>
    <w:rsid w:val="00C16CE5"/>
    <w:rsid w:val="00C17B4C"/>
    <w:rsid w:val="00C17EA5"/>
    <w:rsid w:val="00C201DA"/>
    <w:rsid w:val="00C20598"/>
    <w:rsid w:val="00C229ED"/>
    <w:rsid w:val="00C2335A"/>
    <w:rsid w:val="00C23D4E"/>
    <w:rsid w:val="00C2403E"/>
    <w:rsid w:val="00C26246"/>
    <w:rsid w:val="00C26C76"/>
    <w:rsid w:val="00C2738B"/>
    <w:rsid w:val="00C27D34"/>
    <w:rsid w:val="00C30654"/>
    <w:rsid w:val="00C30A74"/>
    <w:rsid w:val="00C324BE"/>
    <w:rsid w:val="00C328CF"/>
    <w:rsid w:val="00C342B3"/>
    <w:rsid w:val="00C34858"/>
    <w:rsid w:val="00C34E0D"/>
    <w:rsid w:val="00C34E37"/>
    <w:rsid w:val="00C35779"/>
    <w:rsid w:val="00C36D3C"/>
    <w:rsid w:val="00C3709F"/>
    <w:rsid w:val="00C37385"/>
    <w:rsid w:val="00C378AA"/>
    <w:rsid w:val="00C37BB4"/>
    <w:rsid w:val="00C41A65"/>
    <w:rsid w:val="00C442B3"/>
    <w:rsid w:val="00C446E8"/>
    <w:rsid w:val="00C458C4"/>
    <w:rsid w:val="00C45F25"/>
    <w:rsid w:val="00C50052"/>
    <w:rsid w:val="00C516A7"/>
    <w:rsid w:val="00C540B8"/>
    <w:rsid w:val="00C568F5"/>
    <w:rsid w:val="00C572A2"/>
    <w:rsid w:val="00C57C3C"/>
    <w:rsid w:val="00C57E59"/>
    <w:rsid w:val="00C6070B"/>
    <w:rsid w:val="00C63B59"/>
    <w:rsid w:val="00C6793E"/>
    <w:rsid w:val="00C70898"/>
    <w:rsid w:val="00C70C6B"/>
    <w:rsid w:val="00C71E14"/>
    <w:rsid w:val="00C735CD"/>
    <w:rsid w:val="00C74401"/>
    <w:rsid w:val="00C74F74"/>
    <w:rsid w:val="00C75186"/>
    <w:rsid w:val="00C75C42"/>
    <w:rsid w:val="00C76151"/>
    <w:rsid w:val="00C764AE"/>
    <w:rsid w:val="00C7675B"/>
    <w:rsid w:val="00C772CF"/>
    <w:rsid w:val="00C77BE6"/>
    <w:rsid w:val="00C813FB"/>
    <w:rsid w:val="00C83069"/>
    <w:rsid w:val="00C83580"/>
    <w:rsid w:val="00C83B2D"/>
    <w:rsid w:val="00C83E35"/>
    <w:rsid w:val="00C840C2"/>
    <w:rsid w:val="00C85CBD"/>
    <w:rsid w:val="00C85DF6"/>
    <w:rsid w:val="00C868A0"/>
    <w:rsid w:val="00C91EB7"/>
    <w:rsid w:val="00C92B37"/>
    <w:rsid w:val="00C932CC"/>
    <w:rsid w:val="00C938B5"/>
    <w:rsid w:val="00C956A6"/>
    <w:rsid w:val="00C96E00"/>
    <w:rsid w:val="00CA1157"/>
    <w:rsid w:val="00CA23CE"/>
    <w:rsid w:val="00CA258B"/>
    <w:rsid w:val="00CA2ACC"/>
    <w:rsid w:val="00CA3AD1"/>
    <w:rsid w:val="00CA3C79"/>
    <w:rsid w:val="00CA425B"/>
    <w:rsid w:val="00CA47CA"/>
    <w:rsid w:val="00CA48AF"/>
    <w:rsid w:val="00CA6058"/>
    <w:rsid w:val="00CA6C7E"/>
    <w:rsid w:val="00CB00A6"/>
    <w:rsid w:val="00CB079C"/>
    <w:rsid w:val="00CB0B2B"/>
    <w:rsid w:val="00CB3B34"/>
    <w:rsid w:val="00CB4007"/>
    <w:rsid w:val="00CB4DDD"/>
    <w:rsid w:val="00CB55CE"/>
    <w:rsid w:val="00CB5948"/>
    <w:rsid w:val="00CB6136"/>
    <w:rsid w:val="00CC00E1"/>
    <w:rsid w:val="00CC0DDC"/>
    <w:rsid w:val="00CC0FCE"/>
    <w:rsid w:val="00CC1184"/>
    <w:rsid w:val="00CC1545"/>
    <w:rsid w:val="00CC2065"/>
    <w:rsid w:val="00CC25EC"/>
    <w:rsid w:val="00CC2BDC"/>
    <w:rsid w:val="00CC3776"/>
    <w:rsid w:val="00CC38C7"/>
    <w:rsid w:val="00CC3CC1"/>
    <w:rsid w:val="00CD139F"/>
    <w:rsid w:val="00CD1B25"/>
    <w:rsid w:val="00CD2AF3"/>
    <w:rsid w:val="00CD2BE8"/>
    <w:rsid w:val="00CD3384"/>
    <w:rsid w:val="00CD6355"/>
    <w:rsid w:val="00CE0612"/>
    <w:rsid w:val="00CE203F"/>
    <w:rsid w:val="00CE3A68"/>
    <w:rsid w:val="00CE3F35"/>
    <w:rsid w:val="00CE3FAA"/>
    <w:rsid w:val="00CE434D"/>
    <w:rsid w:val="00CE485C"/>
    <w:rsid w:val="00CE4C33"/>
    <w:rsid w:val="00CE52D2"/>
    <w:rsid w:val="00CE53F7"/>
    <w:rsid w:val="00CE57BA"/>
    <w:rsid w:val="00CE5ABC"/>
    <w:rsid w:val="00CE690B"/>
    <w:rsid w:val="00CF05A0"/>
    <w:rsid w:val="00CF06F4"/>
    <w:rsid w:val="00CF376C"/>
    <w:rsid w:val="00CF4302"/>
    <w:rsid w:val="00CF4701"/>
    <w:rsid w:val="00CF558D"/>
    <w:rsid w:val="00CF74E7"/>
    <w:rsid w:val="00CF7B28"/>
    <w:rsid w:val="00CF7DA4"/>
    <w:rsid w:val="00D00FCD"/>
    <w:rsid w:val="00D01984"/>
    <w:rsid w:val="00D02367"/>
    <w:rsid w:val="00D02490"/>
    <w:rsid w:val="00D0263D"/>
    <w:rsid w:val="00D02EDB"/>
    <w:rsid w:val="00D05CB3"/>
    <w:rsid w:val="00D10F52"/>
    <w:rsid w:val="00D149AC"/>
    <w:rsid w:val="00D14A1D"/>
    <w:rsid w:val="00D17A36"/>
    <w:rsid w:val="00D2007C"/>
    <w:rsid w:val="00D208BB"/>
    <w:rsid w:val="00D2172B"/>
    <w:rsid w:val="00D21733"/>
    <w:rsid w:val="00D22F4E"/>
    <w:rsid w:val="00D239AF"/>
    <w:rsid w:val="00D253A4"/>
    <w:rsid w:val="00D258E7"/>
    <w:rsid w:val="00D25DE5"/>
    <w:rsid w:val="00D25EB2"/>
    <w:rsid w:val="00D26F05"/>
    <w:rsid w:val="00D30DEB"/>
    <w:rsid w:val="00D315C0"/>
    <w:rsid w:val="00D32ED4"/>
    <w:rsid w:val="00D34C0F"/>
    <w:rsid w:val="00D370C3"/>
    <w:rsid w:val="00D40BED"/>
    <w:rsid w:val="00D411F5"/>
    <w:rsid w:val="00D41E63"/>
    <w:rsid w:val="00D43309"/>
    <w:rsid w:val="00D461BD"/>
    <w:rsid w:val="00D4688C"/>
    <w:rsid w:val="00D47C9E"/>
    <w:rsid w:val="00D50211"/>
    <w:rsid w:val="00D50850"/>
    <w:rsid w:val="00D5403A"/>
    <w:rsid w:val="00D568B7"/>
    <w:rsid w:val="00D57508"/>
    <w:rsid w:val="00D57F44"/>
    <w:rsid w:val="00D60AE7"/>
    <w:rsid w:val="00D6173F"/>
    <w:rsid w:val="00D624CB"/>
    <w:rsid w:val="00D641A9"/>
    <w:rsid w:val="00D66D23"/>
    <w:rsid w:val="00D67537"/>
    <w:rsid w:val="00D709A3"/>
    <w:rsid w:val="00D70B0C"/>
    <w:rsid w:val="00D7237B"/>
    <w:rsid w:val="00D733CD"/>
    <w:rsid w:val="00D73E0F"/>
    <w:rsid w:val="00D7475E"/>
    <w:rsid w:val="00D75C94"/>
    <w:rsid w:val="00D7680D"/>
    <w:rsid w:val="00D7727E"/>
    <w:rsid w:val="00D849E1"/>
    <w:rsid w:val="00D873A5"/>
    <w:rsid w:val="00D94258"/>
    <w:rsid w:val="00D95A90"/>
    <w:rsid w:val="00DA36BB"/>
    <w:rsid w:val="00DA5416"/>
    <w:rsid w:val="00DB00DE"/>
    <w:rsid w:val="00DB1D1A"/>
    <w:rsid w:val="00DB1F83"/>
    <w:rsid w:val="00DB22B7"/>
    <w:rsid w:val="00DB24D8"/>
    <w:rsid w:val="00DB523F"/>
    <w:rsid w:val="00DB5AC2"/>
    <w:rsid w:val="00DB62CA"/>
    <w:rsid w:val="00DB644A"/>
    <w:rsid w:val="00DB6EB7"/>
    <w:rsid w:val="00DB758E"/>
    <w:rsid w:val="00DC1055"/>
    <w:rsid w:val="00DC10A1"/>
    <w:rsid w:val="00DC3440"/>
    <w:rsid w:val="00DC64A0"/>
    <w:rsid w:val="00DC784B"/>
    <w:rsid w:val="00DD1406"/>
    <w:rsid w:val="00DD1858"/>
    <w:rsid w:val="00DD1BB2"/>
    <w:rsid w:val="00DD42EC"/>
    <w:rsid w:val="00DD4D60"/>
    <w:rsid w:val="00DD7FDA"/>
    <w:rsid w:val="00DE056B"/>
    <w:rsid w:val="00DE1563"/>
    <w:rsid w:val="00DE1DF1"/>
    <w:rsid w:val="00DE2983"/>
    <w:rsid w:val="00DE4BED"/>
    <w:rsid w:val="00DE50C2"/>
    <w:rsid w:val="00DE54C3"/>
    <w:rsid w:val="00DE6C42"/>
    <w:rsid w:val="00DE72B9"/>
    <w:rsid w:val="00DF2470"/>
    <w:rsid w:val="00DF2DA4"/>
    <w:rsid w:val="00DF3E1D"/>
    <w:rsid w:val="00DF45F5"/>
    <w:rsid w:val="00DF5B25"/>
    <w:rsid w:val="00DF5BA0"/>
    <w:rsid w:val="00DF5E2D"/>
    <w:rsid w:val="00DF698C"/>
    <w:rsid w:val="00DF70C1"/>
    <w:rsid w:val="00DF7314"/>
    <w:rsid w:val="00E00AF2"/>
    <w:rsid w:val="00E01281"/>
    <w:rsid w:val="00E012AC"/>
    <w:rsid w:val="00E01A5A"/>
    <w:rsid w:val="00E02315"/>
    <w:rsid w:val="00E0544C"/>
    <w:rsid w:val="00E076B8"/>
    <w:rsid w:val="00E077CA"/>
    <w:rsid w:val="00E10E7E"/>
    <w:rsid w:val="00E12B61"/>
    <w:rsid w:val="00E14195"/>
    <w:rsid w:val="00E167D5"/>
    <w:rsid w:val="00E16E5C"/>
    <w:rsid w:val="00E17D0C"/>
    <w:rsid w:val="00E221B3"/>
    <w:rsid w:val="00E2243A"/>
    <w:rsid w:val="00E22F64"/>
    <w:rsid w:val="00E22F71"/>
    <w:rsid w:val="00E23828"/>
    <w:rsid w:val="00E2397D"/>
    <w:rsid w:val="00E24CBB"/>
    <w:rsid w:val="00E25287"/>
    <w:rsid w:val="00E25698"/>
    <w:rsid w:val="00E33EE3"/>
    <w:rsid w:val="00E35385"/>
    <w:rsid w:val="00E36648"/>
    <w:rsid w:val="00E37ED9"/>
    <w:rsid w:val="00E41051"/>
    <w:rsid w:val="00E41B61"/>
    <w:rsid w:val="00E42140"/>
    <w:rsid w:val="00E42909"/>
    <w:rsid w:val="00E429A2"/>
    <w:rsid w:val="00E43AA7"/>
    <w:rsid w:val="00E53373"/>
    <w:rsid w:val="00E549F2"/>
    <w:rsid w:val="00E617AA"/>
    <w:rsid w:val="00E628D9"/>
    <w:rsid w:val="00E64771"/>
    <w:rsid w:val="00E65430"/>
    <w:rsid w:val="00E6644C"/>
    <w:rsid w:val="00E66C0F"/>
    <w:rsid w:val="00E70BDE"/>
    <w:rsid w:val="00E73735"/>
    <w:rsid w:val="00E750E9"/>
    <w:rsid w:val="00E770D3"/>
    <w:rsid w:val="00E7773C"/>
    <w:rsid w:val="00E80C5E"/>
    <w:rsid w:val="00E82A01"/>
    <w:rsid w:val="00E83245"/>
    <w:rsid w:val="00E8361B"/>
    <w:rsid w:val="00E85B51"/>
    <w:rsid w:val="00E85DC5"/>
    <w:rsid w:val="00E908E1"/>
    <w:rsid w:val="00E90EEE"/>
    <w:rsid w:val="00E90F81"/>
    <w:rsid w:val="00E91135"/>
    <w:rsid w:val="00E91DE7"/>
    <w:rsid w:val="00E92FC3"/>
    <w:rsid w:val="00E94B61"/>
    <w:rsid w:val="00E95068"/>
    <w:rsid w:val="00E95272"/>
    <w:rsid w:val="00E95478"/>
    <w:rsid w:val="00E96222"/>
    <w:rsid w:val="00EA0EAF"/>
    <w:rsid w:val="00EA1435"/>
    <w:rsid w:val="00EA16D4"/>
    <w:rsid w:val="00EA1FF4"/>
    <w:rsid w:val="00EA20F2"/>
    <w:rsid w:val="00EA2281"/>
    <w:rsid w:val="00EA2531"/>
    <w:rsid w:val="00EA2953"/>
    <w:rsid w:val="00EA4FCC"/>
    <w:rsid w:val="00EA54F2"/>
    <w:rsid w:val="00EA6A71"/>
    <w:rsid w:val="00EA7581"/>
    <w:rsid w:val="00EA7BB4"/>
    <w:rsid w:val="00EB0AFE"/>
    <w:rsid w:val="00EB2047"/>
    <w:rsid w:val="00EB4BD3"/>
    <w:rsid w:val="00EC2410"/>
    <w:rsid w:val="00EC34C3"/>
    <w:rsid w:val="00EC352C"/>
    <w:rsid w:val="00EC412E"/>
    <w:rsid w:val="00ED10CD"/>
    <w:rsid w:val="00ED30C2"/>
    <w:rsid w:val="00ED3CAE"/>
    <w:rsid w:val="00ED4F28"/>
    <w:rsid w:val="00ED526B"/>
    <w:rsid w:val="00ED795A"/>
    <w:rsid w:val="00EE05EC"/>
    <w:rsid w:val="00EE27D3"/>
    <w:rsid w:val="00EE39D8"/>
    <w:rsid w:val="00EE4181"/>
    <w:rsid w:val="00EE62B6"/>
    <w:rsid w:val="00EE6739"/>
    <w:rsid w:val="00EF0E45"/>
    <w:rsid w:val="00EF1174"/>
    <w:rsid w:val="00EF20FA"/>
    <w:rsid w:val="00EF26BD"/>
    <w:rsid w:val="00EF3B36"/>
    <w:rsid w:val="00EF5811"/>
    <w:rsid w:val="00F01B3F"/>
    <w:rsid w:val="00F03CBF"/>
    <w:rsid w:val="00F03F2D"/>
    <w:rsid w:val="00F05B05"/>
    <w:rsid w:val="00F05DBA"/>
    <w:rsid w:val="00F06614"/>
    <w:rsid w:val="00F1064A"/>
    <w:rsid w:val="00F106D6"/>
    <w:rsid w:val="00F1319D"/>
    <w:rsid w:val="00F13288"/>
    <w:rsid w:val="00F143EB"/>
    <w:rsid w:val="00F149B9"/>
    <w:rsid w:val="00F15168"/>
    <w:rsid w:val="00F1632C"/>
    <w:rsid w:val="00F206B4"/>
    <w:rsid w:val="00F2095C"/>
    <w:rsid w:val="00F224AD"/>
    <w:rsid w:val="00F22893"/>
    <w:rsid w:val="00F238F7"/>
    <w:rsid w:val="00F23DF6"/>
    <w:rsid w:val="00F252B9"/>
    <w:rsid w:val="00F2599A"/>
    <w:rsid w:val="00F26710"/>
    <w:rsid w:val="00F26F84"/>
    <w:rsid w:val="00F2723E"/>
    <w:rsid w:val="00F305CA"/>
    <w:rsid w:val="00F31E76"/>
    <w:rsid w:val="00F32776"/>
    <w:rsid w:val="00F32D6B"/>
    <w:rsid w:val="00F33406"/>
    <w:rsid w:val="00F3351E"/>
    <w:rsid w:val="00F35594"/>
    <w:rsid w:val="00F35774"/>
    <w:rsid w:val="00F37F20"/>
    <w:rsid w:val="00F402FA"/>
    <w:rsid w:val="00F40911"/>
    <w:rsid w:val="00F40981"/>
    <w:rsid w:val="00F40A74"/>
    <w:rsid w:val="00F41BE1"/>
    <w:rsid w:val="00F44542"/>
    <w:rsid w:val="00F44CD8"/>
    <w:rsid w:val="00F455D0"/>
    <w:rsid w:val="00F473F2"/>
    <w:rsid w:val="00F475FC"/>
    <w:rsid w:val="00F47F64"/>
    <w:rsid w:val="00F50B5D"/>
    <w:rsid w:val="00F611ED"/>
    <w:rsid w:val="00F61EE1"/>
    <w:rsid w:val="00F62CB6"/>
    <w:rsid w:val="00F632CF"/>
    <w:rsid w:val="00F641AA"/>
    <w:rsid w:val="00F65407"/>
    <w:rsid w:val="00F66A93"/>
    <w:rsid w:val="00F672C0"/>
    <w:rsid w:val="00F67B86"/>
    <w:rsid w:val="00F67DA8"/>
    <w:rsid w:val="00F70093"/>
    <w:rsid w:val="00F719C2"/>
    <w:rsid w:val="00F7233C"/>
    <w:rsid w:val="00F727AB"/>
    <w:rsid w:val="00F7287A"/>
    <w:rsid w:val="00F74094"/>
    <w:rsid w:val="00F77CB0"/>
    <w:rsid w:val="00F8092E"/>
    <w:rsid w:val="00F82185"/>
    <w:rsid w:val="00F8341C"/>
    <w:rsid w:val="00F839D1"/>
    <w:rsid w:val="00F83EEF"/>
    <w:rsid w:val="00F84370"/>
    <w:rsid w:val="00F870BB"/>
    <w:rsid w:val="00F87452"/>
    <w:rsid w:val="00F876E6"/>
    <w:rsid w:val="00F90249"/>
    <w:rsid w:val="00F92A45"/>
    <w:rsid w:val="00F936D1"/>
    <w:rsid w:val="00F94868"/>
    <w:rsid w:val="00F965C0"/>
    <w:rsid w:val="00FA020B"/>
    <w:rsid w:val="00FA22E1"/>
    <w:rsid w:val="00FA2D9D"/>
    <w:rsid w:val="00FA2FFB"/>
    <w:rsid w:val="00FA6A4E"/>
    <w:rsid w:val="00FA6C21"/>
    <w:rsid w:val="00FA720E"/>
    <w:rsid w:val="00FB0200"/>
    <w:rsid w:val="00FB0483"/>
    <w:rsid w:val="00FB07DD"/>
    <w:rsid w:val="00FB11E6"/>
    <w:rsid w:val="00FB2575"/>
    <w:rsid w:val="00FC09B0"/>
    <w:rsid w:val="00FC0DB1"/>
    <w:rsid w:val="00FC1C60"/>
    <w:rsid w:val="00FC2200"/>
    <w:rsid w:val="00FC25C4"/>
    <w:rsid w:val="00FC28E3"/>
    <w:rsid w:val="00FC51FA"/>
    <w:rsid w:val="00FC52F8"/>
    <w:rsid w:val="00FC59F5"/>
    <w:rsid w:val="00FC5D79"/>
    <w:rsid w:val="00FC695F"/>
    <w:rsid w:val="00FC7C16"/>
    <w:rsid w:val="00FD045E"/>
    <w:rsid w:val="00FD2019"/>
    <w:rsid w:val="00FD3AA2"/>
    <w:rsid w:val="00FD5F3F"/>
    <w:rsid w:val="00FD7F90"/>
    <w:rsid w:val="00FE1D3A"/>
    <w:rsid w:val="00FE2392"/>
    <w:rsid w:val="00FE3063"/>
    <w:rsid w:val="00FE3EE2"/>
    <w:rsid w:val="00FF07BC"/>
    <w:rsid w:val="00FF1431"/>
    <w:rsid w:val="00FF15B6"/>
    <w:rsid w:val="00FF196D"/>
    <w:rsid w:val="00FF629B"/>
    <w:rsid w:val="00FF726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A74E"/>
  <w15:docId w15:val="{DD509502-4085-47D1-ADC2-292A6E43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5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rsid w:val="0085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rsid w:val="00854CF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854C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54CF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54C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54C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54C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54C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C6751"/>
    <w:pPr>
      <w:ind w:left="720"/>
      <w:contextualSpacing/>
    </w:pPr>
  </w:style>
  <w:style w:type="paragraph" w:styleId="Intestazione">
    <w:name w:val="header"/>
    <w:basedOn w:val="Normale"/>
    <w:link w:val="IntestazioneCarattere"/>
    <w:unhideWhenUsed/>
    <w:rsid w:val="00652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52E76"/>
  </w:style>
  <w:style w:type="paragraph" w:styleId="Pidipagina">
    <w:name w:val="footer"/>
    <w:basedOn w:val="Normale"/>
    <w:link w:val="PidipaginaCarattere"/>
    <w:uiPriority w:val="99"/>
    <w:unhideWhenUsed/>
    <w:rsid w:val="00652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76"/>
  </w:style>
  <w:style w:type="paragraph" w:styleId="Testofumetto">
    <w:name w:val="Balloon Text"/>
    <w:basedOn w:val="Normale"/>
    <w:link w:val="TestofumettoCarattere"/>
    <w:uiPriority w:val="99"/>
    <w:unhideWhenUsed/>
    <w:rsid w:val="00652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52E76"/>
    <w:rPr>
      <w:rFonts w:ascii="Tahoma" w:hAnsi="Tahoma" w:cs="Tahoma"/>
      <w:sz w:val="16"/>
      <w:szCs w:val="16"/>
    </w:rPr>
  </w:style>
  <w:style w:type="table" w:styleId="Grigliatabella">
    <w:name w:val="Table Grid"/>
    <w:basedOn w:val="Tabellanormale"/>
    <w:uiPriority w:val="59"/>
    <w:rsid w:val="006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3">
    <w:name w:val="Heading - Level 3"/>
    <w:next w:val="Corpotesto"/>
    <w:rsid w:val="00652E76"/>
    <w:pPr>
      <w:keepNext/>
      <w:keepLines/>
      <w:spacing w:before="120" w:after="240" w:line="240" w:lineRule="auto"/>
      <w:outlineLvl w:val="4"/>
    </w:pPr>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52E76"/>
    <w:pPr>
      <w:spacing w:after="120"/>
    </w:pPr>
  </w:style>
  <w:style w:type="character" w:customStyle="1" w:styleId="CorpotestoCarattere">
    <w:name w:val="Corpo testo Carattere"/>
    <w:basedOn w:val="Carpredefinitoparagrafo"/>
    <w:link w:val="Corpotesto"/>
    <w:uiPriority w:val="99"/>
    <w:semiHidden/>
    <w:rsid w:val="00652E76"/>
  </w:style>
  <w:style w:type="paragraph" w:customStyle="1" w:styleId="ContactCompanyAddress">
    <w:name w:val="Contact Company Address"/>
    <w:basedOn w:val="Normale"/>
    <w:next w:val="Normale"/>
    <w:rsid w:val="00652E76"/>
    <w:pPr>
      <w:spacing w:after="100" w:line="240" w:lineRule="auto"/>
      <w:ind w:left="144" w:right="144"/>
    </w:pPr>
    <w:rPr>
      <w:rFonts w:ascii="Times New Roman" w:eastAsia="Times New Roman" w:hAnsi="Times New Roman" w:cs="Times New Roman"/>
      <w:snapToGrid w:val="0"/>
      <w:sz w:val="18"/>
      <w:szCs w:val="20"/>
      <w:lang w:eastAsia="it-IT"/>
    </w:rPr>
  </w:style>
  <w:style w:type="paragraph" w:customStyle="1" w:styleId="DocInfo">
    <w:name w:val="Doc Info"/>
    <w:next w:val="Intestazione"/>
    <w:rsid w:val="00652E76"/>
    <w:pPr>
      <w:spacing w:after="0" w:line="240" w:lineRule="auto"/>
      <w:ind w:left="-720"/>
    </w:pPr>
    <w:rPr>
      <w:rFonts w:ascii="Times New Roman" w:eastAsia="Times New Roman" w:hAnsi="Times New Roman" w:cs="Times New Roman"/>
      <w:color w:val="808080"/>
      <w:spacing w:val="10"/>
      <w:kern w:val="2"/>
      <w:sz w:val="14"/>
      <w:szCs w:val="20"/>
      <w:lang w:eastAsia="it-IT"/>
    </w:rPr>
  </w:style>
  <w:style w:type="paragraph" w:customStyle="1" w:styleId="FooterA4Portrait">
    <w:name w:val="Footer A4 Portrait"/>
    <w:rsid w:val="00652E76"/>
    <w:pPr>
      <w:tabs>
        <w:tab w:val="right" w:pos="5429"/>
        <w:tab w:val="right" w:pos="8165"/>
      </w:tabs>
      <w:spacing w:after="0" w:line="240" w:lineRule="auto"/>
    </w:pPr>
    <w:rPr>
      <w:rFonts w:ascii="Times New Roman" w:eastAsia="Times New Roman" w:hAnsi="Times New Roman" w:cs="Times New Roman"/>
      <w:kern w:val="2"/>
      <w:sz w:val="18"/>
      <w:szCs w:val="20"/>
      <w:lang w:val="en-GB" w:eastAsia="it-IT"/>
    </w:rPr>
  </w:style>
  <w:style w:type="character" w:styleId="Numeropagina">
    <w:name w:val="page number"/>
    <w:basedOn w:val="Carpredefinitoparagrafo"/>
    <w:uiPriority w:val="99"/>
    <w:rsid w:val="00652E76"/>
    <w:rPr>
      <w:rFonts w:ascii="Times New Roman" w:hAnsi="Times New Roman"/>
      <w:noProof w:val="0"/>
      <w:sz w:val="18"/>
      <w:lang w:val="en-GB"/>
    </w:rPr>
  </w:style>
  <w:style w:type="character" w:customStyle="1" w:styleId="Titolo1Carattere">
    <w:name w:val="Titolo 1 Carattere"/>
    <w:basedOn w:val="Carpredefinitoparagrafo"/>
    <w:link w:val="Titolo1"/>
    <w:uiPriority w:val="99"/>
    <w:rsid w:val="00854CF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854CF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854CF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854CF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54CF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54CF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54CF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54CF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54CFE"/>
    <w:rPr>
      <w:rFonts w:asciiTheme="majorHAnsi" w:eastAsiaTheme="majorEastAsia" w:hAnsiTheme="majorHAnsi" w:cstheme="majorBidi"/>
      <w:i/>
      <w:iCs/>
      <w:color w:val="404040" w:themeColor="text1" w:themeTint="BF"/>
      <w:sz w:val="20"/>
      <w:szCs w:val="20"/>
    </w:rPr>
  </w:style>
  <w:style w:type="character" w:styleId="Enfasigrassetto">
    <w:name w:val="Strong"/>
    <w:basedOn w:val="Carpredefinitoparagrafo"/>
    <w:uiPriority w:val="22"/>
    <w:qFormat/>
    <w:rsid w:val="00F23DF6"/>
    <w:rPr>
      <w:b/>
      <w:bCs/>
    </w:rPr>
  </w:style>
  <w:style w:type="paragraph" w:styleId="Rientrocorpodeltesto">
    <w:name w:val="Body Text Indent"/>
    <w:basedOn w:val="Normale"/>
    <w:link w:val="RientrocorpodeltestoCarattere"/>
    <w:uiPriority w:val="99"/>
    <w:rsid w:val="00D47C9E"/>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D47C9E"/>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iPriority w:val="99"/>
    <w:rsid w:val="00D47C9E"/>
    <w:pPr>
      <w:widowControl w:val="0"/>
      <w:spacing w:after="120" w:line="240" w:lineRule="auto"/>
      <w:ind w:left="360" w:hanging="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D47C9E"/>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rsid w:val="00D47C9E"/>
    <w:pPr>
      <w:widowControl w:val="0"/>
      <w:spacing w:after="120" w:line="240" w:lineRule="auto"/>
      <w:ind w:left="1134" w:hanging="42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rsid w:val="00D47C9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D47C9E"/>
    <w:rPr>
      <w:rFonts w:cs="Times New Roman"/>
      <w:color w:val="0000FF"/>
      <w:u w:val="single"/>
    </w:rPr>
  </w:style>
  <w:style w:type="paragraph" w:customStyle="1" w:styleId="Bodytext">
    <w:name w:val="!Bodytext"/>
    <w:basedOn w:val="Normale"/>
    <w:uiPriority w:val="99"/>
    <w:rsid w:val="00D47C9E"/>
    <w:pPr>
      <w:overflowPunct w:val="0"/>
      <w:autoSpaceDE w:val="0"/>
      <w:autoSpaceDN w:val="0"/>
      <w:adjustRightInd w:val="0"/>
      <w:spacing w:after="220" w:line="240" w:lineRule="auto"/>
      <w:jc w:val="both"/>
      <w:textAlignment w:val="baseline"/>
    </w:pPr>
    <w:rPr>
      <w:rFonts w:ascii="Helvetica" w:eastAsia="Times New Roman" w:hAnsi="Helvetica" w:cs="Helvetica"/>
      <w:kern w:val="2"/>
      <w:lang w:val="en-GB"/>
    </w:rPr>
  </w:style>
  <w:style w:type="character" w:styleId="Rimandocommento">
    <w:name w:val="annotation reference"/>
    <w:basedOn w:val="Carpredefinitoparagrafo"/>
    <w:uiPriority w:val="99"/>
    <w:semiHidden/>
    <w:unhideWhenUsed/>
    <w:rsid w:val="00D47C9E"/>
    <w:rPr>
      <w:sz w:val="16"/>
      <w:szCs w:val="16"/>
    </w:rPr>
  </w:style>
  <w:style w:type="paragraph" w:styleId="Testocommento">
    <w:name w:val="annotation text"/>
    <w:basedOn w:val="Normale"/>
    <w:link w:val="TestocommentoCarattere"/>
    <w:uiPriority w:val="99"/>
    <w:semiHidden/>
    <w:unhideWhenUsed/>
    <w:rsid w:val="00D47C9E"/>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D47C9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7C9E"/>
    <w:rPr>
      <w:b/>
      <w:bCs/>
    </w:rPr>
  </w:style>
  <w:style w:type="character" w:customStyle="1" w:styleId="SoggettocommentoCarattere">
    <w:name w:val="Soggetto commento Carattere"/>
    <w:basedOn w:val="TestocommentoCarattere"/>
    <w:link w:val="Soggettocommento"/>
    <w:uiPriority w:val="99"/>
    <w:semiHidden/>
    <w:rsid w:val="00D47C9E"/>
    <w:rPr>
      <w:rFonts w:ascii="Times New Roman" w:eastAsia="Times New Roman" w:hAnsi="Times New Roman" w:cs="Times New Roman"/>
      <w:b/>
      <w:bCs/>
      <w:sz w:val="20"/>
      <w:szCs w:val="20"/>
      <w:lang w:eastAsia="it-IT"/>
    </w:rPr>
  </w:style>
  <w:style w:type="paragraph" w:styleId="Revisione">
    <w:name w:val="Revision"/>
    <w:hidden/>
    <w:uiPriority w:val="99"/>
    <w:semiHidden/>
    <w:rsid w:val="00D47C9E"/>
    <w:pPr>
      <w:spacing w:after="0" w:line="240" w:lineRule="auto"/>
    </w:pPr>
    <w:rPr>
      <w:rFonts w:ascii="Times New Roman" w:eastAsia="Times New Roman" w:hAnsi="Times New Roman" w:cs="Times New Roman"/>
      <w:sz w:val="24"/>
      <w:szCs w:val="20"/>
      <w:lang w:eastAsia="it-IT"/>
    </w:rPr>
  </w:style>
  <w:style w:type="paragraph" w:customStyle="1" w:styleId="CG-SingleSp">
    <w:name w:val="CG-Single Sp"/>
    <w:aliases w:val="s1"/>
    <w:basedOn w:val="Normale"/>
    <w:rsid w:val="00986CC7"/>
    <w:pPr>
      <w:autoSpaceDE w:val="0"/>
      <w:autoSpaceDN w:val="0"/>
      <w:adjustRightInd w:val="0"/>
      <w:spacing w:after="240" w:line="240" w:lineRule="auto"/>
    </w:pPr>
    <w:rPr>
      <w:rFonts w:ascii="Times New Roman" w:eastAsia="Times New Roman" w:hAnsi="Times New Roman" w:cs="Times New Roman"/>
      <w:sz w:val="24"/>
      <w:szCs w:val="20"/>
      <w:lang w:val="en-US" w:eastAsia="it-IT"/>
    </w:rPr>
  </w:style>
  <w:style w:type="character" w:customStyle="1" w:styleId="DeltaViewInsertion">
    <w:name w:val="DeltaView Insertion"/>
    <w:rsid w:val="00986CC7"/>
    <w:rPr>
      <w:color w:val="0000FF"/>
      <w:spacing w:val="0"/>
      <w:u w:val="double"/>
    </w:rPr>
  </w:style>
  <w:style w:type="paragraph" w:customStyle="1" w:styleId="DeltaViewTableBody">
    <w:name w:val="DeltaView Table Body"/>
    <w:basedOn w:val="Normale"/>
    <w:rsid w:val="00986CC7"/>
    <w:pPr>
      <w:autoSpaceDE w:val="0"/>
      <w:autoSpaceDN w:val="0"/>
      <w:adjustRightInd w:val="0"/>
      <w:spacing w:after="0" w:line="240" w:lineRule="auto"/>
    </w:pPr>
    <w:rPr>
      <w:rFonts w:ascii="Arial" w:eastAsia="Times New Roman" w:hAnsi="Arial" w:cs="Times New Roman"/>
      <w:sz w:val="24"/>
      <w:szCs w:val="24"/>
      <w:lang w:val="en-US" w:eastAsia="it-IT"/>
    </w:rPr>
  </w:style>
  <w:style w:type="paragraph" w:customStyle="1" w:styleId="Bullet">
    <w:name w:val="Bullet"/>
    <w:basedOn w:val="Corpotesto"/>
    <w:rsid w:val="006A503A"/>
    <w:pPr>
      <w:numPr>
        <w:ilvl w:val="5"/>
        <w:numId w:val="1"/>
      </w:numPr>
      <w:suppressAutoHyphens/>
      <w:spacing w:before="60" w:after="60"/>
      <w:ind w:left="357" w:hanging="357"/>
      <w:jc w:val="both"/>
      <w:outlineLvl w:val="5"/>
    </w:pPr>
    <w:rPr>
      <w:rFonts w:ascii="Calibri" w:eastAsia="Times New Roman" w:hAnsi="Calibri" w:cs="Times New Roman"/>
      <w:szCs w:val="20"/>
      <w:lang w:eastAsia="zh-CN"/>
    </w:rPr>
  </w:style>
  <w:style w:type="paragraph" w:customStyle="1" w:styleId="Puntoelenco1">
    <w:name w:val="Punto elenco1"/>
    <w:basedOn w:val="Normale"/>
    <w:rsid w:val="006A503A"/>
    <w:pPr>
      <w:numPr>
        <w:numId w:val="3"/>
      </w:numPr>
      <w:suppressAutoHyphens/>
      <w:jc w:val="both"/>
    </w:pPr>
    <w:rPr>
      <w:rFonts w:ascii="Calibri" w:eastAsia="Times New Roman" w:hAnsi="Calibri" w:cs="Times New Roman"/>
      <w:szCs w:val="20"/>
      <w:lang w:eastAsia="zh-CN"/>
    </w:rPr>
  </w:style>
  <w:style w:type="paragraph" w:customStyle="1" w:styleId="Numeroelenco1">
    <w:name w:val="Numero elenco1"/>
    <w:basedOn w:val="Normale"/>
    <w:rsid w:val="006A503A"/>
    <w:pPr>
      <w:numPr>
        <w:numId w:val="2"/>
      </w:numPr>
      <w:suppressAutoHyphens/>
      <w:jc w:val="both"/>
    </w:pPr>
    <w:rPr>
      <w:rFonts w:ascii="Calibri" w:eastAsia="Times New Roman" w:hAnsi="Calibri" w:cs="Times New Roman"/>
      <w:szCs w:val="20"/>
      <w:lang w:eastAsia="zh-CN"/>
    </w:rPr>
  </w:style>
  <w:style w:type="paragraph" w:styleId="Puntoelenco">
    <w:name w:val="List Bullet"/>
    <w:basedOn w:val="Normale"/>
    <w:rsid w:val="00005043"/>
    <w:pPr>
      <w:numPr>
        <w:numId w:val="4"/>
      </w:numPr>
      <w:jc w:val="both"/>
    </w:pPr>
    <w:rPr>
      <w:rFonts w:ascii="Calibri" w:eastAsia="Times New Roman" w:hAnsi="Calibri" w:cs="Times New Roman"/>
      <w:szCs w:val="20"/>
      <w:lang w:eastAsia="it-IT"/>
    </w:rPr>
  </w:style>
  <w:style w:type="paragraph" w:styleId="Numeroelenco">
    <w:name w:val="List Number"/>
    <w:basedOn w:val="Normale"/>
    <w:rsid w:val="00005043"/>
    <w:pPr>
      <w:numPr>
        <w:numId w:val="5"/>
      </w:numPr>
      <w:jc w:val="both"/>
    </w:pPr>
    <w:rPr>
      <w:rFonts w:ascii="Calibri" w:eastAsia="Times New Roman" w:hAnsi="Calibri" w:cs="Times New Roman"/>
      <w:szCs w:val="20"/>
      <w:lang w:eastAsia="it-IT"/>
    </w:rPr>
  </w:style>
  <w:style w:type="paragraph" w:styleId="NormaleWeb">
    <w:name w:val="Normal (Web)"/>
    <w:basedOn w:val="Normale"/>
    <w:link w:val="NormaleWebCarattere"/>
    <w:uiPriority w:val="99"/>
    <w:unhideWhenUsed/>
    <w:rsid w:val="00A64472"/>
    <w:pPr>
      <w:spacing w:after="0"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A644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64472"/>
    <w:rPr>
      <w:rFonts w:ascii="Calibri" w:hAnsi="Calibri"/>
      <w:szCs w:val="21"/>
    </w:rPr>
  </w:style>
  <w:style w:type="table" w:customStyle="1" w:styleId="Tabellasemplice51">
    <w:name w:val="Tabella semplice 51"/>
    <w:basedOn w:val="Tabellanormale"/>
    <w:uiPriority w:val="45"/>
    <w:rsid w:val="0092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926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aliases w:val="Testo_note,footnote text1"/>
    <w:basedOn w:val="Normale"/>
    <w:link w:val="TestonotaapidipaginaCarattere"/>
    <w:uiPriority w:val="99"/>
    <w:unhideWhenUsed/>
    <w:rsid w:val="00F03F2D"/>
    <w:pPr>
      <w:spacing w:after="0" w:line="240" w:lineRule="auto"/>
    </w:pPr>
    <w:rPr>
      <w:sz w:val="20"/>
      <w:szCs w:val="20"/>
    </w:rPr>
  </w:style>
  <w:style w:type="character" w:customStyle="1" w:styleId="TestonotaapidipaginaCarattere">
    <w:name w:val="Testo nota a piè di pagina Carattere"/>
    <w:aliases w:val="Testo_note Carattere,footnote text1 Carattere"/>
    <w:basedOn w:val="Carpredefinitoparagrafo"/>
    <w:link w:val="Testonotaapidipagina"/>
    <w:uiPriority w:val="99"/>
    <w:rsid w:val="00F03F2D"/>
    <w:rPr>
      <w:sz w:val="20"/>
      <w:szCs w:val="20"/>
    </w:rPr>
  </w:style>
  <w:style w:type="character" w:styleId="Rimandonotaapidipagina">
    <w:name w:val="footnote reference"/>
    <w:basedOn w:val="Carpredefinitoparagrafo"/>
    <w:uiPriority w:val="99"/>
    <w:semiHidden/>
    <w:unhideWhenUsed/>
    <w:rsid w:val="00F03F2D"/>
    <w:rPr>
      <w:vertAlign w:val="superscript"/>
    </w:rPr>
  </w:style>
  <w:style w:type="character" w:customStyle="1" w:styleId="Menzione1">
    <w:name w:val="Menzione1"/>
    <w:basedOn w:val="Carpredefinitoparagrafo"/>
    <w:uiPriority w:val="99"/>
    <w:semiHidden/>
    <w:unhideWhenUsed/>
    <w:rsid w:val="00147769"/>
    <w:rPr>
      <w:color w:val="2B579A"/>
      <w:shd w:val="clear" w:color="auto" w:fill="E6E6E6"/>
    </w:rPr>
  </w:style>
  <w:style w:type="character" w:styleId="Collegamentovisitato">
    <w:name w:val="FollowedHyperlink"/>
    <w:basedOn w:val="Carpredefinitoparagrafo"/>
    <w:uiPriority w:val="99"/>
    <w:semiHidden/>
    <w:unhideWhenUsed/>
    <w:rsid w:val="000B546F"/>
    <w:rPr>
      <w:color w:val="800080" w:themeColor="followedHyperlink"/>
      <w:u w:val="single"/>
    </w:rPr>
  </w:style>
  <w:style w:type="character" w:customStyle="1" w:styleId="Menzionenonrisolta1">
    <w:name w:val="Menzione non risolta1"/>
    <w:basedOn w:val="Carpredefinitoparagrafo"/>
    <w:uiPriority w:val="99"/>
    <w:semiHidden/>
    <w:unhideWhenUsed/>
    <w:rsid w:val="009B6EBE"/>
    <w:rPr>
      <w:color w:val="605E5C"/>
      <w:shd w:val="clear" w:color="auto" w:fill="E1DFDD"/>
    </w:rPr>
  </w:style>
  <w:style w:type="paragraph" w:customStyle="1" w:styleId="gmail-msolistparagraph">
    <w:name w:val="gmail-msolistparagraph"/>
    <w:basedOn w:val="Normale"/>
    <w:rsid w:val="00AD529C"/>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AD529C"/>
  </w:style>
  <w:style w:type="paragraph" w:customStyle="1" w:styleId="Body">
    <w:name w:val="Body"/>
    <w:basedOn w:val="Normale"/>
    <w:rsid w:val="00924CBE"/>
    <w:pPr>
      <w:spacing w:after="140" w:line="290" w:lineRule="auto"/>
      <w:jc w:val="both"/>
    </w:pPr>
    <w:rPr>
      <w:rFonts w:ascii="Times New Roman" w:eastAsia="Times New Roman" w:hAnsi="Times New Roman" w:cs="Times New Roman"/>
      <w:kern w:val="20"/>
      <w:sz w:val="24"/>
      <w:szCs w:val="24"/>
      <w:lang w:eastAsia="it-IT"/>
    </w:rPr>
  </w:style>
  <w:style w:type="paragraph" w:customStyle="1" w:styleId="Copertina">
    <w:name w:val="Copertina"/>
    <w:basedOn w:val="Normale"/>
    <w:uiPriority w:val="99"/>
    <w:qFormat/>
    <w:rsid w:val="00AA379F"/>
    <w:pPr>
      <w:widowControl w:val="0"/>
      <w:tabs>
        <w:tab w:val="left" w:pos="709"/>
      </w:tabs>
      <w:jc w:val="center"/>
    </w:pPr>
    <w:rPr>
      <w:rFonts w:ascii="Arial" w:eastAsiaTheme="minorEastAsia" w:hAnsi="Arial" w:cs="Times New Roman"/>
      <w:bCs/>
      <w:snapToGrid w:val="0"/>
      <w:sz w:val="28"/>
      <w:szCs w:val="24"/>
      <w:lang w:eastAsia="it-IT"/>
    </w:rPr>
  </w:style>
  <w:style w:type="paragraph" w:customStyle="1" w:styleId="Corpodeltesto1">
    <w:name w:val="Corpo del testo 1"/>
    <w:basedOn w:val="Normale"/>
    <w:qFormat/>
    <w:rsid w:val="00AA379F"/>
    <w:pPr>
      <w:widowControl w:val="0"/>
      <w:jc w:val="both"/>
    </w:pPr>
    <w:rPr>
      <w:rFonts w:ascii="Arial" w:eastAsiaTheme="minorEastAsia" w:hAnsi="Arial" w:cs="Times New Roman"/>
      <w:snapToGrid w:val="0"/>
      <w:sz w:val="20"/>
      <w:szCs w:val="20"/>
      <w:lang w:eastAsia="it-IT"/>
    </w:rPr>
  </w:style>
  <w:style w:type="character" w:customStyle="1" w:styleId="Menzionenonrisolta2">
    <w:name w:val="Menzione non risolta2"/>
    <w:basedOn w:val="Carpredefinitoparagrafo"/>
    <w:uiPriority w:val="99"/>
    <w:semiHidden/>
    <w:unhideWhenUsed/>
    <w:rsid w:val="00635A19"/>
    <w:rPr>
      <w:color w:val="605E5C"/>
      <w:shd w:val="clear" w:color="auto" w:fill="E1DFDD"/>
    </w:rPr>
  </w:style>
  <w:style w:type="paragraph" w:customStyle="1" w:styleId="Default">
    <w:name w:val="Default"/>
    <w:rsid w:val="00F47F64"/>
    <w:pPr>
      <w:autoSpaceDE w:val="0"/>
      <w:autoSpaceDN w:val="0"/>
      <w:adjustRightInd w:val="0"/>
      <w:spacing w:after="0" w:line="240" w:lineRule="auto"/>
    </w:pPr>
    <w:rPr>
      <w:rFonts w:ascii="Calibri" w:hAnsi="Calibri" w:cs="Calibri"/>
      <w:color w:val="000000"/>
      <w:sz w:val="24"/>
      <w:szCs w:val="24"/>
      <w:lang w:val="en-US"/>
    </w:rPr>
  </w:style>
  <w:style w:type="character" w:styleId="Menzionenonrisolta">
    <w:name w:val="Unresolved Mention"/>
    <w:basedOn w:val="Carpredefinitoparagrafo"/>
    <w:uiPriority w:val="99"/>
    <w:semiHidden/>
    <w:unhideWhenUsed/>
    <w:rsid w:val="002D0E4C"/>
    <w:rPr>
      <w:color w:val="605E5C"/>
      <w:shd w:val="clear" w:color="auto" w:fill="E1DFDD"/>
    </w:rPr>
  </w:style>
  <w:style w:type="paragraph" w:customStyle="1" w:styleId="titolo">
    <w:name w:val="titolo"/>
    <w:basedOn w:val="Normale"/>
    <w:link w:val="titoloCarattere"/>
    <w:qFormat/>
    <w:rsid w:val="00674C4D"/>
    <w:pPr>
      <w:spacing w:after="120" w:line="240" w:lineRule="auto"/>
      <w:jc w:val="center"/>
    </w:pPr>
    <w:rPr>
      <w:rFonts w:cstheme="minorHAnsi"/>
      <w:b/>
      <w:sz w:val="36"/>
      <w:szCs w:val="36"/>
    </w:rPr>
  </w:style>
  <w:style w:type="paragraph" w:customStyle="1" w:styleId="sottotiltolo">
    <w:name w:val="sottotiltolo"/>
    <w:basedOn w:val="Normale"/>
    <w:link w:val="sottotiltoloCarattere"/>
    <w:qFormat/>
    <w:rsid w:val="008D0418"/>
    <w:pPr>
      <w:spacing w:after="120" w:line="240" w:lineRule="auto"/>
      <w:jc w:val="center"/>
    </w:pPr>
    <w:rPr>
      <w:rFonts w:cstheme="minorHAnsi"/>
      <w:b/>
      <w:color w:val="085392"/>
      <w:sz w:val="30"/>
      <w:szCs w:val="30"/>
    </w:rPr>
  </w:style>
  <w:style w:type="character" w:customStyle="1" w:styleId="titoloCarattere">
    <w:name w:val="titolo Carattere"/>
    <w:basedOn w:val="Carpredefinitoparagrafo"/>
    <w:link w:val="titolo"/>
    <w:rsid w:val="00674C4D"/>
    <w:rPr>
      <w:rFonts w:cstheme="minorHAnsi"/>
      <w:b/>
      <w:sz w:val="36"/>
      <w:szCs w:val="36"/>
    </w:rPr>
  </w:style>
  <w:style w:type="paragraph" w:customStyle="1" w:styleId="testo">
    <w:name w:val="testo"/>
    <w:basedOn w:val="NormaleWeb"/>
    <w:link w:val="testoCarattere"/>
    <w:qFormat/>
    <w:rsid w:val="00674C4D"/>
    <w:pPr>
      <w:spacing w:line="360" w:lineRule="auto"/>
      <w:jc w:val="both"/>
    </w:pPr>
    <w:rPr>
      <w:rFonts w:ascii="Calibri" w:hAnsi="Calibri" w:cs="Calibri"/>
      <w:spacing w:val="-2"/>
      <w:sz w:val="23"/>
      <w:szCs w:val="23"/>
    </w:rPr>
  </w:style>
  <w:style w:type="character" w:customStyle="1" w:styleId="sottotiltoloCarattere">
    <w:name w:val="sottotiltolo Carattere"/>
    <w:basedOn w:val="Carpredefinitoparagrafo"/>
    <w:link w:val="sottotiltolo"/>
    <w:rsid w:val="008D0418"/>
    <w:rPr>
      <w:rFonts w:cstheme="minorHAnsi"/>
      <w:b/>
      <w:color w:val="085392"/>
      <w:sz w:val="30"/>
      <w:szCs w:val="30"/>
    </w:rPr>
  </w:style>
  <w:style w:type="paragraph" w:customStyle="1" w:styleId="notaintermonte">
    <w:name w:val="nota intermonte"/>
    <w:basedOn w:val="Normale"/>
    <w:link w:val="notaintermonteCarattere"/>
    <w:qFormat/>
    <w:rsid w:val="00674C4D"/>
    <w:pPr>
      <w:spacing w:after="0" w:line="240" w:lineRule="auto"/>
      <w:ind w:right="-1"/>
      <w:jc w:val="both"/>
    </w:pPr>
    <w:rPr>
      <w:rFonts w:ascii="Calibri" w:eastAsia="Times New Roman" w:hAnsi="Calibri" w:cs="Calibri"/>
      <w:i/>
      <w:iCs/>
      <w:sz w:val="18"/>
      <w:szCs w:val="18"/>
      <w:lang w:eastAsia="it-IT"/>
    </w:rPr>
  </w:style>
  <w:style w:type="character" w:customStyle="1" w:styleId="NormaleWebCarattere">
    <w:name w:val="Normale (Web) Carattere"/>
    <w:basedOn w:val="Carpredefinitoparagrafo"/>
    <w:link w:val="NormaleWeb"/>
    <w:uiPriority w:val="99"/>
    <w:rsid w:val="00674C4D"/>
    <w:rPr>
      <w:rFonts w:ascii="Times New Roman" w:hAnsi="Times New Roman" w:cs="Times New Roman"/>
      <w:sz w:val="24"/>
      <w:szCs w:val="24"/>
      <w:lang w:eastAsia="it-IT"/>
    </w:rPr>
  </w:style>
  <w:style w:type="character" w:customStyle="1" w:styleId="testoCarattere">
    <w:name w:val="testo Carattere"/>
    <w:basedOn w:val="NormaleWebCarattere"/>
    <w:link w:val="testo"/>
    <w:rsid w:val="00674C4D"/>
    <w:rPr>
      <w:rFonts w:ascii="Calibri" w:hAnsi="Calibri" w:cs="Calibri"/>
      <w:spacing w:val="-2"/>
      <w:sz w:val="23"/>
      <w:szCs w:val="23"/>
      <w:lang w:eastAsia="it-IT"/>
    </w:rPr>
  </w:style>
  <w:style w:type="paragraph" w:customStyle="1" w:styleId="3sottotitolo">
    <w:name w:val="3 sottotitolo"/>
    <w:basedOn w:val="sottotiltolo"/>
    <w:link w:val="3sottotitoloCarattere"/>
    <w:qFormat/>
    <w:rsid w:val="008D0418"/>
    <w:rPr>
      <w:color w:val="auto"/>
      <w:sz w:val="26"/>
      <w:szCs w:val="26"/>
    </w:rPr>
  </w:style>
  <w:style w:type="character" w:customStyle="1" w:styleId="notaintermonteCarattere">
    <w:name w:val="nota intermonte Carattere"/>
    <w:basedOn w:val="Carpredefinitoparagrafo"/>
    <w:link w:val="notaintermonte"/>
    <w:rsid w:val="00674C4D"/>
    <w:rPr>
      <w:rFonts w:ascii="Calibri" w:eastAsia="Times New Roman" w:hAnsi="Calibri" w:cs="Calibri"/>
      <w:i/>
      <w:iCs/>
      <w:sz w:val="18"/>
      <w:szCs w:val="18"/>
      <w:lang w:eastAsia="it-IT"/>
    </w:rPr>
  </w:style>
  <w:style w:type="character" w:customStyle="1" w:styleId="3sottotitoloCarattere">
    <w:name w:val="3 sottotitolo Carattere"/>
    <w:basedOn w:val="sottotiltoloCarattere"/>
    <w:link w:val="3sottotitolo"/>
    <w:rsid w:val="008D0418"/>
    <w:rPr>
      <w:rFonts w:cstheme="minorHAnsi"/>
      <w:b/>
      <w:color w:val="085392"/>
      <w:sz w:val="26"/>
      <w:szCs w:val="26"/>
    </w:rPr>
  </w:style>
  <w:style w:type="paragraph" w:customStyle="1" w:styleId="xxmsonormal">
    <w:name w:val="x_x_msonormal"/>
    <w:basedOn w:val="Normale"/>
    <w:rsid w:val="00C6793E"/>
    <w:pPr>
      <w:spacing w:after="0" w:line="240" w:lineRule="auto"/>
    </w:pPr>
    <w:rPr>
      <w:rFonts w:ascii="Calibri" w:hAnsi="Calibri" w:cs="Calibri"/>
      <w:lang w:eastAsia="it-IT"/>
    </w:rPr>
  </w:style>
  <w:style w:type="paragraph" w:customStyle="1" w:styleId="xxmsolistparagraph">
    <w:name w:val="x_x_msolistparagraph"/>
    <w:basedOn w:val="Normale"/>
    <w:rsid w:val="00C6793E"/>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4B0D1B"/>
    <w:rPr>
      <w:i/>
      <w:iCs/>
    </w:rPr>
  </w:style>
  <w:style w:type="character" w:customStyle="1" w:styleId="xxelementtoproof">
    <w:name w:val="x_x_elementtoproof"/>
    <w:basedOn w:val="Carpredefinitoparagrafo"/>
    <w:rsid w:val="004D621B"/>
  </w:style>
  <w:style w:type="paragraph" w:customStyle="1" w:styleId="xelementtoproof">
    <w:name w:val="x_elementtoproof"/>
    <w:basedOn w:val="Normale"/>
    <w:rsid w:val="00B25164"/>
    <w:pPr>
      <w:spacing w:before="100" w:beforeAutospacing="1" w:after="100" w:afterAutospacing="1" w:line="240" w:lineRule="auto"/>
    </w:pPr>
    <w:rPr>
      <w:rFonts w:ascii="Calibri" w:hAnsi="Calibri" w:cs="Calibri"/>
      <w:lang w:eastAsia="it-IT"/>
    </w:rPr>
  </w:style>
  <w:style w:type="paragraph" w:customStyle="1" w:styleId="elementtoproof">
    <w:name w:val="elementtoproof"/>
    <w:basedOn w:val="Normale"/>
    <w:rsid w:val="00AE4E19"/>
    <w:pPr>
      <w:spacing w:before="100" w:beforeAutospacing="1" w:after="100" w:afterAutospacing="1" w:line="240" w:lineRule="auto"/>
    </w:pPr>
    <w:rPr>
      <w:rFonts w:ascii="Calibri" w:hAnsi="Calibri" w:cs="Calibri"/>
      <w:lang w:eastAsia="it-IT"/>
    </w:rPr>
  </w:style>
  <w:style w:type="character" w:customStyle="1" w:styleId="contentpasted1">
    <w:name w:val="contentpasted1"/>
    <w:basedOn w:val="Carpredefinitoparagrafo"/>
    <w:rsid w:val="00153EE6"/>
  </w:style>
  <w:style w:type="paragraph" w:customStyle="1" w:styleId="contentpasted7">
    <w:name w:val="contentpasted7"/>
    <w:basedOn w:val="Normale"/>
    <w:uiPriority w:val="99"/>
    <w:semiHidden/>
    <w:rsid w:val="008D7BD7"/>
    <w:pPr>
      <w:spacing w:after="0" w:line="240" w:lineRule="auto"/>
    </w:pPr>
    <w:rPr>
      <w:rFonts w:ascii="Calibri" w:hAnsi="Calibri" w:cs="Calibri"/>
      <w:lang w:eastAsia="it-IT"/>
    </w:rPr>
  </w:style>
  <w:style w:type="character" w:customStyle="1" w:styleId="contentpasted4">
    <w:name w:val="contentpasted4"/>
    <w:basedOn w:val="Carpredefinitoparagrafo"/>
    <w:rsid w:val="008D7BD7"/>
  </w:style>
  <w:style w:type="paragraph" w:customStyle="1" w:styleId="xmsonormal">
    <w:name w:val="x_msonormal"/>
    <w:basedOn w:val="Normale"/>
    <w:rsid w:val="00BC43BE"/>
    <w:pPr>
      <w:spacing w:after="0" w:line="240" w:lineRule="auto"/>
    </w:pPr>
    <w:rPr>
      <w:rFonts w:ascii="Calibri" w:hAnsi="Calibri" w:cs="Calibri"/>
      <w:lang w:eastAsia="it-IT"/>
    </w:rPr>
  </w:style>
  <w:style w:type="paragraph" w:customStyle="1" w:styleId="xcontentpasted0">
    <w:name w:val="x_contentpasted0"/>
    <w:basedOn w:val="Normale"/>
    <w:rsid w:val="00BC43BE"/>
    <w:pPr>
      <w:spacing w:before="100" w:beforeAutospacing="1" w:after="100" w:afterAutospacing="1" w:line="240" w:lineRule="auto"/>
    </w:pPr>
    <w:rPr>
      <w:rFonts w:ascii="Calibri" w:hAnsi="Calibri" w:cs="Calibri"/>
      <w:lang w:eastAsia="it-IT"/>
    </w:rPr>
  </w:style>
  <w:style w:type="character" w:customStyle="1" w:styleId="xcontentpasted1">
    <w:name w:val="x_contentpasted1"/>
    <w:basedOn w:val="Carpredefinitoparagrafo"/>
    <w:rsid w:val="00BC43BE"/>
  </w:style>
  <w:style w:type="character" w:customStyle="1" w:styleId="xcontentpasted2">
    <w:name w:val="x_contentpasted2"/>
    <w:basedOn w:val="Carpredefinitoparagrafo"/>
    <w:rsid w:val="00BC43BE"/>
  </w:style>
  <w:style w:type="character" w:customStyle="1" w:styleId="xcontentpasted01">
    <w:name w:val="x_contentpasted01"/>
    <w:basedOn w:val="Carpredefinitoparagrafo"/>
    <w:rsid w:val="00BC43BE"/>
  </w:style>
  <w:style w:type="character" w:customStyle="1" w:styleId="contentpasted0">
    <w:name w:val="contentpasted0"/>
    <w:basedOn w:val="Carpredefinitoparagrafo"/>
    <w:rsid w:val="00F9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593">
      <w:bodyDiv w:val="1"/>
      <w:marLeft w:val="0"/>
      <w:marRight w:val="0"/>
      <w:marTop w:val="0"/>
      <w:marBottom w:val="0"/>
      <w:divBdr>
        <w:top w:val="none" w:sz="0" w:space="0" w:color="auto"/>
        <w:left w:val="none" w:sz="0" w:space="0" w:color="auto"/>
        <w:bottom w:val="none" w:sz="0" w:space="0" w:color="auto"/>
        <w:right w:val="none" w:sz="0" w:space="0" w:color="auto"/>
      </w:divBdr>
    </w:div>
    <w:div w:id="29231334">
      <w:bodyDiv w:val="1"/>
      <w:marLeft w:val="0"/>
      <w:marRight w:val="0"/>
      <w:marTop w:val="0"/>
      <w:marBottom w:val="0"/>
      <w:divBdr>
        <w:top w:val="none" w:sz="0" w:space="0" w:color="auto"/>
        <w:left w:val="none" w:sz="0" w:space="0" w:color="auto"/>
        <w:bottom w:val="none" w:sz="0" w:space="0" w:color="auto"/>
        <w:right w:val="none" w:sz="0" w:space="0" w:color="auto"/>
      </w:divBdr>
    </w:div>
    <w:div w:id="54008550">
      <w:bodyDiv w:val="1"/>
      <w:marLeft w:val="0"/>
      <w:marRight w:val="0"/>
      <w:marTop w:val="0"/>
      <w:marBottom w:val="0"/>
      <w:divBdr>
        <w:top w:val="none" w:sz="0" w:space="0" w:color="auto"/>
        <w:left w:val="none" w:sz="0" w:space="0" w:color="auto"/>
        <w:bottom w:val="none" w:sz="0" w:space="0" w:color="auto"/>
        <w:right w:val="none" w:sz="0" w:space="0" w:color="auto"/>
      </w:divBdr>
    </w:div>
    <w:div w:id="122890182">
      <w:bodyDiv w:val="1"/>
      <w:marLeft w:val="0"/>
      <w:marRight w:val="0"/>
      <w:marTop w:val="0"/>
      <w:marBottom w:val="0"/>
      <w:divBdr>
        <w:top w:val="none" w:sz="0" w:space="0" w:color="auto"/>
        <w:left w:val="none" w:sz="0" w:space="0" w:color="auto"/>
        <w:bottom w:val="none" w:sz="0" w:space="0" w:color="auto"/>
        <w:right w:val="none" w:sz="0" w:space="0" w:color="auto"/>
      </w:divBdr>
    </w:div>
    <w:div w:id="140269545">
      <w:bodyDiv w:val="1"/>
      <w:marLeft w:val="0"/>
      <w:marRight w:val="0"/>
      <w:marTop w:val="0"/>
      <w:marBottom w:val="0"/>
      <w:divBdr>
        <w:top w:val="none" w:sz="0" w:space="0" w:color="auto"/>
        <w:left w:val="none" w:sz="0" w:space="0" w:color="auto"/>
        <w:bottom w:val="none" w:sz="0" w:space="0" w:color="auto"/>
        <w:right w:val="none" w:sz="0" w:space="0" w:color="auto"/>
      </w:divBdr>
    </w:div>
    <w:div w:id="172230563">
      <w:bodyDiv w:val="1"/>
      <w:marLeft w:val="0"/>
      <w:marRight w:val="0"/>
      <w:marTop w:val="0"/>
      <w:marBottom w:val="0"/>
      <w:divBdr>
        <w:top w:val="none" w:sz="0" w:space="0" w:color="auto"/>
        <w:left w:val="none" w:sz="0" w:space="0" w:color="auto"/>
        <w:bottom w:val="none" w:sz="0" w:space="0" w:color="auto"/>
        <w:right w:val="none" w:sz="0" w:space="0" w:color="auto"/>
      </w:divBdr>
      <w:divsChild>
        <w:div w:id="1146895144">
          <w:marLeft w:val="0"/>
          <w:marRight w:val="0"/>
          <w:marTop w:val="0"/>
          <w:marBottom w:val="0"/>
          <w:divBdr>
            <w:top w:val="none" w:sz="0" w:space="0" w:color="auto"/>
            <w:left w:val="none" w:sz="0" w:space="0" w:color="auto"/>
            <w:bottom w:val="none" w:sz="0" w:space="0" w:color="auto"/>
            <w:right w:val="none" w:sz="0" w:space="0" w:color="auto"/>
          </w:divBdr>
          <w:divsChild>
            <w:div w:id="895429016">
              <w:marLeft w:val="0"/>
              <w:marRight w:val="0"/>
              <w:marTop w:val="0"/>
              <w:marBottom w:val="0"/>
              <w:divBdr>
                <w:top w:val="none" w:sz="0" w:space="0" w:color="auto"/>
                <w:left w:val="none" w:sz="0" w:space="0" w:color="auto"/>
                <w:bottom w:val="none" w:sz="0" w:space="0" w:color="auto"/>
                <w:right w:val="none" w:sz="0" w:space="0" w:color="auto"/>
              </w:divBdr>
              <w:divsChild>
                <w:div w:id="10799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1548330">
      <w:bodyDiv w:val="1"/>
      <w:marLeft w:val="0"/>
      <w:marRight w:val="0"/>
      <w:marTop w:val="0"/>
      <w:marBottom w:val="0"/>
      <w:divBdr>
        <w:top w:val="none" w:sz="0" w:space="0" w:color="auto"/>
        <w:left w:val="none" w:sz="0" w:space="0" w:color="auto"/>
        <w:bottom w:val="none" w:sz="0" w:space="0" w:color="auto"/>
        <w:right w:val="none" w:sz="0" w:space="0" w:color="auto"/>
      </w:divBdr>
    </w:div>
    <w:div w:id="256791412">
      <w:bodyDiv w:val="1"/>
      <w:marLeft w:val="0"/>
      <w:marRight w:val="0"/>
      <w:marTop w:val="0"/>
      <w:marBottom w:val="0"/>
      <w:divBdr>
        <w:top w:val="none" w:sz="0" w:space="0" w:color="auto"/>
        <w:left w:val="none" w:sz="0" w:space="0" w:color="auto"/>
        <w:bottom w:val="none" w:sz="0" w:space="0" w:color="auto"/>
        <w:right w:val="none" w:sz="0" w:space="0" w:color="auto"/>
      </w:divBdr>
    </w:div>
    <w:div w:id="285502173">
      <w:bodyDiv w:val="1"/>
      <w:marLeft w:val="0"/>
      <w:marRight w:val="0"/>
      <w:marTop w:val="0"/>
      <w:marBottom w:val="0"/>
      <w:divBdr>
        <w:top w:val="none" w:sz="0" w:space="0" w:color="auto"/>
        <w:left w:val="none" w:sz="0" w:space="0" w:color="auto"/>
        <w:bottom w:val="none" w:sz="0" w:space="0" w:color="auto"/>
        <w:right w:val="none" w:sz="0" w:space="0" w:color="auto"/>
      </w:divBdr>
    </w:div>
    <w:div w:id="296179501">
      <w:bodyDiv w:val="1"/>
      <w:marLeft w:val="0"/>
      <w:marRight w:val="0"/>
      <w:marTop w:val="0"/>
      <w:marBottom w:val="0"/>
      <w:divBdr>
        <w:top w:val="none" w:sz="0" w:space="0" w:color="auto"/>
        <w:left w:val="none" w:sz="0" w:space="0" w:color="auto"/>
        <w:bottom w:val="none" w:sz="0" w:space="0" w:color="auto"/>
        <w:right w:val="none" w:sz="0" w:space="0" w:color="auto"/>
      </w:divBdr>
    </w:div>
    <w:div w:id="321660072">
      <w:bodyDiv w:val="1"/>
      <w:marLeft w:val="0"/>
      <w:marRight w:val="0"/>
      <w:marTop w:val="0"/>
      <w:marBottom w:val="0"/>
      <w:divBdr>
        <w:top w:val="none" w:sz="0" w:space="0" w:color="auto"/>
        <w:left w:val="none" w:sz="0" w:space="0" w:color="auto"/>
        <w:bottom w:val="none" w:sz="0" w:space="0" w:color="auto"/>
        <w:right w:val="none" w:sz="0" w:space="0" w:color="auto"/>
      </w:divBdr>
    </w:div>
    <w:div w:id="330106368">
      <w:bodyDiv w:val="1"/>
      <w:marLeft w:val="0"/>
      <w:marRight w:val="0"/>
      <w:marTop w:val="0"/>
      <w:marBottom w:val="0"/>
      <w:divBdr>
        <w:top w:val="none" w:sz="0" w:space="0" w:color="auto"/>
        <w:left w:val="none" w:sz="0" w:space="0" w:color="auto"/>
        <w:bottom w:val="none" w:sz="0" w:space="0" w:color="auto"/>
        <w:right w:val="none" w:sz="0" w:space="0" w:color="auto"/>
      </w:divBdr>
    </w:div>
    <w:div w:id="332029701">
      <w:bodyDiv w:val="1"/>
      <w:marLeft w:val="0"/>
      <w:marRight w:val="0"/>
      <w:marTop w:val="0"/>
      <w:marBottom w:val="0"/>
      <w:divBdr>
        <w:top w:val="none" w:sz="0" w:space="0" w:color="auto"/>
        <w:left w:val="none" w:sz="0" w:space="0" w:color="auto"/>
        <w:bottom w:val="none" w:sz="0" w:space="0" w:color="auto"/>
        <w:right w:val="none" w:sz="0" w:space="0" w:color="auto"/>
      </w:divBdr>
    </w:div>
    <w:div w:id="393967402">
      <w:bodyDiv w:val="1"/>
      <w:marLeft w:val="0"/>
      <w:marRight w:val="0"/>
      <w:marTop w:val="0"/>
      <w:marBottom w:val="0"/>
      <w:divBdr>
        <w:top w:val="none" w:sz="0" w:space="0" w:color="auto"/>
        <w:left w:val="none" w:sz="0" w:space="0" w:color="auto"/>
        <w:bottom w:val="none" w:sz="0" w:space="0" w:color="auto"/>
        <w:right w:val="none" w:sz="0" w:space="0" w:color="auto"/>
      </w:divBdr>
    </w:div>
    <w:div w:id="413742057">
      <w:bodyDiv w:val="1"/>
      <w:marLeft w:val="0"/>
      <w:marRight w:val="0"/>
      <w:marTop w:val="0"/>
      <w:marBottom w:val="0"/>
      <w:divBdr>
        <w:top w:val="none" w:sz="0" w:space="0" w:color="auto"/>
        <w:left w:val="none" w:sz="0" w:space="0" w:color="auto"/>
        <w:bottom w:val="none" w:sz="0" w:space="0" w:color="auto"/>
        <w:right w:val="none" w:sz="0" w:space="0" w:color="auto"/>
      </w:divBdr>
    </w:div>
    <w:div w:id="426999437">
      <w:bodyDiv w:val="1"/>
      <w:marLeft w:val="0"/>
      <w:marRight w:val="0"/>
      <w:marTop w:val="0"/>
      <w:marBottom w:val="0"/>
      <w:divBdr>
        <w:top w:val="none" w:sz="0" w:space="0" w:color="auto"/>
        <w:left w:val="none" w:sz="0" w:space="0" w:color="auto"/>
        <w:bottom w:val="none" w:sz="0" w:space="0" w:color="auto"/>
        <w:right w:val="none" w:sz="0" w:space="0" w:color="auto"/>
      </w:divBdr>
    </w:div>
    <w:div w:id="453445926">
      <w:bodyDiv w:val="1"/>
      <w:marLeft w:val="0"/>
      <w:marRight w:val="0"/>
      <w:marTop w:val="0"/>
      <w:marBottom w:val="0"/>
      <w:divBdr>
        <w:top w:val="none" w:sz="0" w:space="0" w:color="auto"/>
        <w:left w:val="none" w:sz="0" w:space="0" w:color="auto"/>
        <w:bottom w:val="none" w:sz="0" w:space="0" w:color="auto"/>
        <w:right w:val="none" w:sz="0" w:space="0" w:color="auto"/>
      </w:divBdr>
    </w:div>
    <w:div w:id="4601555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918">
          <w:marLeft w:val="0"/>
          <w:marRight w:val="0"/>
          <w:marTop w:val="0"/>
          <w:marBottom w:val="0"/>
          <w:divBdr>
            <w:top w:val="none" w:sz="0" w:space="0" w:color="auto"/>
            <w:left w:val="none" w:sz="0" w:space="0" w:color="auto"/>
            <w:bottom w:val="none" w:sz="0" w:space="0" w:color="auto"/>
            <w:right w:val="none" w:sz="0" w:space="0" w:color="auto"/>
          </w:divBdr>
          <w:divsChild>
            <w:div w:id="840201638">
              <w:marLeft w:val="0"/>
              <w:marRight w:val="0"/>
              <w:marTop w:val="0"/>
              <w:marBottom w:val="0"/>
              <w:divBdr>
                <w:top w:val="none" w:sz="0" w:space="0" w:color="auto"/>
                <w:left w:val="none" w:sz="0" w:space="0" w:color="auto"/>
                <w:bottom w:val="none" w:sz="0" w:space="0" w:color="auto"/>
                <w:right w:val="none" w:sz="0" w:space="0" w:color="auto"/>
              </w:divBdr>
              <w:divsChild>
                <w:div w:id="408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522675070">
      <w:bodyDiv w:val="1"/>
      <w:marLeft w:val="0"/>
      <w:marRight w:val="0"/>
      <w:marTop w:val="0"/>
      <w:marBottom w:val="0"/>
      <w:divBdr>
        <w:top w:val="none" w:sz="0" w:space="0" w:color="auto"/>
        <w:left w:val="none" w:sz="0" w:space="0" w:color="auto"/>
        <w:bottom w:val="none" w:sz="0" w:space="0" w:color="auto"/>
        <w:right w:val="none" w:sz="0" w:space="0" w:color="auto"/>
      </w:divBdr>
    </w:div>
    <w:div w:id="528878342">
      <w:bodyDiv w:val="1"/>
      <w:marLeft w:val="0"/>
      <w:marRight w:val="0"/>
      <w:marTop w:val="0"/>
      <w:marBottom w:val="0"/>
      <w:divBdr>
        <w:top w:val="none" w:sz="0" w:space="0" w:color="auto"/>
        <w:left w:val="none" w:sz="0" w:space="0" w:color="auto"/>
        <w:bottom w:val="none" w:sz="0" w:space="0" w:color="auto"/>
        <w:right w:val="none" w:sz="0" w:space="0" w:color="auto"/>
      </w:divBdr>
    </w:div>
    <w:div w:id="534854048">
      <w:bodyDiv w:val="1"/>
      <w:marLeft w:val="0"/>
      <w:marRight w:val="0"/>
      <w:marTop w:val="0"/>
      <w:marBottom w:val="0"/>
      <w:divBdr>
        <w:top w:val="none" w:sz="0" w:space="0" w:color="auto"/>
        <w:left w:val="none" w:sz="0" w:space="0" w:color="auto"/>
        <w:bottom w:val="none" w:sz="0" w:space="0" w:color="auto"/>
        <w:right w:val="none" w:sz="0" w:space="0" w:color="auto"/>
      </w:divBdr>
    </w:div>
    <w:div w:id="575092377">
      <w:bodyDiv w:val="1"/>
      <w:marLeft w:val="0"/>
      <w:marRight w:val="0"/>
      <w:marTop w:val="0"/>
      <w:marBottom w:val="0"/>
      <w:divBdr>
        <w:top w:val="none" w:sz="0" w:space="0" w:color="auto"/>
        <w:left w:val="none" w:sz="0" w:space="0" w:color="auto"/>
        <w:bottom w:val="none" w:sz="0" w:space="0" w:color="auto"/>
        <w:right w:val="none" w:sz="0" w:space="0" w:color="auto"/>
      </w:divBdr>
    </w:div>
    <w:div w:id="642274795">
      <w:bodyDiv w:val="1"/>
      <w:marLeft w:val="0"/>
      <w:marRight w:val="0"/>
      <w:marTop w:val="0"/>
      <w:marBottom w:val="0"/>
      <w:divBdr>
        <w:top w:val="none" w:sz="0" w:space="0" w:color="auto"/>
        <w:left w:val="none" w:sz="0" w:space="0" w:color="auto"/>
        <w:bottom w:val="none" w:sz="0" w:space="0" w:color="auto"/>
        <w:right w:val="none" w:sz="0" w:space="0" w:color="auto"/>
      </w:divBdr>
    </w:div>
    <w:div w:id="645479047">
      <w:bodyDiv w:val="1"/>
      <w:marLeft w:val="0"/>
      <w:marRight w:val="0"/>
      <w:marTop w:val="0"/>
      <w:marBottom w:val="0"/>
      <w:divBdr>
        <w:top w:val="none" w:sz="0" w:space="0" w:color="auto"/>
        <w:left w:val="none" w:sz="0" w:space="0" w:color="auto"/>
        <w:bottom w:val="none" w:sz="0" w:space="0" w:color="auto"/>
        <w:right w:val="none" w:sz="0" w:space="0" w:color="auto"/>
      </w:divBdr>
    </w:div>
    <w:div w:id="659190949">
      <w:bodyDiv w:val="1"/>
      <w:marLeft w:val="0"/>
      <w:marRight w:val="0"/>
      <w:marTop w:val="0"/>
      <w:marBottom w:val="0"/>
      <w:divBdr>
        <w:top w:val="none" w:sz="0" w:space="0" w:color="auto"/>
        <w:left w:val="none" w:sz="0" w:space="0" w:color="auto"/>
        <w:bottom w:val="none" w:sz="0" w:space="0" w:color="auto"/>
        <w:right w:val="none" w:sz="0" w:space="0" w:color="auto"/>
      </w:divBdr>
      <w:divsChild>
        <w:div w:id="599724354">
          <w:marLeft w:val="0"/>
          <w:marRight w:val="0"/>
          <w:marTop w:val="0"/>
          <w:marBottom w:val="0"/>
          <w:divBdr>
            <w:top w:val="none" w:sz="0" w:space="0" w:color="auto"/>
            <w:left w:val="none" w:sz="0" w:space="0" w:color="auto"/>
            <w:bottom w:val="none" w:sz="0" w:space="0" w:color="auto"/>
            <w:right w:val="none" w:sz="0" w:space="0" w:color="auto"/>
          </w:divBdr>
        </w:div>
      </w:divsChild>
    </w:div>
    <w:div w:id="661199773">
      <w:bodyDiv w:val="1"/>
      <w:marLeft w:val="0"/>
      <w:marRight w:val="0"/>
      <w:marTop w:val="0"/>
      <w:marBottom w:val="0"/>
      <w:divBdr>
        <w:top w:val="none" w:sz="0" w:space="0" w:color="auto"/>
        <w:left w:val="none" w:sz="0" w:space="0" w:color="auto"/>
        <w:bottom w:val="none" w:sz="0" w:space="0" w:color="auto"/>
        <w:right w:val="none" w:sz="0" w:space="0" w:color="auto"/>
      </w:divBdr>
    </w:div>
    <w:div w:id="723135723">
      <w:bodyDiv w:val="1"/>
      <w:marLeft w:val="0"/>
      <w:marRight w:val="0"/>
      <w:marTop w:val="0"/>
      <w:marBottom w:val="0"/>
      <w:divBdr>
        <w:top w:val="none" w:sz="0" w:space="0" w:color="auto"/>
        <w:left w:val="none" w:sz="0" w:space="0" w:color="auto"/>
        <w:bottom w:val="none" w:sz="0" w:space="0" w:color="auto"/>
        <w:right w:val="none" w:sz="0" w:space="0" w:color="auto"/>
      </w:divBdr>
    </w:div>
    <w:div w:id="724522698">
      <w:bodyDiv w:val="1"/>
      <w:marLeft w:val="0"/>
      <w:marRight w:val="0"/>
      <w:marTop w:val="0"/>
      <w:marBottom w:val="0"/>
      <w:divBdr>
        <w:top w:val="none" w:sz="0" w:space="0" w:color="auto"/>
        <w:left w:val="none" w:sz="0" w:space="0" w:color="auto"/>
        <w:bottom w:val="none" w:sz="0" w:space="0" w:color="auto"/>
        <w:right w:val="none" w:sz="0" w:space="0" w:color="auto"/>
      </w:divBdr>
    </w:div>
    <w:div w:id="753746601">
      <w:bodyDiv w:val="1"/>
      <w:marLeft w:val="0"/>
      <w:marRight w:val="0"/>
      <w:marTop w:val="0"/>
      <w:marBottom w:val="0"/>
      <w:divBdr>
        <w:top w:val="none" w:sz="0" w:space="0" w:color="auto"/>
        <w:left w:val="none" w:sz="0" w:space="0" w:color="auto"/>
        <w:bottom w:val="none" w:sz="0" w:space="0" w:color="auto"/>
        <w:right w:val="none" w:sz="0" w:space="0" w:color="auto"/>
      </w:divBdr>
    </w:div>
    <w:div w:id="757748566">
      <w:bodyDiv w:val="1"/>
      <w:marLeft w:val="0"/>
      <w:marRight w:val="0"/>
      <w:marTop w:val="0"/>
      <w:marBottom w:val="0"/>
      <w:divBdr>
        <w:top w:val="none" w:sz="0" w:space="0" w:color="auto"/>
        <w:left w:val="none" w:sz="0" w:space="0" w:color="auto"/>
        <w:bottom w:val="none" w:sz="0" w:space="0" w:color="auto"/>
        <w:right w:val="none" w:sz="0" w:space="0" w:color="auto"/>
      </w:divBdr>
    </w:div>
    <w:div w:id="876697849">
      <w:bodyDiv w:val="1"/>
      <w:marLeft w:val="0"/>
      <w:marRight w:val="0"/>
      <w:marTop w:val="0"/>
      <w:marBottom w:val="0"/>
      <w:divBdr>
        <w:top w:val="none" w:sz="0" w:space="0" w:color="auto"/>
        <w:left w:val="none" w:sz="0" w:space="0" w:color="auto"/>
        <w:bottom w:val="none" w:sz="0" w:space="0" w:color="auto"/>
        <w:right w:val="none" w:sz="0" w:space="0" w:color="auto"/>
      </w:divBdr>
    </w:div>
    <w:div w:id="935939040">
      <w:bodyDiv w:val="1"/>
      <w:marLeft w:val="0"/>
      <w:marRight w:val="0"/>
      <w:marTop w:val="0"/>
      <w:marBottom w:val="0"/>
      <w:divBdr>
        <w:top w:val="none" w:sz="0" w:space="0" w:color="auto"/>
        <w:left w:val="none" w:sz="0" w:space="0" w:color="auto"/>
        <w:bottom w:val="none" w:sz="0" w:space="0" w:color="auto"/>
        <w:right w:val="none" w:sz="0" w:space="0" w:color="auto"/>
      </w:divBdr>
    </w:div>
    <w:div w:id="994606197">
      <w:bodyDiv w:val="1"/>
      <w:marLeft w:val="0"/>
      <w:marRight w:val="0"/>
      <w:marTop w:val="0"/>
      <w:marBottom w:val="0"/>
      <w:divBdr>
        <w:top w:val="none" w:sz="0" w:space="0" w:color="auto"/>
        <w:left w:val="none" w:sz="0" w:space="0" w:color="auto"/>
        <w:bottom w:val="none" w:sz="0" w:space="0" w:color="auto"/>
        <w:right w:val="none" w:sz="0" w:space="0" w:color="auto"/>
      </w:divBdr>
    </w:div>
    <w:div w:id="1041394228">
      <w:bodyDiv w:val="1"/>
      <w:marLeft w:val="0"/>
      <w:marRight w:val="0"/>
      <w:marTop w:val="0"/>
      <w:marBottom w:val="0"/>
      <w:divBdr>
        <w:top w:val="none" w:sz="0" w:space="0" w:color="auto"/>
        <w:left w:val="none" w:sz="0" w:space="0" w:color="auto"/>
        <w:bottom w:val="none" w:sz="0" w:space="0" w:color="auto"/>
        <w:right w:val="none" w:sz="0" w:space="0" w:color="auto"/>
      </w:divBdr>
    </w:div>
    <w:div w:id="1063599639">
      <w:bodyDiv w:val="1"/>
      <w:marLeft w:val="0"/>
      <w:marRight w:val="0"/>
      <w:marTop w:val="0"/>
      <w:marBottom w:val="0"/>
      <w:divBdr>
        <w:top w:val="none" w:sz="0" w:space="0" w:color="auto"/>
        <w:left w:val="none" w:sz="0" w:space="0" w:color="auto"/>
        <w:bottom w:val="none" w:sz="0" w:space="0" w:color="auto"/>
        <w:right w:val="none" w:sz="0" w:space="0" w:color="auto"/>
      </w:divBdr>
    </w:div>
    <w:div w:id="1122698929">
      <w:bodyDiv w:val="1"/>
      <w:marLeft w:val="0"/>
      <w:marRight w:val="0"/>
      <w:marTop w:val="0"/>
      <w:marBottom w:val="0"/>
      <w:divBdr>
        <w:top w:val="none" w:sz="0" w:space="0" w:color="auto"/>
        <w:left w:val="none" w:sz="0" w:space="0" w:color="auto"/>
        <w:bottom w:val="none" w:sz="0" w:space="0" w:color="auto"/>
        <w:right w:val="none" w:sz="0" w:space="0" w:color="auto"/>
      </w:divBdr>
      <w:divsChild>
        <w:div w:id="441458211">
          <w:marLeft w:val="0"/>
          <w:marRight w:val="0"/>
          <w:marTop w:val="0"/>
          <w:marBottom w:val="0"/>
          <w:divBdr>
            <w:top w:val="none" w:sz="0" w:space="0" w:color="auto"/>
            <w:left w:val="none" w:sz="0" w:space="0" w:color="auto"/>
            <w:bottom w:val="none" w:sz="0" w:space="0" w:color="auto"/>
            <w:right w:val="none" w:sz="0" w:space="0" w:color="auto"/>
          </w:divBdr>
          <w:divsChild>
            <w:div w:id="1027487705">
              <w:marLeft w:val="0"/>
              <w:marRight w:val="0"/>
              <w:marTop w:val="0"/>
              <w:marBottom w:val="0"/>
              <w:divBdr>
                <w:top w:val="none" w:sz="0" w:space="0" w:color="auto"/>
                <w:left w:val="none" w:sz="0" w:space="0" w:color="auto"/>
                <w:bottom w:val="none" w:sz="0" w:space="0" w:color="auto"/>
                <w:right w:val="none" w:sz="0" w:space="0" w:color="auto"/>
              </w:divBdr>
              <w:divsChild>
                <w:div w:id="1189100066">
                  <w:marLeft w:val="0"/>
                  <w:marRight w:val="0"/>
                  <w:marTop w:val="0"/>
                  <w:marBottom w:val="0"/>
                  <w:divBdr>
                    <w:top w:val="none" w:sz="0" w:space="0" w:color="auto"/>
                    <w:left w:val="none" w:sz="0" w:space="0" w:color="auto"/>
                    <w:bottom w:val="none" w:sz="0" w:space="0" w:color="auto"/>
                    <w:right w:val="none" w:sz="0" w:space="0" w:color="auto"/>
                  </w:divBdr>
                  <w:divsChild>
                    <w:div w:id="1787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586">
      <w:bodyDiv w:val="1"/>
      <w:marLeft w:val="0"/>
      <w:marRight w:val="0"/>
      <w:marTop w:val="0"/>
      <w:marBottom w:val="0"/>
      <w:divBdr>
        <w:top w:val="none" w:sz="0" w:space="0" w:color="auto"/>
        <w:left w:val="none" w:sz="0" w:space="0" w:color="auto"/>
        <w:bottom w:val="none" w:sz="0" w:space="0" w:color="auto"/>
        <w:right w:val="none" w:sz="0" w:space="0" w:color="auto"/>
      </w:divBdr>
    </w:div>
    <w:div w:id="1222600766">
      <w:bodyDiv w:val="1"/>
      <w:marLeft w:val="0"/>
      <w:marRight w:val="0"/>
      <w:marTop w:val="0"/>
      <w:marBottom w:val="0"/>
      <w:divBdr>
        <w:top w:val="none" w:sz="0" w:space="0" w:color="auto"/>
        <w:left w:val="none" w:sz="0" w:space="0" w:color="auto"/>
        <w:bottom w:val="none" w:sz="0" w:space="0" w:color="auto"/>
        <w:right w:val="none" w:sz="0" w:space="0" w:color="auto"/>
      </w:divBdr>
    </w:div>
    <w:div w:id="1309818683">
      <w:bodyDiv w:val="1"/>
      <w:marLeft w:val="0"/>
      <w:marRight w:val="0"/>
      <w:marTop w:val="0"/>
      <w:marBottom w:val="0"/>
      <w:divBdr>
        <w:top w:val="none" w:sz="0" w:space="0" w:color="auto"/>
        <w:left w:val="none" w:sz="0" w:space="0" w:color="auto"/>
        <w:bottom w:val="none" w:sz="0" w:space="0" w:color="auto"/>
        <w:right w:val="none" w:sz="0" w:space="0" w:color="auto"/>
      </w:divBdr>
    </w:div>
    <w:div w:id="1324352200">
      <w:bodyDiv w:val="1"/>
      <w:marLeft w:val="0"/>
      <w:marRight w:val="0"/>
      <w:marTop w:val="0"/>
      <w:marBottom w:val="0"/>
      <w:divBdr>
        <w:top w:val="none" w:sz="0" w:space="0" w:color="auto"/>
        <w:left w:val="none" w:sz="0" w:space="0" w:color="auto"/>
        <w:bottom w:val="none" w:sz="0" w:space="0" w:color="auto"/>
        <w:right w:val="none" w:sz="0" w:space="0" w:color="auto"/>
      </w:divBdr>
    </w:div>
    <w:div w:id="1332221138">
      <w:bodyDiv w:val="1"/>
      <w:marLeft w:val="0"/>
      <w:marRight w:val="0"/>
      <w:marTop w:val="0"/>
      <w:marBottom w:val="0"/>
      <w:divBdr>
        <w:top w:val="none" w:sz="0" w:space="0" w:color="auto"/>
        <w:left w:val="none" w:sz="0" w:space="0" w:color="auto"/>
        <w:bottom w:val="none" w:sz="0" w:space="0" w:color="auto"/>
        <w:right w:val="none" w:sz="0" w:space="0" w:color="auto"/>
      </w:divBdr>
    </w:div>
    <w:div w:id="1379210080">
      <w:bodyDiv w:val="1"/>
      <w:marLeft w:val="0"/>
      <w:marRight w:val="0"/>
      <w:marTop w:val="0"/>
      <w:marBottom w:val="0"/>
      <w:divBdr>
        <w:top w:val="none" w:sz="0" w:space="0" w:color="auto"/>
        <w:left w:val="none" w:sz="0" w:space="0" w:color="auto"/>
        <w:bottom w:val="none" w:sz="0" w:space="0" w:color="auto"/>
        <w:right w:val="none" w:sz="0" w:space="0" w:color="auto"/>
      </w:divBdr>
    </w:div>
    <w:div w:id="1403791340">
      <w:bodyDiv w:val="1"/>
      <w:marLeft w:val="0"/>
      <w:marRight w:val="0"/>
      <w:marTop w:val="0"/>
      <w:marBottom w:val="0"/>
      <w:divBdr>
        <w:top w:val="none" w:sz="0" w:space="0" w:color="auto"/>
        <w:left w:val="none" w:sz="0" w:space="0" w:color="auto"/>
        <w:bottom w:val="none" w:sz="0" w:space="0" w:color="auto"/>
        <w:right w:val="none" w:sz="0" w:space="0" w:color="auto"/>
      </w:divBdr>
    </w:div>
    <w:div w:id="1428966761">
      <w:bodyDiv w:val="1"/>
      <w:marLeft w:val="0"/>
      <w:marRight w:val="0"/>
      <w:marTop w:val="0"/>
      <w:marBottom w:val="0"/>
      <w:divBdr>
        <w:top w:val="none" w:sz="0" w:space="0" w:color="auto"/>
        <w:left w:val="none" w:sz="0" w:space="0" w:color="auto"/>
        <w:bottom w:val="none" w:sz="0" w:space="0" w:color="auto"/>
        <w:right w:val="none" w:sz="0" w:space="0" w:color="auto"/>
      </w:divBdr>
    </w:div>
    <w:div w:id="1490443238">
      <w:bodyDiv w:val="1"/>
      <w:marLeft w:val="0"/>
      <w:marRight w:val="0"/>
      <w:marTop w:val="0"/>
      <w:marBottom w:val="0"/>
      <w:divBdr>
        <w:top w:val="none" w:sz="0" w:space="0" w:color="auto"/>
        <w:left w:val="none" w:sz="0" w:space="0" w:color="auto"/>
        <w:bottom w:val="none" w:sz="0" w:space="0" w:color="auto"/>
        <w:right w:val="none" w:sz="0" w:space="0" w:color="auto"/>
      </w:divBdr>
      <w:divsChild>
        <w:div w:id="1974094442">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148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2172">
      <w:bodyDiv w:val="1"/>
      <w:marLeft w:val="0"/>
      <w:marRight w:val="0"/>
      <w:marTop w:val="0"/>
      <w:marBottom w:val="0"/>
      <w:divBdr>
        <w:top w:val="none" w:sz="0" w:space="0" w:color="auto"/>
        <w:left w:val="none" w:sz="0" w:space="0" w:color="auto"/>
        <w:bottom w:val="none" w:sz="0" w:space="0" w:color="auto"/>
        <w:right w:val="none" w:sz="0" w:space="0" w:color="auto"/>
      </w:divBdr>
    </w:div>
    <w:div w:id="1568761675">
      <w:bodyDiv w:val="1"/>
      <w:marLeft w:val="0"/>
      <w:marRight w:val="0"/>
      <w:marTop w:val="0"/>
      <w:marBottom w:val="0"/>
      <w:divBdr>
        <w:top w:val="none" w:sz="0" w:space="0" w:color="auto"/>
        <w:left w:val="none" w:sz="0" w:space="0" w:color="auto"/>
        <w:bottom w:val="none" w:sz="0" w:space="0" w:color="auto"/>
        <w:right w:val="none" w:sz="0" w:space="0" w:color="auto"/>
      </w:divBdr>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748845463">
      <w:bodyDiv w:val="1"/>
      <w:marLeft w:val="0"/>
      <w:marRight w:val="0"/>
      <w:marTop w:val="0"/>
      <w:marBottom w:val="0"/>
      <w:divBdr>
        <w:top w:val="none" w:sz="0" w:space="0" w:color="auto"/>
        <w:left w:val="none" w:sz="0" w:space="0" w:color="auto"/>
        <w:bottom w:val="none" w:sz="0" w:space="0" w:color="auto"/>
        <w:right w:val="none" w:sz="0" w:space="0" w:color="auto"/>
      </w:divBdr>
    </w:div>
    <w:div w:id="1759792954">
      <w:bodyDiv w:val="1"/>
      <w:marLeft w:val="0"/>
      <w:marRight w:val="0"/>
      <w:marTop w:val="0"/>
      <w:marBottom w:val="0"/>
      <w:divBdr>
        <w:top w:val="none" w:sz="0" w:space="0" w:color="auto"/>
        <w:left w:val="none" w:sz="0" w:space="0" w:color="auto"/>
        <w:bottom w:val="none" w:sz="0" w:space="0" w:color="auto"/>
        <w:right w:val="none" w:sz="0" w:space="0" w:color="auto"/>
      </w:divBdr>
    </w:div>
    <w:div w:id="1783527608">
      <w:bodyDiv w:val="1"/>
      <w:marLeft w:val="0"/>
      <w:marRight w:val="0"/>
      <w:marTop w:val="0"/>
      <w:marBottom w:val="0"/>
      <w:divBdr>
        <w:top w:val="none" w:sz="0" w:space="0" w:color="auto"/>
        <w:left w:val="none" w:sz="0" w:space="0" w:color="auto"/>
        <w:bottom w:val="none" w:sz="0" w:space="0" w:color="auto"/>
        <w:right w:val="none" w:sz="0" w:space="0" w:color="auto"/>
      </w:divBdr>
    </w:div>
    <w:div w:id="1799448102">
      <w:bodyDiv w:val="1"/>
      <w:marLeft w:val="0"/>
      <w:marRight w:val="0"/>
      <w:marTop w:val="0"/>
      <w:marBottom w:val="0"/>
      <w:divBdr>
        <w:top w:val="none" w:sz="0" w:space="0" w:color="auto"/>
        <w:left w:val="none" w:sz="0" w:space="0" w:color="auto"/>
        <w:bottom w:val="none" w:sz="0" w:space="0" w:color="auto"/>
        <w:right w:val="none" w:sz="0" w:space="0" w:color="auto"/>
      </w:divBdr>
    </w:div>
    <w:div w:id="1866140307">
      <w:bodyDiv w:val="1"/>
      <w:marLeft w:val="0"/>
      <w:marRight w:val="0"/>
      <w:marTop w:val="0"/>
      <w:marBottom w:val="0"/>
      <w:divBdr>
        <w:top w:val="none" w:sz="0" w:space="0" w:color="auto"/>
        <w:left w:val="none" w:sz="0" w:space="0" w:color="auto"/>
        <w:bottom w:val="none" w:sz="0" w:space="0" w:color="auto"/>
        <w:right w:val="none" w:sz="0" w:space="0" w:color="auto"/>
      </w:divBdr>
      <w:divsChild>
        <w:div w:id="1191601245">
          <w:marLeft w:val="0"/>
          <w:marRight w:val="0"/>
          <w:marTop w:val="0"/>
          <w:marBottom w:val="0"/>
          <w:divBdr>
            <w:top w:val="none" w:sz="0" w:space="0" w:color="auto"/>
            <w:left w:val="none" w:sz="0" w:space="0" w:color="auto"/>
            <w:bottom w:val="none" w:sz="0" w:space="0" w:color="auto"/>
            <w:right w:val="none" w:sz="0" w:space="0" w:color="auto"/>
          </w:divBdr>
          <w:divsChild>
            <w:div w:id="1983386577">
              <w:marLeft w:val="0"/>
              <w:marRight w:val="0"/>
              <w:marTop w:val="0"/>
              <w:marBottom w:val="0"/>
              <w:divBdr>
                <w:top w:val="none" w:sz="0" w:space="0" w:color="auto"/>
                <w:left w:val="none" w:sz="0" w:space="0" w:color="auto"/>
                <w:bottom w:val="none" w:sz="0" w:space="0" w:color="auto"/>
                <w:right w:val="none" w:sz="0" w:space="0" w:color="auto"/>
              </w:divBdr>
              <w:divsChild>
                <w:div w:id="18900208">
                  <w:marLeft w:val="0"/>
                  <w:marRight w:val="0"/>
                  <w:marTop w:val="0"/>
                  <w:marBottom w:val="0"/>
                  <w:divBdr>
                    <w:top w:val="none" w:sz="0" w:space="0" w:color="auto"/>
                    <w:left w:val="none" w:sz="0" w:space="0" w:color="auto"/>
                    <w:bottom w:val="none" w:sz="0" w:space="0" w:color="auto"/>
                    <w:right w:val="none" w:sz="0" w:space="0" w:color="auto"/>
                  </w:divBdr>
                  <w:divsChild>
                    <w:div w:id="129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349">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2030596811">
      <w:bodyDiv w:val="1"/>
      <w:marLeft w:val="0"/>
      <w:marRight w:val="0"/>
      <w:marTop w:val="0"/>
      <w:marBottom w:val="0"/>
      <w:divBdr>
        <w:top w:val="none" w:sz="0" w:space="0" w:color="auto"/>
        <w:left w:val="none" w:sz="0" w:space="0" w:color="auto"/>
        <w:bottom w:val="none" w:sz="0" w:space="0" w:color="auto"/>
        <w:right w:val="none" w:sz="0" w:space="0" w:color="auto"/>
      </w:divBdr>
      <w:divsChild>
        <w:div w:id="1936017409">
          <w:marLeft w:val="0"/>
          <w:marRight w:val="0"/>
          <w:marTop w:val="0"/>
          <w:marBottom w:val="0"/>
          <w:divBdr>
            <w:top w:val="none" w:sz="0" w:space="0" w:color="auto"/>
            <w:left w:val="none" w:sz="0" w:space="0" w:color="auto"/>
            <w:bottom w:val="none" w:sz="0" w:space="0" w:color="auto"/>
            <w:right w:val="none" w:sz="0" w:space="0" w:color="auto"/>
          </w:divBdr>
        </w:div>
      </w:divsChild>
    </w:div>
    <w:div w:id="2054034921">
      <w:bodyDiv w:val="1"/>
      <w:marLeft w:val="0"/>
      <w:marRight w:val="0"/>
      <w:marTop w:val="0"/>
      <w:marBottom w:val="0"/>
      <w:divBdr>
        <w:top w:val="none" w:sz="0" w:space="0" w:color="auto"/>
        <w:left w:val="none" w:sz="0" w:space="0" w:color="auto"/>
        <w:bottom w:val="none" w:sz="0" w:space="0" w:color="auto"/>
        <w:right w:val="none" w:sz="0" w:space="0" w:color="auto"/>
      </w:divBdr>
    </w:div>
    <w:div w:id="2112966019">
      <w:bodyDiv w:val="1"/>
      <w:marLeft w:val="0"/>
      <w:marRight w:val="0"/>
      <w:marTop w:val="0"/>
      <w:marBottom w:val="0"/>
      <w:divBdr>
        <w:top w:val="none" w:sz="0" w:space="0" w:color="auto"/>
        <w:left w:val="none" w:sz="0" w:space="0" w:color="auto"/>
        <w:bottom w:val="none" w:sz="0" w:space="0" w:color="auto"/>
        <w:right w:val="none" w:sz="0" w:space="0" w:color="auto"/>
      </w:divBdr>
    </w:div>
    <w:div w:id="2113550492">
      <w:bodyDiv w:val="1"/>
      <w:marLeft w:val="0"/>
      <w:marRight w:val="0"/>
      <w:marTop w:val="0"/>
      <w:marBottom w:val="0"/>
      <w:divBdr>
        <w:top w:val="none" w:sz="0" w:space="0" w:color="auto"/>
        <w:left w:val="none" w:sz="0" w:space="0" w:color="auto"/>
        <w:bottom w:val="none" w:sz="0" w:space="0" w:color="auto"/>
        <w:right w:val="none" w:sz="0" w:space="0" w:color="auto"/>
      </w:divBdr>
      <w:divsChild>
        <w:div w:id="1591356949">
          <w:marLeft w:val="0"/>
          <w:marRight w:val="0"/>
          <w:marTop w:val="0"/>
          <w:marBottom w:val="0"/>
          <w:divBdr>
            <w:top w:val="none" w:sz="0" w:space="0" w:color="auto"/>
            <w:left w:val="none" w:sz="0" w:space="0" w:color="auto"/>
            <w:bottom w:val="none" w:sz="0" w:space="0" w:color="auto"/>
            <w:right w:val="none" w:sz="0" w:space="0" w:color="auto"/>
          </w:divBdr>
        </w:div>
      </w:divsChild>
    </w:div>
    <w:div w:id="2122064200">
      <w:bodyDiv w:val="1"/>
      <w:marLeft w:val="0"/>
      <w:marRight w:val="0"/>
      <w:marTop w:val="0"/>
      <w:marBottom w:val="0"/>
      <w:divBdr>
        <w:top w:val="none" w:sz="0" w:space="0" w:color="auto"/>
        <w:left w:val="none" w:sz="0" w:space="0" w:color="auto"/>
        <w:bottom w:val="none" w:sz="0" w:space="0" w:color="auto"/>
        <w:right w:val="none" w:sz="0" w:space="0" w:color="auto"/>
      </w:divBdr>
    </w:div>
    <w:div w:id="2141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4f8cef39-52b4-46de-a248-af4ba72cd3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97587b39-9d4b-45c3-a5e0-f9de380577c8" TargetMode="External"/><Relationship Id="rId5" Type="http://schemas.openxmlformats.org/officeDocument/2006/relationships/webSettings" Target="webSettings.xml"/><Relationship Id="rId15" Type="http://schemas.openxmlformats.org/officeDocument/2006/relationships/hyperlink" Target="mailto:federica.guerrini@bc-communication.i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599b59a7-e3e4-43a9-b7f2-175f7230c5dd" TargetMode="External"/><Relationship Id="rId14" Type="http://schemas.openxmlformats.org/officeDocument/2006/relationships/hyperlink" Target="mailto:beatrice.cagnoni@bc-communicatio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FFE5-B047-49CF-9171-3213CB95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971</Words>
  <Characters>5535</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Intermonte SIM</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dc:creator>
  <cp:lastModifiedBy>Info BC Communication</cp:lastModifiedBy>
  <cp:revision>8</cp:revision>
  <cp:lastPrinted>2023-03-23T08:36:00Z</cp:lastPrinted>
  <dcterms:created xsi:type="dcterms:W3CDTF">2023-07-12T14:07:00Z</dcterms:created>
  <dcterms:modified xsi:type="dcterms:W3CDTF">2023-08-02T16:21:00Z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marco.isolani@intesasanpaolo.com</vt:lpwstr>
  </property>
  <property fmtid="{D5CDD505-2E9C-101B-9397-08002B2CF9AE}" pid="5" name="MSIP_Label_5f5fe31f-9de1-4167-a753-111c0df8115f_SetDate">
    <vt:lpwstr>2021-10-02T10:12:20.6673382Z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5571939f-b0c2-4c51-b9cb-2769fe955d8a</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