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CC50" w14:textId="4661306C" w:rsidR="00D66D8A" w:rsidRPr="004F4164" w:rsidRDefault="007C0B8C" w:rsidP="00C673D6">
      <w:pPr>
        <w:spacing w:before="100" w:beforeAutospacing="1" w:after="100" w:afterAutospacing="1" w:line="240" w:lineRule="auto"/>
        <w:contextualSpacing/>
        <w:rPr>
          <w:b/>
          <w:bCs/>
          <w:lang w:val="it-IT"/>
        </w:rPr>
      </w:pPr>
      <w:r>
        <w:rPr>
          <w:b/>
          <w:bCs/>
          <w:lang w:val="it-IT"/>
        </w:rPr>
        <w:t xml:space="preserve">RBC BlueBay - </w:t>
      </w:r>
      <w:r w:rsidR="004F4164">
        <w:rPr>
          <w:b/>
          <w:bCs/>
          <w:lang w:val="it-IT"/>
        </w:rPr>
        <w:t>Mercati emergenti: il</w:t>
      </w:r>
      <w:r w:rsidR="004F4164" w:rsidRPr="004F4164">
        <w:rPr>
          <w:b/>
          <w:bCs/>
          <w:lang w:val="it-IT"/>
        </w:rPr>
        <w:t xml:space="preserve"> più grande rimescolamento degli ultimi due decenni</w:t>
      </w:r>
      <w:r w:rsidR="004F4164">
        <w:rPr>
          <w:b/>
          <w:bCs/>
          <w:lang w:val="it-IT"/>
        </w:rPr>
        <w:t xml:space="preserve"> </w:t>
      </w:r>
    </w:p>
    <w:p w14:paraId="19368791" w14:textId="77777777" w:rsidR="00195B3A" w:rsidRDefault="00195B3A" w:rsidP="00C673D6">
      <w:pPr>
        <w:spacing w:before="100" w:beforeAutospacing="1" w:after="100" w:afterAutospacing="1" w:line="240" w:lineRule="auto"/>
        <w:contextualSpacing/>
        <w:rPr>
          <w:lang w:val="en-US"/>
        </w:rPr>
      </w:pPr>
    </w:p>
    <w:p w14:paraId="126B47F1" w14:textId="0247D802" w:rsidR="007C0B8C" w:rsidRPr="003B01E3" w:rsidRDefault="007C0B8C" w:rsidP="00C673D6">
      <w:pPr>
        <w:spacing w:before="100" w:beforeAutospacing="1" w:after="100" w:afterAutospacing="1" w:line="240" w:lineRule="auto"/>
        <w:contextualSpacing/>
        <w:rPr>
          <w:b/>
          <w:bCs/>
          <w:lang w:val="en-US"/>
        </w:rPr>
      </w:pPr>
      <w:r w:rsidRPr="003B01E3">
        <w:rPr>
          <w:lang w:val="en-US"/>
        </w:rPr>
        <w:t xml:space="preserve">A </w:t>
      </w:r>
      <w:proofErr w:type="spellStart"/>
      <w:r w:rsidRPr="003B01E3">
        <w:rPr>
          <w:lang w:val="en-US"/>
        </w:rPr>
        <w:t>cura</w:t>
      </w:r>
      <w:proofErr w:type="spellEnd"/>
      <w:r w:rsidRPr="003B01E3">
        <w:rPr>
          <w:lang w:val="en-US"/>
        </w:rPr>
        <w:t xml:space="preserve"> di </w:t>
      </w:r>
      <w:r w:rsidRPr="003B01E3">
        <w:rPr>
          <w:b/>
          <w:bCs/>
          <w:lang w:val="en-US"/>
        </w:rPr>
        <w:t>Polina Kurdyavko, BlueBay Head of Emerging Markets e Senior Portfolio Manager, RBC BlueBay</w:t>
      </w:r>
    </w:p>
    <w:p w14:paraId="4CE8819F" w14:textId="77777777" w:rsidR="00496205" w:rsidRPr="00195B3A" w:rsidRDefault="00496205" w:rsidP="00C673D6">
      <w:pPr>
        <w:spacing w:before="100" w:beforeAutospacing="1" w:after="100" w:afterAutospacing="1" w:line="240" w:lineRule="auto"/>
        <w:contextualSpacing/>
        <w:rPr>
          <w:rFonts w:cstheme="minorHAnsi"/>
          <w:lang w:val="en-US"/>
        </w:rPr>
      </w:pPr>
    </w:p>
    <w:p w14:paraId="3CE587B7" w14:textId="5BFB7A0D" w:rsidR="007F506C" w:rsidRDefault="001671BE" w:rsidP="00C673D6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  <w:r>
        <w:rPr>
          <w:rFonts w:cstheme="minorHAnsi"/>
          <w:lang w:val="it-IT"/>
        </w:rPr>
        <w:t>Q</w:t>
      </w:r>
      <w:r w:rsidRPr="007F506C">
        <w:rPr>
          <w:rFonts w:cstheme="minorHAnsi"/>
          <w:lang w:val="it-IT"/>
        </w:rPr>
        <w:t xml:space="preserve">uando si </w:t>
      </w:r>
      <w:r>
        <w:rPr>
          <w:rFonts w:cstheme="minorHAnsi"/>
          <w:lang w:val="it-IT"/>
        </w:rPr>
        <w:t>discute</w:t>
      </w:r>
      <w:r w:rsidRPr="007F506C">
        <w:rPr>
          <w:rFonts w:cstheme="minorHAnsi"/>
          <w:lang w:val="it-IT"/>
        </w:rPr>
        <w:t xml:space="preserve"> di potenziali </w:t>
      </w:r>
      <w:r>
        <w:rPr>
          <w:rFonts w:cstheme="minorHAnsi"/>
          <w:lang w:val="it-IT"/>
        </w:rPr>
        <w:t>ostacoli</w:t>
      </w:r>
      <w:r w:rsidRPr="007F506C">
        <w:rPr>
          <w:rFonts w:cstheme="minorHAnsi"/>
          <w:lang w:val="it-IT"/>
        </w:rPr>
        <w:t xml:space="preserve"> per il resto dell'anno </w:t>
      </w:r>
      <w:r>
        <w:rPr>
          <w:rFonts w:cstheme="minorHAnsi"/>
          <w:lang w:val="it-IT"/>
        </w:rPr>
        <w:t>r</w:t>
      </w:r>
      <w:r w:rsidR="007F506C" w:rsidRPr="007F506C">
        <w:rPr>
          <w:rFonts w:cstheme="minorHAnsi"/>
          <w:lang w:val="it-IT"/>
        </w:rPr>
        <w:t>iteniamo necessario concentrar</w:t>
      </w:r>
      <w:r w:rsidR="000657AF">
        <w:rPr>
          <w:rFonts w:cstheme="minorHAnsi"/>
          <w:lang w:val="it-IT"/>
        </w:rPr>
        <w:t>c</w:t>
      </w:r>
      <w:r w:rsidR="007F506C" w:rsidRPr="007F506C">
        <w:rPr>
          <w:rFonts w:cstheme="minorHAnsi"/>
          <w:lang w:val="it-IT"/>
        </w:rPr>
        <w:t xml:space="preserve">i sulla Cina. </w:t>
      </w:r>
      <w:r w:rsidR="007F506C" w:rsidRPr="003B01E3">
        <w:rPr>
          <w:rFonts w:cstheme="minorHAnsi"/>
          <w:b/>
          <w:bCs/>
          <w:lang w:val="it-IT"/>
        </w:rPr>
        <w:t xml:space="preserve">Se si considerano le relazioni tra </w:t>
      </w:r>
      <w:r w:rsidR="007C0B8C" w:rsidRPr="003B01E3">
        <w:rPr>
          <w:rFonts w:cstheme="minorHAnsi"/>
          <w:b/>
          <w:bCs/>
          <w:lang w:val="it-IT"/>
        </w:rPr>
        <w:t>Stati Uniti</w:t>
      </w:r>
      <w:r w:rsidR="007F506C" w:rsidRPr="003B01E3">
        <w:rPr>
          <w:rFonts w:cstheme="minorHAnsi"/>
          <w:b/>
          <w:bCs/>
          <w:lang w:val="it-IT"/>
        </w:rPr>
        <w:t xml:space="preserve"> e Cina</w:t>
      </w:r>
      <w:r w:rsidR="007F506C" w:rsidRPr="007F506C">
        <w:rPr>
          <w:rFonts w:cstheme="minorHAnsi"/>
          <w:lang w:val="it-IT"/>
        </w:rPr>
        <w:t xml:space="preserve">, è purtroppo </w:t>
      </w:r>
      <w:r w:rsidR="00EC1079">
        <w:rPr>
          <w:rFonts w:cstheme="minorHAnsi"/>
          <w:lang w:val="it-IT"/>
        </w:rPr>
        <w:t xml:space="preserve">piuttosto </w:t>
      </w:r>
      <w:r w:rsidR="007F506C" w:rsidRPr="007F506C">
        <w:rPr>
          <w:rFonts w:cstheme="minorHAnsi"/>
          <w:lang w:val="it-IT"/>
        </w:rPr>
        <w:t xml:space="preserve">evidente </w:t>
      </w:r>
      <w:proofErr w:type="gramStart"/>
      <w:r w:rsidR="00EC1079">
        <w:rPr>
          <w:rFonts w:cstheme="minorHAnsi"/>
          <w:lang w:val="it-IT"/>
        </w:rPr>
        <w:t>il trend</w:t>
      </w:r>
      <w:proofErr w:type="gramEnd"/>
      <w:r w:rsidR="00EC1079">
        <w:rPr>
          <w:rFonts w:cstheme="minorHAnsi"/>
          <w:lang w:val="it-IT"/>
        </w:rPr>
        <w:t xml:space="preserve"> secondo cui,</w:t>
      </w:r>
      <w:r w:rsidR="007F506C" w:rsidRPr="007F506C">
        <w:rPr>
          <w:rFonts w:cstheme="minorHAnsi"/>
          <w:lang w:val="it-IT"/>
        </w:rPr>
        <w:t xml:space="preserve"> nel medio-lungo periodo</w:t>
      </w:r>
      <w:r w:rsidR="00951CF2">
        <w:rPr>
          <w:rFonts w:cstheme="minorHAnsi"/>
          <w:lang w:val="it-IT"/>
        </w:rPr>
        <w:t>,</w:t>
      </w:r>
      <w:r w:rsidR="007F506C" w:rsidRPr="007F506C">
        <w:rPr>
          <w:rFonts w:cstheme="minorHAnsi"/>
          <w:lang w:val="it-IT"/>
        </w:rPr>
        <w:t xml:space="preserve"> </w:t>
      </w:r>
      <w:r w:rsidR="007F506C" w:rsidRPr="003B01E3">
        <w:rPr>
          <w:rFonts w:cstheme="minorHAnsi"/>
          <w:b/>
          <w:bCs/>
          <w:lang w:val="it-IT"/>
        </w:rPr>
        <w:t xml:space="preserve">è più probabile che </w:t>
      </w:r>
      <w:r w:rsidR="00951CF2" w:rsidRPr="003B01E3">
        <w:rPr>
          <w:rFonts w:cstheme="minorHAnsi"/>
          <w:b/>
          <w:bCs/>
          <w:lang w:val="it-IT"/>
        </w:rPr>
        <w:t>tale rapporto</w:t>
      </w:r>
      <w:r w:rsidR="00EC1079" w:rsidRPr="003B01E3">
        <w:rPr>
          <w:rFonts w:cstheme="minorHAnsi"/>
          <w:b/>
          <w:bCs/>
          <w:lang w:val="it-IT"/>
        </w:rPr>
        <w:t xml:space="preserve"> peggiori</w:t>
      </w:r>
      <w:r w:rsidR="00EC1079">
        <w:rPr>
          <w:rFonts w:cstheme="minorHAnsi"/>
          <w:lang w:val="it-IT"/>
        </w:rPr>
        <w:t>, piuttosto che miglior</w:t>
      </w:r>
      <w:r>
        <w:rPr>
          <w:rFonts w:cstheme="minorHAnsi"/>
          <w:lang w:val="it-IT"/>
        </w:rPr>
        <w:t>i</w:t>
      </w:r>
      <w:r w:rsidR="007F506C" w:rsidRPr="007F506C">
        <w:rPr>
          <w:rFonts w:cstheme="minorHAnsi"/>
          <w:lang w:val="it-IT"/>
        </w:rPr>
        <w:t xml:space="preserve">. </w:t>
      </w:r>
      <w:r w:rsidR="00EC1079">
        <w:rPr>
          <w:rFonts w:cstheme="minorHAnsi"/>
          <w:lang w:val="it-IT"/>
        </w:rPr>
        <w:t>Fatta questa premessa</w:t>
      </w:r>
      <w:r w:rsidR="007F506C" w:rsidRPr="007F506C">
        <w:rPr>
          <w:rFonts w:cstheme="minorHAnsi"/>
          <w:lang w:val="it-IT"/>
        </w:rPr>
        <w:t xml:space="preserve">, </w:t>
      </w:r>
      <w:r w:rsidR="007F506C" w:rsidRPr="003B01E3">
        <w:rPr>
          <w:rFonts w:cstheme="minorHAnsi"/>
          <w:b/>
          <w:bCs/>
          <w:lang w:val="it-IT"/>
        </w:rPr>
        <w:t>le interconnessioni tra le economie sono relativamente elevate</w:t>
      </w:r>
      <w:r w:rsidR="007F506C" w:rsidRPr="007F506C">
        <w:rPr>
          <w:rFonts w:cstheme="minorHAnsi"/>
          <w:lang w:val="it-IT"/>
        </w:rPr>
        <w:t xml:space="preserve">; pertanto, è improbabile che vengano imposte alla Cina sanzioni generalizzate </w:t>
      </w:r>
      <w:r w:rsidR="007F506C" w:rsidRPr="00951CF2">
        <w:rPr>
          <w:rFonts w:cstheme="minorHAnsi"/>
          <w:lang w:val="it-IT"/>
        </w:rPr>
        <w:t>"in stile Russia".</w:t>
      </w:r>
    </w:p>
    <w:p w14:paraId="24C58ACC" w14:textId="77777777" w:rsidR="00496205" w:rsidRPr="007F506C" w:rsidRDefault="00496205" w:rsidP="00C673D6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</w:p>
    <w:p w14:paraId="581ED0D2" w14:textId="49142FF4" w:rsidR="00C53E49" w:rsidRPr="003B01E3" w:rsidRDefault="00CE324D" w:rsidP="00C673D6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lang w:val="it-IT"/>
        </w:rPr>
      </w:pPr>
      <w:r w:rsidRPr="003B01E3">
        <w:rPr>
          <w:rFonts w:cstheme="minorHAnsi"/>
          <w:b/>
          <w:bCs/>
          <w:lang w:val="it-IT"/>
        </w:rPr>
        <w:t xml:space="preserve">Il lato positivo è che gli </w:t>
      </w:r>
      <w:r w:rsidR="007C0B8C" w:rsidRPr="003B01E3">
        <w:rPr>
          <w:rFonts w:cstheme="minorHAnsi"/>
          <w:b/>
          <w:bCs/>
          <w:lang w:val="it-IT"/>
        </w:rPr>
        <w:t>Stati Uniti</w:t>
      </w:r>
      <w:r w:rsidRPr="003B01E3">
        <w:rPr>
          <w:rFonts w:cstheme="minorHAnsi"/>
          <w:b/>
          <w:bCs/>
          <w:lang w:val="it-IT"/>
        </w:rPr>
        <w:t xml:space="preserve"> avranno bisogno del maggior numero possibile di alleati a livello globale</w:t>
      </w:r>
      <w:r w:rsidRPr="00CE324D">
        <w:rPr>
          <w:rFonts w:cstheme="minorHAnsi"/>
          <w:lang w:val="it-IT"/>
        </w:rPr>
        <w:t xml:space="preserve"> quando questo rapporto </w:t>
      </w:r>
      <w:r>
        <w:rPr>
          <w:rFonts w:cstheme="minorHAnsi"/>
          <w:lang w:val="it-IT"/>
        </w:rPr>
        <w:t>peggior</w:t>
      </w:r>
      <w:r w:rsidR="001671BE">
        <w:rPr>
          <w:rFonts w:cstheme="minorHAnsi"/>
          <w:lang w:val="it-IT"/>
        </w:rPr>
        <w:t>erà</w:t>
      </w:r>
      <w:r w:rsidRPr="00CE324D">
        <w:rPr>
          <w:rFonts w:cstheme="minorHAnsi"/>
          <w:lang w:val="it-IT"/>
        </w:rPr>
        <w:t xml:space="preserve">. Ed è </w:t>
      </w:r>
      <w:r w:rsidR="00951CF2">
        <w:rPr>
          <w:rFonts w:cstheme="minorHAnsi"/>
          <w:lang w:val="it-IT"/>
        </w:rPr>
        <w:t xml:space="preserve">proprio </w:t>
      </w:r>
      <w:r w:rsidRPr="00CE324D">
        <w:rPr>
          <w:rFonts w:cstheme="minorHAnsi"/>
          <w:lang w:val="it-IT"/>
        </w:rPr>
        <w:t xml:space="preserve">qui che </w:t>
      </w:r>
      <w:r w:rsidRPr="003B01E3">
        <w:rPr>
          <w:rFonts w:cstheme="minorHAnsi"/>
          <w:b/>
          <w:bCs/>
          <w:lang w:val="it-IT"/>
        </w:rPr>
        <w:t xml:space="preserve">i </w:t>
      </w:r>
      <w:r w:rsidR="00B01669" w:rsidRPr="003B01E3">
        <w:rPr>
          <w:rFonts w:cstheme="minorHAnsi"/>
          <w:b/>
          <w:bCs/>
          <w:lang w:val="it-IT"/>
        </w:rPr>
        <w:t>p</w:t>
      </w:r>
      <w:r w:rsidRPr="003B01E3">
        <w:rPr>
          <w:rFonts w:cstheme="minorHAnsi"/>
          <w:b/>
          <w:bCs/>
          <w:lang w:val="it-IT"/>
        </w:rPr>
        <w:t>aesi dei mercati emergenti più grandi e consolidati</w:t>
      </w:r>
      <w:r w:rsidR="00951CF2" w:rsidRPr="003B01E3">
        <w:rPr>
          <w:rFonts w:cstheme="minorHAnsi"/>
          <w:b/>
          <w:bCs/>
          <w:lang w:val="it-IT"/>
        </w:rPr>
        <w:t>,</w:t>
      </w:r>
      <w:r w:rsidRPr="003B01E3">
        <w:rPr>
          <w:rFonts w:cstheme="minorHAnsi"/>
          <w:b/>
          <w:bCs/>
          <w:lang w:val="it-IT"/>
        </w:rPr>
        <w:t xml:space="preserve"> come Indonesia, Brasile, India e Messico</w:t>
      </w:r>
      <w:r w:rsidR="00951CF2" w:rsidRPr="003B01E3">
        <w:rPr>
          <w:rFonts w:cstheme="minorHAnsi"/>
          <w:b/>
          <w:bCs/>
          <w:lang w:val="it-IT"/>
        </w:rPr>
        <w:t>,</w:t>
      </w:r>
      <w:r w:rsidRPr="003B01E3">
        <w:rPr>
          <w:rFonts w:cstheme="minorHAnsi"/>
          <w:b/>
          <w:bCs/>
          <w:lang w:val="it-IT"/>
        </w:rPr>
        <w:t xml:space="preserve"> </w:t>
      </w:r>
      <w:r w:rsidR="00951CF2" w:rsidRPr="003B01E3">
        <w:rPr>
          <w:rFonts w:cstheme="minorHAnsi"/>
          <w:b/>
          <w:bCs/>
          <w:lang w:val="it-IT"/>
        </w:rPr>
        <w:t>ne trarranno</w:t>
      </w:r>
      <w:r w:rsidRPr="003B01E3">
        <w:rPr>
          <w:rFonts w:cstheme="minorHAnsi"/>
          <w:b/>
          <w:bCs/>
          <w:lang w:val="it-IT"/>
        </w:rPr>
        <w:t xml:space="preserve"> vantaggio.</w:t>
      </w:r>
      <w:r w:rsidRPr="00CE324D">
        <w:rPr>
          <w:rFonts w:cstheme="minorHAnsi"/>
          <w:lang w:val="it-IT"/>
        </w:rPr>
        <w:t xml:space="preserve"> </w:t>
      </w:r>
      <w:r w:rsidR="00A642F3">
        <w:rPr>
          <w:rFonts w:cstheme="minorHAnsi"/>
          <w:lang w:val="it-IT"/>
        </w:rPr>
        <w:t>Ci aspettiamo</w:t>
      </w:r>
      <w:r w:rsidRPr="00CE324D">
        <w:rPr>
          <w:rFonts w:cstheme="minorHAnsi"/>
          <w:lang w:val="it-IT"/>
        </w:rPr>
        <w:t xml:space="preserve"> che ulteriori accordi commerciali vengano rivisti a favore di alcuni </w:t>
      </w:r>
      <w:r w:rsidR="007C0B8C">
        <w:rPr>
          <w:rFonts w:cstheme="minorHAnsi"/>
          <w:lang w:val="it-IT"/>
        </w:rPr>
        <w:t>p</w:t>
      </w:r>
      <w:r w:rsidRPr="00CE324D">
        <w:rPr>
          <w:rFonts w:cstheme="minorHAnsi"/>
          <w:lang w:val="it-IT"/>
        </w:rPr>
        <w:t xml:space="preserve">aesi emergenti, come il Cile. </w:t>
      </w:r>
      <w:r w:rsidR="00A642F3">
        <w:rPr>
          <w:rFonts w:cstheme="minorHAnsi"/>
          <w:lang w:val="it-IT"/>
        </w:rPr>
        <w:t xml:space="preserve">Prevediamo </w:t>
      </w:r>
      <w:r w:rsidRPr="00CE324D">
        <w:rPr>
          <w:rFonts w:cstheme="minorHAnsi"/>
          <w:lang w:val="it-IT"/>
        </w:rPr>
        <w:t xml:space="preserve">una maggiore tolleranza </w:t>
      </w:r>
      <w:r>
        <w:rPr>
          <w:rFonts w:cstheme="minorHAnsi"/>
          <w:lang w:val="it-IT"/>
        </w:rPr>
        <w:t>in relazione ad</w:t>
      </w:r>
      <w:r w:rsidRPr="00CE324D">
        <w:rPr>
          <w:rFonts w:cstheme="minorHAnsi"/>
          <w:lang w:val="it-IT"/>
        </w:rPr>
        <w:t xml:space="preserve"> alcune politiche monetarie e fiscali </w:t>
      </w:r>
      <w:r>
        <w:rPr>
          <w:rFonts w:cstheme="minorHAnsi"/>
          <w:lang w:val="it-IT"/>
        </w:rPr>
        <w:t>e</w:t>
      </w:r>
      <w:r w:rsidRPr="00CE324D">
        <w:rPr>
          <w:rFonts w:cstheme="minorHAnsi"/>
          <w:lang w:val="it-IT"/>
        </w:rPr>
        <w:t xml:space="preserve"> </w:t>
      </w:r>
      <w:r w:rsidR="001671BE">
        <w:rPr>
          <w:rFonts w:cstheme="minorHAnsi"/>
          <w:lang w:val="it-IT"/>
        </w:rPr>
        <w:t xml:space="preserve">ad alcuni </w:t>
      </w:r>
      <w:r w:rsidRPr="00CE324D">
        <w:rPr>
          <w:rFonts w:cstheme="minorHAnsi"/>
          <w:lang w:val="it-IT"/>
        </w:rPr>
        <w:t xml:space="preserve">mercati emergenti, come ad esempio la Turchia, e </w:t>
      </w:r>
      <w:r w:rsidR="00D55717">
        <w:rPr>
          <w:rFonts w:cstheme="minorHAnsi"/>
          <w:lang w:val="it-IT"/>
        </w:rPr>
        <w:t>ipotizziamo</w:t>
      </w:r>
      <w:r w:rsidRPr="00CE324D">
        <w:rPr>
          <w:rFonts w:cstheme="minorHAnsi"/>
          <w:lang w:val="it-IT"/>
        </w:rPr>
        <w:t xml:space="preserve"> che </w:t>
      </w:r>
      <w:r w:rsidRPr="003B01E3">
        <w:rPr>
          <w:rFonts w:cstheme="minorHAnsi"/>
          <w:b/>
          <w:bCs/>
          <w:lang w:val="it-IT"/>
        </w:rPr>
        <w:t xml:space="preserve">diversi </w:t>
      </w:r>
      <w:r w:rsidR="007C0B8C" w:rsidRPr="003B01E3">
        <w:rPr>
          <w:rFonts w:cstheme="minorHAnsi"/>
          <w:b/>
          <w:bCs/>
          <w:lang w:val="it-IT"/>
        </w:rPr>
        <w:t>p</w:t>
      </w:r>
      <w:r w:rsidRPr="003B01E3">
        <w:rPr>
          <w:rFonts w:cstheme="minorHAnsi"/>
          <w:b/>
          <w:bCs/>
          <w:lang w:val="it-IT"/>
        </w:rPr>
        <w:t xml:space="preserve">aesi dei mercati emergenti traggano vantaggio dal più grande rimescolamento geopolitico degli ultimi 20 anni. </w:t>
      </w:r>
    </w:p>
    <w:p w14:paraId="492E47D6" w14:textId="77777777" w:rsidR="00496205" w:rsidRDefault="00496205" w:rsidP="00C673D6">
      <w:pPr>
        <w:spacing w:before="100" w:beforeAutospacing="1" w:after="100" w:afterAutospacing="1" w:line="240" w:lineRule="auto"/>
        <w:contextualSpacing/>
        <w:rPr>
          <w:rFonts w:cstheme="minorHAnsi"/>
          <w:u w:val="single"/>
          <w:lang w:val="it-IT"/>
        </w:rPr>
      </w:pPr>
    </w:p>
    <w:p w14:paraId="1A549F74" w14:textId="415085EA" w:rsidR="00C673D6" w:rsidRPr="003B01E3" w:rsidRDefault="00463FF8" w:rsidP="00C673D6">
      <w:pPr>
        <w:spacing w:before="100" w:beforeAutospacing="1" w:after="100" w:afterAutospacing="1" w:line="240" w:lineRule="auto"/>
        <w:contextualSpacing/>
        <w:rPr>
          <w:rFonts w:cstheme="minorHAnsi"/>
          <w:u w:val="single"/>
          <w:lang w:val="it-IT"/>
        </w:rPr>
      </w:pPr>
      <w:r w:rsidRPr="003B01E3">
        <w:rPr>
          <w:rFonts w:cstheme="minorHAnsi"/>
          <w:u w:val="single"/>
          <w:lang w:val="it-IT"/>
        </w:rPr>
        <w:t>La volatilità dei mercati locali rimarrà elevat</w:t>
      </w:r>
      <w:r w:rsidR="007E6758" w:rsidRPr="003B01E3">
        <w:rPr>
          <w:rFonts w:cstheme="minorHAnsi"/>
          <w:u w:val="single"/>
          <w:lang w:val="it-IT"/>
        </w:rPr>
        <w:t>a</w:t>
      </w:r>
      <w:r w:rsidRPr="003B01E3">
        <w:rPr>
          <w:rFonts w:cstheme="minorHAnsi"/>
          <w:u w:val="single"/>
          <w:lang w:val="it-IT"/>
        </w:rPr>
        <w:t xml:space="preserve"> </w:t>
      </w:r>
    </w:p>
    <w:p w14:paraId="4F5E6A62" w14:textId="2943FFAB" w:rsidR="00463FF8" w:rsidRDefault="00463FF8" w:rsidP="00463FF8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  <w:r w:rsidRPr="003B01E3">
        <w:rPr>
          <w:rFonts w:cstheme="minorHAnsi"/>
          <w:b/>
          <w:bCs/>
          <w:lang w:val="it-IT"/>
        </w:rPr>
        <w:t xml:space="preserve">Negli ultimi 18 mesi abbiamo assistito a una </w:t>
      </w:r>
      <w:proofErr w:type="spellStart"/>
      <w:r w:rsidRPr="003B01E3">
        <w:rPr>
          <w:rFonts w:cstheme="minorHAnsi"/>
          <w:b/>
          <w:bCs/>
          <w:lang w:val="it-IT"/>
        </w:rPr>
        <w:t>sovraperformance</w:t>
      </w:r>
      <w:proofErr w:type="spellEnd"/>
      <w:r w:rsidRPr="003B01E3">
        <w:rPr>
          <w:rFonts w:cstheme="minorHAnsi"/>
          <w:b/>
          <w:bCs/>
          <w:lang w:val="it-IT"/>
        </w:rPr>
        <w:t xml:space="preserve"> dei mercati in valuta locale rispetto al reddito fisso denominato in dollari</w:t>
      </w:r>
      <w:r w:rsidRPr="00463FF8">
        <w:rPr>
          <w:rFonts w:cstheme="minorHAnsi"/>
          <w:lang w:val="it-IT"/>
        </w:rPr>
        <w:t xml:space="preserve">. </w:t>
      </w:r>
      <w:r w:rsidR="00D55717">
        <w:rPr>
          <w:rFonts w:cstheme="minorHAnsi"/>
          <w:lang w:val="it-IT"/>
        </w:rPr>
        <w:t>Inoltre</w:t>
      </w:r>
      <w:r>
        <w:rPr>
          <w:rFonts w:cstheme="minorHAnsi"/>
          <w:lang w:val="it-IT"/>
        </w:rPr>
        <w:t xml:space="preserve">, secondo le nostre previsioni, ciò proseguirà </w:t>
      </w:r>
      <w:r w:rsidRPr="00463FF8">
        <w:rPr>
          <w:rFonts w:cstheme="minorHAnsi"/>
          <w:lang w:val="it-IT"/>
        </w:rPr>
        <w:t>in termini assoluti. Tuttavia</w:t>
      </w:r>
      <w:r w:rsidR="001671BE">
        <w:rPr>
          <w:rFonts w:cstheme="minorHAnsi"/>
          <w:lang w:val="it-IT"/>
        </w:rPr>
        <w:t>,</w:t>
      </w:r>
      <w:r w:rsidRPr="00463FF8">
        <w:rPr>
          <w:rFonts w:cstheme="minorHAnsi"/>
          <w:lang w:val="it-IT"/>
        </w:rPr>
        <w:t xml:space="preserve"> ci aspettiamo che </w:t>
      </w:r>
      <w:r w:rsidR="007C0B8C">
        <w:rPr>
          <w:rFonts w:cstheme="minorHAnsi"/>
          <w:lang w:val="it-IT"/>
        </w:rPr>
        <w:t>la</w:t>
      </w:r>
      <w:r w:rsidRPr="00463FF8">
        <w:rPr>
          <w:rFonts w:cstheme="minorHAnsi"/>
          <w:lang w:val="it-IT"/>
        </w:rPr>
        <w:t xml:space="preserve"> volatilità rimanga elevat</w:t>
      </w:r>
      <w:r w:rsidR="007C0B8C">
        <w:rPr>
          <w:rFonts w:cstheme="minorHAnsi"/>
          <w:lang w:val="it-IT"/>
        </w:rPr>
        <w:t>a</w:t>
      </w:r>
      <w:r w:rsidRPr="00463FF8">
        <w:rPr>
          <w:rFonts w:cstheme="minorHAnsi"/>
          <w:lang w:val="it-IT"/>
        </w:rPr>
        <w:t xml:space="preserve"> </w:t>
      </w:r>
      <w:r w:rsidR="00D55717">
        <w:rPr>
          <w:rFonts w:cstheme="minorHAnsi"/>
          <w:lang w:val="it-IT"/>
        </w:rPr>
        <w:t>sui</w:t>
      </w:r>
      <w:r w:rsidRPr="00463FF8">
        <w:rPr>
          <w:rFonts w:cstheme="minorHAnsi"/>
          <w:lang w:val="it-IT"/>
        </w:rPr>
        <w:t xml:space="preserve"> mercati in valuta locale rispetto a quelli in valuta forte. In</w:t>
      </w:r>
      <w:r w:rsidR="00D55717">
        <w:rPr>
          <w:rFonts w:cstheme="minorHAnsi"/>
          <w:lang w:val="it-IT"/>
        </w:rPr>
        <w:t xml:space="preserve"> </w:t>
      </w:r>
      <w:r w:rsidRPr="00463FF8">
        <w:rPr>
          <w:rFonts w:cstheme="minorHAnsi"/>
          <w:lang w:val="it-IT"/>
        </w:rPr>
        <w:t>particolare</w:t>
      </w:r>
      <w:r w:rsidR="001671BE">
        <w:rPr>
          <w:rFonts w:cstheme="minorHAnsi"/>
          <w:lang w:val="it-IT"/>
        </w:rPr>
        <w:t>,</w:t>
      </w:r>
      <w:r w:rsidRPr="00463FF8">
        <w:rPr>
          <w:rFonts w:cstheme="minorHAnsi"/>
          <w:lang w:val="it-IT"/>
        </w:rPr>
        <w:t xml:space="preserve"> sottolineiamo che </w:t>
      </w:r>
      <w:r w:rsidR="002D45E2">
        <w:rPr>
          <w:rFonts w:cstheme="minorHAnsi"/>
          <w:lang w:val="it-IT"/>
        </w:rPr>
        <w:t xml:space="preserve">è meno probabile che </w:t>
      </w:r>
      <w:r w:rsidRPr="00463FF8">
        <w:rPr>
          <w:rFonts w:cstheme="minorHAnsi"/>
          <w:lang w:val="it-IT"/>
        </w:rPr>
        <w:t xml:space="preserve">la volatilità </w:t>
      </w:r>
      <w:r w:rsidR="002D45E2">
        <w:rPr>
          <w:rFonts w:cstheme="minorHAnsi"/>
          <w:lang w:val="it-IT"/>
        </w:rPr>
        <w:t>sul</w:t>
      </w:r>
      <w:r w:rsidRPr="00463FF8">
        <w:rPr>
          <w:rFonts w:cstheme="minorHAnsi"/>
          <w:lang w:val="it-IT"/>
        </w:rPr>
        <w:t xml:space="preserve"> mercato </w:t>
      </w:r>
      <w:r w:rsidR="002D45E2">
        <w:rPr>
          <w:rFonts w:cstheme="minorHAnsi"/>
          <w:lang w:val="it-IT"/>
        </w:rPr>
        <w:t>in valuta locale</w:t>
      </w:r>
      <w:r w:rsidRPr="00463FF8">
        <w:rPr>
          <w:rFonts w:cstheme="minorHAnsi"/>
          <w:lang w:val="it-IT"/>
        </w:rPr>
        <w:t xml:space="preserve"> sia </w:t>
      </w:r>
      <w:r w:rsidR="002D45E2">
        <w:rPr>
          <w:rFonts w:cstheme="minorHAnsi"/>
          <w:lang w:val="it-IT"/>
        </w:rPr>
        <w:t>spinta</w:t>
      </w:r>
      <w:r w:rsidRPr="00463FF8">
        <w:rPr>
          <w:rFonts w:cstheme="minorHAnsi"/>
          <w:lang w:val="it-IT"/>
        </w:rPr>
        <w:t xml:space="preserve"> dalle sorprese sull'inflazione, ma </w:t>
      </w:r>
      <w:r w:rsidR="002D45E2">
        <w:rPr>
          <w:rFonts w:cstheme="minorHAnsi"/>
          <w:lang w:val="it-IT"/>
        </w:rPr>
        <w:t xml:space="preserve">è </w:t>
      </w:r>
      <w:r w:rsidRPr="00463FF8">
        <w:rPr>
          <w:rFonts w:cstheme="minorHAnsi"/>
          <w:lang w:val="it-IT"/>
        </w:rPr>
        <w:t xml:space="preserve">più </w:t>
      </w:r>
      <w:r w:rsidR="00D55717">
        <w:rPr>
          <w:rFonts w:cstheme="minorHAnsi"/>
          <w:lang w:val="it-IT"/>
        </w:rPr>
        <w:t>verosimile</w:t>
      </w:r>
      <w:r w:rsidRPr="00463FF8">
        <w:rPr>
          <w:rFonts w:cstheme="minorHAnsi"/>
          <w:lang w:val="it-IT"/>
        </w:rPr>
        <w:t xml:space="preserve"> che sia guidata da rischi </w:t>
      </w:r>
      <w:r w:rsidR="002D45E2">
        <w:rPr>
          <w:rFonts w:cstheme="minorHAnsi"/>
          <w:lang w:val="it-IT"/>
        </w:rPr>
        <w:t>complessivi</w:t>
      </w:r>
      <w:r w:rsidR="007C0B8C">
        <w:rPr>
          <w:rFonts w:cstheme="minorHAnsi"/>
          <w:lang w:val="it-IT"/>
        </w:rPr>
        <w:t xml:space="preserve"> come</w:t>
      </w:r>
      <w:r w:rsidRPr="00463FF8">
        <w:rPr>
          <w:rFonts w:cstheme="minorHAnsi"/>
          <w:lang w:val="it-IT"/>
        </w:rPr>
        <w:t xml:space="preserve"> governi bipolari e </w:t>
      </w:r>
      <w:r w:rsidR="002D45E2">
        <w:rPr>
          <w:rFonts w:cstheme="minorHAnsi"/>
          <w:lang w:val="it-IT"/>
        </w:rPr>
        <w:t xml:space="preserve">notizie </w:t>
      </w:r>
      <w:r w:rsidRPr="00463FF8">
        <w:rPr>
          <w:rFonts w:cstheme="minorHAnsi"/>
          <w:lang w:val="it-IT"/>
        </w:rPr>
        <w:t>negativ</w:t>
      </w:r>
      <w:r w:rsidR="002D45E2">
        <w:rPr>
          <w:rFonts w:cstheme="minorHAnsi"/>
          <w:lang w:val="it-IT"/>
        </w:rPr>
        <w:t>e</w:t>
      </w:r>
      <w:r w:rsidRPr="00463FF8">
        <w:rPr>
          <w:rFonts w:cstheme="minorHAnsi"/>
          <w:lang w:val="it-IT"/>
        </w:rPr>
        <w:t xml:space="preserve"> sia sul fronte fiscale che su quello politico, che potrebbero tradursi </w:t>
      </w:r>
      <w:r w:rsidR="00D55717">
        <w:rPr>
          <w:rFonts w:cstheme="minorHAnsi"/>
          <w:lang w:val="it-IT"/>
        </w:rPr>
        <w:t>in una</w:t>
      </w:r>
      <w:r w:rsidRPr="00463FF8">
        <w:rPr>
          <w:rFonts w:cstheme="minorHAnsi"/>
          <w:lang w:val="it-IT"/>
        </w:rPr>
        <w:t xml:space="preserve"> volatilità degli asset in valuta locale.</w:t>
      </w:r>
    </w:p>
    <w:p w14:paraId="0C24D6BC" w14:textId="77777777" w:rsidR="00496205" w:rsidRPr="00463FF8" w:rsidRDefault="00496205" w:rsidP="00463FF8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</w:p>
    <w:p w14:paraId="1F106A61" w14:textId="7847E670" w:rsidR="00C673D6" w:rsidRPr="003B01E3" w:rsidRDefault="002D45E2" w:rsidP="00C673D6">
      <w:pPr>
        <w:spacing w:before="100" w:beforeAutospacing="1" w:after="100" w:afterAutospacing="1" w:line="240" w:lineRule="auto"/>
        <w:contextualSpacing/>
        <w:rPr>
          <w:u w:val="single"/>
          <w:lang w:val="it-IT"/>
        </w:rPr>
      </w:pPr>
      <w:r w:rsidRPr="003B01E3">
        <w:rPr>
          <w:u w:val="single"/>
          <w:lang w:val="it-IT"/>
        </w:rPr>
        <w:t>Cosa ci riserva il futur</w:t>
      </w:r>
      <w:r w:rsidR="00DC7634" w:rsidRPr="003B01E3">
        <w:rPr>
          <w:u w:val="single"/>
          <w:lang w:val="it-IT"/>
        </w:rPr>
        <w:t>o</w:t>
      </w:r>
      <w:r w:rsidRPr="003B01E3">
        <w:rPr>
          <w:u w:val="single"/>
          <w:lang w:val="it-IT"/>
        </w:rPr>
        <w:t xml:space="preserve"> </w:t>
      </w:r>
    </w:p>
    <w:p w14:paraId="5B7520C6" w14:textId="4147A915" w:rsidR="008C3C78" w:rsidRDefault="00A83772" w:rsidP="008C3C78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  <w:r>
        <w:rPr>
          <w:rFonts w:cstheme="minorHAnsi"/>
          <w:lang w:val="it-IT"/>
        </w:rPr>
        <w:t>Considerando il</w:t>
      </w:r>
      <w:r w:rsidRPr="00A83772">
        <w:rPr>
          <w:rFonts w:cstheme="minorHAnsi"/>
          <w:lang w:val="it-IT"/>
        </w:rPr>
        <w:t xml:space="preserve"> contesto in cui ci troviamo oggi e </w:t>
      </w:r>
      <w:r>
        <w:rPr>
          <w:rFonts w:cstheme="minorHAnsi"/>
          <w:lang w:val="it-IT"/>
        </w:rPr>
        <w:t>i driver</w:t>
      </w:r>
      <w:r w:rsidRPr="00A83772">
        <w:rPr>
          <w:rFonts w:cstheme="minorHAnsi"/>
          <w:lang w:val="it-IT"/>
        </w:rPr>
        <w:t xml:space="preserve"> che determineranno la performance da qui a fine anno,</w:t>
      </w:r>
      <w:r w:rsidRPr="003B01E3">
        <w:rPr>
          <w:rFonts w:cstheme="minorHAnsi"/>
          <w:b/>
          <w:bCs/>
          <w:lang w:val="it-IT"/>
        </w:rPr>
        <w:t xml:space="preserve"> </w:t>
      </w:r>
      <w:r w:rsidR="00A71BB3" w:rsidRPr="003B01E3">
        <w:rPr>
          <w:rFonts w:cstheme="minorHAnsi"/>
          <w:b/>
          <w:bCs/>
          <w:lang w:val="it-IT"/>
        </w:rPr>
        <w:t xml:space="preserve">la </w:t>
      </w:r>
      <w:r w:rsidRPr="003B01E3">
        <w:rPr>
          <w:rFonts w:cstheme="minorHAnsi"/>
          <w:b/>
          <w:bCs/>
          <w:lang w:val="it-IT"/>
        </w:rPr>
        <w:t>gran parte di tali driver sar</w:t>
      </w:r>
      <w:r w:rsidR="00A71BB3" w:rsidRPr="003B01E3">
        <w:rPr>
          <w:rFonts w:cstheme="minorHAnsi"/>
          <w:b/>
          <w:bCs/>
          <w:lang w:val="it-IT"/>
        </w:rPr>
        <w:t xml:space="preserve">à costituita dalle aziende </w:t>
      </w:r>
      <w:r w:rsidR="00603AFA" w:rsidRPr="003B01E3">
        <w:rPr>
          <w:rFonts w:cstheme="minorHAnsi"/>
          <w:b/>
          <w:bCs/>
          <w:lang w:val="it-IT"/>
        </w:rPr>
        <w:t xml:space="preserve">più </w:t>
      </w:r>
      <w:r w:rsidR="00A71BB3" w:rsidRPr="003B01E3">
        <w:rPr>
          <w:rFonts w:cstheme="minorHAnsi"/>
          <w:b/>
          <w:bCs/>
          <w:lang w:val="it-IT"/>
        </w:rPr>
        <w:t>in difficoltà</w:t>
      </w:r>
      <w:r>
        <w:rPr>
          <w:rFonts w:cstheme="minorHAnsi"/>
          <w:lang w:val="it-IT"/>
        </w:rPr>
        <w:t>,</w:t>
      </w:r>
      <w:r w:rsidRPr="00A83772">
        <w:rPr>
          <w:rFonts w:cstheme="minorHAnsi"/>
          <w:lang w:val="it-IT"/>
        </w:rPr>
        <w:t xml:space="preserve"> che hanno subito una ristrutturazione </w:t>
      </w:r>
      <w:r>
        <w:rPr>
          <w:rFonts w:cstheme="minorHAnsi"/>
          <w:lang w:val="it-IT"/>
        </w:rPr>
        <w:t>sul piano creditizio</w:t>
      </w:r>
      <w:r w:rsidRPr="00A83772">
        <w:rPr>
          <w:rFonts w:cstheme="minorHAnsi"/>
          <w:lang w:val="it-IT"/>
        </w:rPr>
        <w:t xml:space="preserve"> e che ora stanno </w:t>
      </w:r>
      <w:r>
        <w:rPr>
          <w:rFonts w:cstheme="minorHAnsi"/>
          <w:lang w:val="it-IT"/>
        </w:rPr>
        <w:t>conseguendo</w:t>
      </w:r>
      <w:r w:rsidRPr="00A83772">
        <w:rPr>
          <w:rFonts w:cstheme="minorHAnsi"/>
          <w:lang w:val="it-IT"/>
        </w:rPr>
        <w:t xml:space="preserve"> rendimenti </w:t>
      </w:r>
      <w:r>
        <w:rPr>
          <w:rFonts w:cstheme="minorHAnsi"/>
          <w:lang w:val="it-IT"/>
        </w:rPr>
        <w:t xml:space="preserve">consistenti in </w:t>
      </w:r>
      <w:r w:rsidRPr="00603AFA">
        <w:rPr>
          <w:rFonts w:cstheme="minorHAnsi"/>
          <w:lang w:val="it-IT"/>
        </w:rPr>
        <w:t>relazione</w:t>
      </w:r>
      <w:r w:rsidRPr="00A83772">
        <w:rPr>
          <w:rFonts w:cstheme="minorHAnsi"/>
          <w:lang w:val="it-IT"/>
        </w:rPr>
        <w:t xml:space="preserve"> al reddito fisso</w:t>
      </w:r>
      <w:r w:rsidR="008C3C78" w:rsidRPr="00A83772">
        <w:rPr>
          <w:rFonts w:cstheme="minorHAnsi"/>
          <w:lang w:val="it-IT"/>
        </w:rPr>
        <w:t xml:space="preserve">. </w:t>
      </w:r>
    </w:p>
    <w:p w14:paraId="69733128" w14:textId="77777777" w:rsidR="00496205" w:rsidRPr="00A83772" w:rsidRDefault="00496205" w:rsidP="008C3C78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</w:p>
    <w:p w14:paraId="6FBD858A" w14:textId="43809B4B" w:rsidR="003F02E2" w:rsidRPr="000844B3" w:rsidRDefault="00603AFA" w:rsidP="00C673D6">
      <w:pPr>
        <w:spacing w:before="100" w:beforeAutospacing="1" w:after="100" w:afterAutospacing="1" w:line="240" w:lineRule="auto"/>
        <w:contextualSpacing/>
        <w:rPr>
          <w:rFonts w:cstheme="minorHAnsi"/>
          <w:lang w:val="it-IT"/>
        </w:rPr>
      </w:pPr>
      <w:r>
        <w:rPr>
          <w:lang w:val="it-IT"/>
        </w:rPr>
        <w:t>Sul piano</w:t>
      </w:r>
      <w:r w:rsidR="00DC7634" w:rsidRPr="00DC7634">
        <w:rPr>
          <w:lang w:val="it-IT"/>
        </w:rPr>
        <w:t xml:space="preserve"> macroeconomico,</w:t>
      </w:r>
      <w:r w:rsidR="00DC7634" w:rsidRPr="003B01E3">
        <w:rPr>
          <w:b/>
          <w:bCs/>
          <w:lang w:val="it-IT"/>
        </w:rPr>
        <w:t xml:space="preserve"> il recente rallentamento dell'inflazione core negli </w:t>
      </w:r>
      <w:r w:rsidR="007C0B8C" w:rsidRPr="003B01E3">
        <w:rPr>
          <w:b/>
          <w:bCs/>
          <w:lang w:val="it-IT"/>
        </w:rPr>
        <w:t>Stati Uniti</w:t>
      </w:r>
      <w:r w:rsidR="00DC7634" w:rsidRPr="003B01E3">
        <w:rPr>
          <w:b/>
          <w:bCs/>
          <w:lang w:val="it-IT"/>
        </w:rPr>
        <w:t xml:space="preserve"> è stato significativo e riflette la probabilità che la Federal Reserve dovrà effettuare meno rialzi nel breve termine</w:t>
      </w:r>
      <w:r w:rsidR="00DC7634" w:rsidRPr="00DC7634">
        <w:rPr>
          <w:lang w:val="it-IT"/>
        </w:rPr>
        <w:t xml:space="preserve">. Sebbene sia ancora troppo presto per dire se questo calo dell'inflazione </w:t>
      </w:r>
      <w:r w:rsidR="00DC7634">
        <w:rPr>
          <w:lang w:val="it-IT"/>
        </w:rPr>
        <w:t xml:space="preserve">negli </w:t>
      </w:r>
      <w:r w:rsidR="007C0B8C">
        <w:rPr>
          <w:lang w:val="it-IT"/>
        </w:rPr>
        <w:t>Stati Uniti</w:t>
      </w:r>
      <w:r w:rsidR="00DC7634" w:rsidRPr="00DC7634">
        <w:rPr>
          <w:lang w:val="it-IT"/>
        </w:rPr>
        <w:t xml:space="preserve"> sarà sostenibile, ha comunque </w:t>
      </w:r>
      <w:r w:rsidR="001671BE">
        <w:rPr>
          <w:lang w:val="it-IT"/>
        </w:rPr>
        <w:t xml:space="preserve">delle </w:t>
      </w:r>
      <w:r w:rsidR="00DC7634" w:rsidRPr="00DC7634">
        <w:rPr>
          <w:lang w:val="it-IT"/>
        </w:rPr>
        <w:t>implicazioni per i mercati emergenti. In particolare, è costruttivo per i mercati emergenti</w:t>
      </w:r>
      <w:r w:rsidR="00DC7634">
        <w:rPr>
          <w:lang w:val="it-IT"/>
        </w:rPr>
        <w:t xml:space="preserve"> locali</w:t>
      </w:r>
      <w:r w:rsidR="00DC7634" w:rsidRPr="00DC7634">
        <w:rPr>
          <w:lang w:val="it-IT"/>
        </w:rPr>
        <w:t>, in quanto</w:t>
      </w:r>
      <w:r w:rsidR="00DC7634" w:rsidRPr="003B01E3">
        <w:rPr>
          <w:b/>
          <w:bCs/>
          <w:lang w:val="it-IT"/>
        </w:rPr>
        <w:t xml:space="preserve"> la prevista debolezza del dollaro </w:t>
      </w:r>
      <w:r w:rsidR="00AF1235">
        <w:rPr>
          <w:b/>
          <w:bCs/>
          <w:lang w:val="it-IT"/>
        </w:rPr>
        <w:t>statunitense</w:t>
      </w:r>
      <w:r w:rsidR="007C0B8C" w:rsidRPr="003B01E3">
        <w:rPr>
          <w:b/>
          <w:bCs/>
          <w:lang w:val="it-IT"/>
        </w:rPr>
        <w:t xml:space="preserve"> </w:t>
      </w:r>
      <w:r w:rsidR="000844B3" w:rsidRPr="003B01E3">
        <w:rPr>
          <w:b/>
          <w:bCs/>
          <w:lang w:val="it-IT"/>
        </w:rPr>
        <w:t>fornirà verosimilmente un aiuto ai</w:t>
      </w:r>
      <w:r w:rsidR="00DC7634" w:rsidRPr="003B01E3">
        <w:rPr>
          <w:b/>
          <w:bCs/>
          <w:lang w:val="it-IT"/>
        </w:rPr>
        <w:t xml:space="preserve"> mercati valutari</w:t>
      </w:r>
      <w:r w:rsidR="000844B3">
        <w:rPr>
          <w:lang w:val="it-IT"/>
        </w:rPr>
        <w:t>,</w:t>
      </w:r>
      <w:r w:rsidR="00DC7634" w:rsidRPr="00DC7634">
        <w:rPr>
          <w:lang w:val="it-IT"/>
        </w:rPr>
        <w:t xml:space="preserve"> in un momento in cui si prevede che molte banche centrali dei </w:t>
      </w:r>
      <w:r w:rsidR="00DC7634">
        <w:rPr>
          <w:lang w:val="it-IT"/>
        </w:rPr>
        <w:t>mercati</w:t>
      </w:r>
      <w:r w:rsidR="00DC7634" w:rsidRPr="00DC7634">
        <w:rPr>
          <w:lang w:val="it-IT"/>
        </w:rPr>
        <w:t xml:space="preserve"> emergenti </w:t>
      </w:r>
      <w:r w:rsidR="000844B3">
        <w:rPr>
          <w:lang w:val="it-IT"/>
        </w:rPr>
        <w:t>avvieranno</w:t>
      </w:r>
      <w:r w:rsidR="00DC7634" w:rsidRPr="00DC7634">
        <w:rPr>
          <w:lang w:val="it-IT"/>
        </w:rPr>
        <w:t xml:space="preserve"> autonomamente i loro cicli di riduzione dei tassi. </w:t>
      </w:r>
    </w:p>
    <w:sectPr w:rsidR="003F02E2" w:rsidRPr="00084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5F6D" w14:textId="77777777" w:rsidR="009E3644" w:rsidRDefault="009E3644" w:rsidP="007B7C83">
      <w:pPr>
        <w:spacing w:after="0" w:line="240" w:lineRule="auto"/>
      </w:pPr>
      <w:r>
        <w:separator/>
      </w:r>
    </w:p>
  </w:endnote>
  <w:endnote w:type="continuationSeparator" w:id="0">
    <w:p w14:paraId="6CAF36DA" w14:textId="77777777" w:rsidR="009E3644" w:rsidRDefault="009E3644" w:rsidP="007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5344" w14:textId="77777777" w:rsidR="009E3644" w:rsidRDefault="009E3644" w:rsidP="007B7C83">
      <w:pPr>
        <w:spacing w:after="0" w:line="240" w:lineRule="auto"/>
      </w:pPr>
      <w:r>
        <w:separator/>
      </w:r>
    </w:p>
  </w:footnote>
  <w:footnote w:type="continuationSeparator" w:id="0">
    <w:p w14:paraId="07082231" w14:textId="77777777" w:rsidR="009E3644" w:rsidRDefault="009E3644" w:rsidP="007B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3E6"/>
    <w:multiLevelType w:val="hybridMultilevel"/>
    <w:tmpl w:val="15E69902"/>
    <w:lvl w:ilvl="0" w:tplc="E660A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2B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C2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B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E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E0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4A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7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8B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7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45"/>
    <w:rsid w:val="00061FAD"/>
    <w:rsid w:val="000657AF"/>
    <w:rsid w:val="000844B3"/>
    <w:rsid w:val="001671BE"/>
    <w:rsid w:val="00195B3A"/>
    <w:rsid w:val="001A5651"/>
    <w:rsid w:val="002D45E2"/>
    <w:rsid w:val="00307C2E"/>
    <w:rsid w:val="00322602"/>
    <w:rsid w:val="003547AA"/>
    <w:rsid w:val="00364BB8"/>
    <w:rsid w:val="00377C80"/>
    <w:rsid w:val="003B01E3"/>
    <w:rsid w:val="003E49CC"/>
    <w:rsid w:val="003F02E2"/>
    <w:rsid w:val="00463FF8"/>
    <w:rsid w:val="00473F1C"/>
    <w:rsid w:val="00494BF4"/>
    <w:rsid w:val="00496205"/>
    <w:rsid w:val="004F4164"/>
    <w:rsid w:val="00500400"/>
    <w:rsid w:val="005C3768"/>
    <w:rsid w:val="00603AFA"/>
    <w:rsid w:val="006471EC"/>
    <w:rsid w:val="006B77F2"/>
    <w:rsid w:val="007026D6"/>
    <w:rsid w:val="007B7C83"/>
    <w:rsid w:val="007C0B8C"/>
    <w:rsid w:val="007E52E1"/>
    <w:rsid w:val="007E6758"/>
    <w:rsid w:val="007F506C"/>
    <w:rsid w:val="0081520C"/>
    <w:rsid w:val="008B79F9"/>
    <w:rsid w:val="008C3C78"/>
    <w:rsid w:val="00927397"/>
    <w:rsid w:val="00935D69"/>
    <w:rsid w:val="00951CF2"/>
    <w:rsid w:val="009E3644"/>
    <w:rsid w:val="009E7801"/>
    <w:rsid w:val="00A113D1"/>
    <w:rsid w:val="00A23949"/>
    <w:rsid w:val="00A642F3"/>
    <w:rsid w:val="00A71BB3"/>
    <w:rsid w:val="00A83772"/>
    <w:rsid w:val="00AB6FA1"/>
    <w:rsid w:val="00AF1235"/>
    <w:rsid w:val="00B01669"/>
    <w:rsid w:val="00B11F44"/>
    <w:rsid w:val="00B50F45"/>
    <w:rsid w:val="00B73F9F"/>
    <w:rsid w:val="00B8067C"/>
    <w:rsid w:val="00BD1B0B"/>
    <w:rsid w:val="00BF3052"/>
    <w:rsid w:val="00C53E49"/>
    <w:rsid w:val="00C6046E"/>
    <w:rsid w:val="00C673D6"/>
    <w:rsid w:val="00CE324D"/>
    <w:rsid w:val="00D55717"/>
    <w:rsid w:val="00D66D8A"/>
    <w:rsid w:val="00DC7634"/>
    <w:rsid w:val="00E05C7F"/>
    <w:rsid w:val="00E745A6"/>
    <w:rsid w:val="00E81CF3"/>
    <w:rsid w:val="00EC1079"/>
    <w:rsid w:val="00EE0BE6"/>
    <w:rsid w:val="00F15B6C"/>
    <w:rsid w:val="00F94FFF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C477D"/>
  <w15:chartTrackingRefBased/>
  <w15:docId w15:val="{DC24B8E5-B2A7-4347-AECC-EA6F4752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547A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547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949"/>
  </w:style>
  <w:style w:type="paragraph" w:styleId="Pidipagina">
    <w:name w:val="footer"/>
    <w:basedOn w:val="Normale"/>
    <w:link w:val="PidipaginaCarattere"/>
    <w:uiPriority w:val="99"/>
    <w:unhideWhenUsed/>
    <w:rsid w:val="00A2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Somers</dc:creator>
  <cp:lastModifiedBy>Diana Ferla</cp:lastModifiedBy>
  <cp:revision>32</cp:revision>
  <dcterms:created xsi:type="dcterms:W3CDTF">2023-07-14T12:51:00Z</dcterms:created>
  <dcterms:modified xsi:type="dcterms:W3CDTF">2023-08-16T06:57:00Z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ActionId">
    <vt:lpwstr>d694299e-c733-414c-bae1-af35bb2079b3</vt:lpwstr>
  </property>
  <property fmtid="{D5CDD505-2E9C-101B-9397-08002B2CF9AE}" pid="3" name="MSIP_Label_2ce19b8d-fad6-4ab7-9522-46d4ce3e2dbb_ContentBits">
    <vt:lpwstr>0</vt:lpwstr>
  </property>
  <property fmtid="{D5CDD505-2E9C-101B-9397-08002B2CF9AE}" pid="4" name="MSIP_Label_2ce19b8d-fad6-4ab7-9522-46d4ce3e2dbb_Enabled">
    <vt:lpwstr>true</vt:lpwstr>
  </property>
  <property fmtid="{D5CDD505-2E9C-101B-9397-08002B2CF9AE}" pid="5" name="MSIP_Label_2ce19b8d-fad6-4ab7-9522-46d4ce3e2dbb_Method">
    <vt:lpwstr>Standard</vt:lpwstr>
  </property>
  <property fmtid="{D5CDD505-2E9C-101B-9397-08002B2CF9AE}" pid="6" name="MSIP_Label_2ce19b8d-fad6-4ab7-9522-46d4ce3e2dbb_Name">
    <vt:lpwstr>2ce19b8d-fad6-4ab7-9522-46d4ce3e2dbb</vt:lpwstr>
  </property>
  <property fmtid="{D5CDD505-2E9C-101B-9397-08002B2CF9AE}" pid="7" name="MSIP_Label_2ce19b8d-fad6-4ab7-9522-46d4ce3e2dbb_SetDate">
    <vt:lpwstr>2023-07-12T15:15:36Z</vt:lpwstr>
  </property>
  <property fmtid="{D5CDD505-2E9C-101B-9397-08002B2CF9AE}" pid="8" name="MSIP_Label_2ce19b8d-fad6-4ab7-9522-46d4ce3e2dbb_SiteId">
    <vt:lpwstr>049111b5-d97f-4710-b00a-5a42955a4d8e</vt:lpwstr>
  </property>
</Properties>
</file>