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BB4FA4" w:rsidRDefault="00EA20F2" w:rsidP="00BB4FA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4FF4B20E" w14:textId="4C923050" w:rsidR="004760A8" w:rsidRPr="00BB4FA4" w:rsidRDefault="00BB4FA4" w:rsidP="00BB4FA4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BB4FA4">
        <w:rPr>
          <w:rFonts w:ascii="Arial" w:hAnsi="Arial" w:cs="Arial"/>
          <w:b/>
          <w:sz w:val="36"/>
          <w:szCs w:val="36"/>
        </w:rPr>
        <w:t>EVENTI&amp;COMMENTI</w:t>
      </w:r>
      <w:r w:rsidR="001E6E3E">
        <w:rPr>
          <w:rFonts w:ascii="Arial" w:hAnsi="Arial" w:cs="Arial"/>
          <w:b/>
          <w:sz w:val="36"/>
          <w:szCs w:val="36"/>
        </w:rPr>
        <w:t xml:space="preserve"> –</w:t>
      </w:r>
      <w:r w:rsidRPr="00BB4FA4">
        <w:rPr>
          <w:rFonts w:ascii="Arial" w:hAnsi="Arial" w:cs="Arial"/>
          <w:b/>
          <w:sz w:val="36"/>
          <w:szCs w:val="36"/>
        </w:rPr>
        <w:t xml:space="preserve"> </w:t>
      </w:r>
      <w:r w:rsidR="003675B0" w:rsidRPr="003675B0">
        <w:rPr>
          <w:rFonts w:ascii="Arial" w:hAnsi="Arial" w:cs="Arial"/>
          <w:b/>
          <w:sz w:val="36"/>
          <w:szCs w:val="36"/>
        </w:rPr>
        <w:t>Post</w:t>
      </w:r>
      <w:r w:rsidR="001E6E3E">
        <w:rPr>
          <w:rFonts w:ascii="Arial" w:hAnsi="Arial" w:cs="Arial"/>
          <w:b/>
          <w:sz w:val="36"/>
          <w:szCs w:val="36"/>
        </w:rPr>
        <w:t>-</w:t>
      </w:r>
      <w:r w:rsidR="003675B0" w:rsidRPr="003675B0">
        <w:rPr>
          <w:rFonts w:ascii="Arial" w:hAnsi="Arial" w:cs="Arial"/>
          <w:b/>
          <w:sz w:val="36"/>
          <w:szCs w:val="36"/>
        </w:rPr>
        <w:t>Jackson Hole: tutti fuori a guardar le stelle</w:t>
      </w:r>
    </w:p>
    <w:p w14:paraId="0232DC5A" w14:textId="77777777" w:rsidR="0006058F" w:rsidRPr="00BB4FA4" w:rsidRDefault="0006058F" w:rsidP="00BB4FA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6666A875" w:rsidR="00A76468" w:rsidRPr="00BB4FA4" w:rsidRDefault="00A76468" w:rsidP="00BB4FA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B4FA4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BB4FA4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BB4FA4">
        <w:rPr>
          <w:rFonts w:ascii="Arial" w:hAnsi="Arial" w:cs="Arial"/>
          <w:bCs/>
          <w:i/>
          <w:iCs/>
          <w:sz w:val="24"/>
          <w:szCs w:val="24"/>
        </w:rPr>
        <w:t xml:space="preserve"> Global Strategist, </w:t>
      </w:r>
      <w:proofErr w:type="spellStart"/>
      <w:r w:rsidRPr="00BB4FA4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Pr="00BB4FA4" w:rsidRDefault="00BC43BE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3559ACD0" w14:textId="672E0BA3" w:rsidR="004760A8" w:rsidRPr="001E6E3E" w:rsidRDefault="00BB4FA4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spacing w:val="-2"/>
          <w:sz w:val="24"/>
          <w:szCs w:val="24"/>
        </w:rPr>
      </w:pPr>
      <w:r w:rsidRPr="001E6E3E">
        <w:rPr>
          <w:rFonts w:ascii="Arial" w:hAnsi="Arial" w:cs="Arial"/>
          <w:spacing w:val="-2"/>
          <w:sz w:val="24"/>
          <w:szCs w:val="24"/>
        </w:rPr>
        <w:t xml:space="preserve">Milano, </w:t>
      </w:r>
      <w:r w:rsidR="003675B0" w:rsidRPr="001E6E3E">
        <w:rPr>
          <w:rFonts w:ascii="Arial" w:hAnsi="Arial" w:cs="Arial"/>
          <w:spacing w:val="-2"/>
          <w:sz w:val="24"/>
          <w:szCs w:val="24"/>
        </w:rPr>
        <w:t>28</w:t>
      </w:r>
      <w:r w:rsidRPr="001E6E3E">
        <w:rPr>
          <w:rFonts w:ascii="Arial" w:hAnsi="Arial" w:cs="Arial"/>
          <w:spacing w:val="-2"/>
          <w:sz w:val="24"/>
          <w:szCs w:val="24"/>
        </w:rPr>
        <w:t>/0</w:t>
      </w:r>
      <w:r w:rsidR="003675B0" w:rsidRPr="001E6E3E">
        <w:rPr>
          <w:rFonts w:ascii="Arial" w:hAnsi="Arial" w:cs="Arial"/>
          <w:spacing w:val="-2"/>
          <w:sz w:val="24"/>
          <w:szCs w:val="24"/>
        </w:rPr>
        <w:t>8</w:t>
      </w:r>
      <w:r w:rsidRPr="001E6E3E">
        <w:rPr>
          <w:rFonts w:ascii="Arial" w:hAnsi="Arial" w:cs="Arial"/>
          <w:spacing w:val="-2"/>
          <w:sz w:val="24"/>
          <w:szCs w:val="24"/>
        </w:rPr>
        <w:t>/2023</w:t>
      </w:r>
    </w:p>
    <w:p w14:paraId="16D4F214" w14:textId="77777777" w:rsidR="00BB4FA4" w:rsidRPr="001E6E3E" w:rsidRDefault="00BB4FA4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</w:pPr>
    </w:p>
    <w:p w14:paraId="5CEAF2C5" w14:textId="4737ABC4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scorsa settimana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era chiamata ad offrire indicazioni aggiornate dai PMI e dai banchieri centrali a Jackson Hole.</w:t>
      </w:r>
    </w:p>
    <w:p w14:paraId="3BD97FA7" w14:textId="0D87DB73" w:rsidR="003675B0" w:rsidRPr="001E6E3E" w:rsidRDefault="003675B0" w:rsidP="00F608D5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Dai PMI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il messaggio è stato netto e chiaro: in area Euro anche i servizi (finora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la componente</w:t>
      </w:r>
      <w:r w:rsidR="001E6E3E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più forte dell'economia)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hanno subito una</w:t>
      </w:r>
      <w:r w:rsidR="001E6E3E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contrazione. </w:t>
      </w:r>
      <w:r w:rsidR="001E6E3E" w:rsidRPr="001E6E3E">
        <w:rPr>
          <w:rFonts w:ascii="Arial" w:eastAsia="Times New Roman" w:hAnsi="Arial" w:cs="Arial"/>
          <w:color w:val="000000"/>
          <w:sz w:val="24"/>
          <w:szCs w:val="24"/>
        </w:rPr>
        <w:t>Stessa tendenza protagonista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 xml:space="preserve"> anche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negli Usa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ma con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servizi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 xml:space="preserve">ancora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oltre la soglia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="001E6E3E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espansione, sebbene in rallentamento. </w:t>
      </w:r>
    </w:p>
    <w:p w14:paraId="13742A07" w14:textId="09E25EE6" w:rsidR="003675B0" w:rsidRPr="00FD1EE9" w:rsidRDefault="003675B0" w:rsidP="00FD1EE9">
      <w:pPr>
        <w:pStyle w:val="Paragrafoelenco"/>
        <w:numPr>
          <w:ilvl w:val="0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1EE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Dai banchieri centrali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 xml:space="preserve"> l'indicazione è stata ancora data </w:t>
      </w:r>
      <w:proofErr w:type="spellStart"/>
      <w:r w:rsidRPr="00FD1EE9">
        <w:rPr>
          <w:rFonts w:ascii="Arial" w:eastAsia="Times New Roman" w:hAnsi="Arial" w:cs="Arial"/>
          <w:color w:val="000000"/>
          <w:sz w:val="24"/>
          <w:szCs w:val="24"/>
        </w:rPr>
        <w:t>dependent</w:t>
      </w:r>
      <w:proofErr w:type="spellEnd"/>
      <w:r w:rsidRPr="00FD1EE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>In questo caso</w:t>
      </w:r>
      <w:r w:rsidR="001E6E3E" w:rsidRPr="00FD1EE9">
        <w:rPr>
          <w:rFonts w:ascii="Arial" w:eastAsia="Times New Roman" w:hAnsi="Arial" w:cs="Arial"/>
          <w:color w:val="000000"/>
          <w:sz w:val="24"/>
          <w:szCs w:val="24"/>
        </w:rPr>
        <w:t>, sono state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 xml:space="preserve"> emblematiche ed esplicative le parole contenute nelle conclusioni del discorso di Powell: </w:t>
      </w:r>
      <w:r w:rsidR="001E6E3E" w:rsidRPr="00FD1EE9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>siamo guidati dalle stelle sotto un cielo denso di nubi</w:t>
      </w:r>
      <w:r w:rsidR="001E6E3E" w:rsidRPr="00FD1EE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 xml:space="preserve">. Di conseguenza, nella riunione di settembre </w:t>
      </w:r>
      <w:r w:rsidR="001E6E3E" w:rsidRPr="00FD1EE9">
        <w:rPr>
          <w:rFonts w:ascii="Arial" w:eastAsia="Times New Roman" w:hAnsi="Arial" w:cs="Arial"/>
          <w:color w:val="000000"/>
          <w:sz w:val="24"/>
          <w:szCs w:val="24"/>
        </w:rPr>
        <w:t xml:space="preserve">sono ugualmente probabili </w:t>
      </w:r>
      <w:r w:rsidRPr="00FD1EE9">
        <w:rPr>
          <w:rFonts w:ascii="Arial" w:eastAsia="Times New Roman" w:hAnsi="Arial" w:cs="Arial"/>
          <w:color w:val="000000"/>
          <w:sz w:val="24"/>
          <w:szCs w:val="24"/>
        </w:rPr>
        <w:t>una pausa o un ulteriore rialzo.</w:t>
      </w:r>
    </w:p>
    <w:p w14:paraId="6A7D02B1" w14:textId="727A4A30" w:rsidR="003675B0" w:rsidRPr="001E6E3E" w:rsidRDefault="003675B0" w:rsidP="00FD1EE9">
      <w:pPr>
        <w:numPr>
          <w:ilvl w:val="0"/>
          <w:numId w:val="66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Venendo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al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dettaglio del discorso di Powell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, emerge una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disamina </w:t>
      </w:r>
      <w:proofErr w:type="spellStart"/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equiponderata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sia dei primi impatti dei rialzi finora effettuati (soprattutto nel caso della moderazione del credito, in alcuni ambiti immobiliari e costi del credito al consumo)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sia di cosa rimane ancora da fare, in particolare 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 xml:space="preserve">per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scalfire la forza del mercato del lavoro.</w:t>
      </w:r>
    </w:p>
    <w:p w14:paraId="58DD2A53" w14:textId="2F73D505" w:rsidR="003675B0" w:rsidRPr="001E6E3E" w:rsidRDefault="003675B0" w:rsidP="00F608D5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Powell era chiamato a lasciare intendere una propensione verso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una delle tre possibili ipotesi di prosieguo della politica monetaria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37AD8CD1" w14:textId="77777777" w:rsidR="003675B0" w:rsidRPr="001E6E3E" w:rsidRDefault="003675B0" w:rsidP="00FD1EE9">
      <w:pPr>
        <w:numPr>
          <w:ilvl w:val="0"/>
          <w:numId w:val="67"/>
        </w:numPr>
        <w:tabs>
          <w:tab w:val="clear" w:pos="720"/>
        </w:tabs>
        <w:spacing w:before="100" w:beforeAutospacing="1" w:after="100" w:afterAutospacing="1" w:line="24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pausa e permanenza dei tassi sui livelli attuali a lungo; </w:t>
      </w:r>
    </w:p>
    <w:p w14:paraId="17FFFF87" w14:textId="21F0D9E6" w:rsidR="003675B0" w:rsidRPr="001E6E3E" w:rsidRDefault="001E6E3E" w:rsidP="00FD1EE9">
      <w:pPr>
        <w:numPr>
          <w:ilvl w:val="0"/>
          <w:numId w:val="67"/>
        </w:numPr>
        <w:tabs>
          <w:tab w:val="clear" w:pos="720"/>
        </w:tabs>
        <w:spacing w:before="100" w:beforeAutospacing="1" w:after="100" w:afterAutospacing="1" w:line="24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nuovi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rialz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52FA8A1A" w14:textId="08EA7FA8" w:rsidR="003675B0" w:rsidRPr="001E6E3E" w:rsidRDefault="001E6E3E" w:rsidP="00FD1EE9">
      <w:pPr>
        <w:numPr>
          <w:ilvl w:val="0"/>
          <w:numId w:val="67"/>
        </w:numPr>
        <w:tabs>
          <w:tab w:val="clear" w:pos="720"/>
        </w:tabs>
        <w:spacing w:before="100" w:beforeAutospacing="1" w:after="100" w:afterAutospacing="1" w:line="24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innalzamento del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target di inflazione.</w:t>
      </w:r>
    </w:p>
    <w:p w14:paraId="6FC8ED8C" w14:textId="2EC20C02" w:rsidR="003675B0" w:rsidRPr="001E6E3E" w:rsidRDefault="003675B0" w:rsidP="00F608D5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Se sulle due prime ipotesi non è stata espressa una propensione netta, molto decisa è stat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a,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invece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la negazione della terza ipotesi</w:t>
      </w:r>
      <w:r w:rsidR="001E6E3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con una dichiarazione perentoria: "il 2% è e rimarrà il nostro target d'inflazione". </w:t>
      </w:r>
    </w:p>
    <w:p w14:paraId="53B4138C" w14:textId="568B779B" w:rsidR="003675B0" w:rsidRPr="001E6E3E" w:rsidRDefault="003675B0" w:rsidP="001E6E3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Il buon andamento dei consumi nei primi due trimestri (e probabilmente nel terzo) deriva principalmente dal forte supporto dal lato governativo. 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È come se un gigantesco QE governativo avesse più che bilanciato l'effetto restrittivo del QT praticato dalle banche centrali.</w:t>
      </w:r>
    </w:p>
    <w:p w14:paraId="3E5ECE35" w14:textId="77777777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A quali manovre Usa si fa riferimento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? </w:t>
      </w:r>
    </w:p>
    <w:p w14:paraId="561993C1" w14:textId="0E789D65" w:rsidR="003675B0" w:rsidRPr="001E6E3E" w:rsidRDefault="003675B0" w:rsidP="00F608D5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Fiume di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bonus pandemici/post</w:t>
      </w:r>
      <w:r w:rsid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pandemici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che hanno alimentato un eccesso di risparmi</w:t>
      </w:r>
    </w:p>
    <w:p w14:paraId="2E463E69" w14:textId="786B9948" w:rsidR="003675B0" w:rsidRPr="001E6E3E" w:rsidRDefault="001E6E3E" w:rsidP="00F608D5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ospicui </w:t>
      </w:r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piani pluriennali </w:t>
      </w:r>
      <w:proofErr w:type="spellStart"/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Inflation</w:t>
      </w:r>
      <w:proofErr w:type="spellEnd"/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Redution</w:t>
      </w:r>
      <w:proofErr w:type="spellEnd"/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Act e Chips Act </w:t>
      </w:r>
    </w:p>
    <w:p w14:paraId="26405CFA" w14:textId="0DECEF23" w:rsidR="003675B0" w:rsidRPr="001E6E3E" w:rsidRDefault="001E6E3E" w:rsidP="001E6E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3675B0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oratoria sui prestiti per gli studenti dal marzo del 2020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>. È bene precisare che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in quest'ultimo caso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non occorre lasciarsi ingannare dal termine "studenti"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in quanto 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lastRenderedPageBreak/>
        <w:t>le rate son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3675B0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in realtà a carico prevalentemente dei lavoratori che, dopo aver completato il ciclo di studi, impiegano buona parte della vita lavorativa a ripagare i debiti precedentemente contratti per finanziare gli studi.</w:t>
      </w:r>
    </w:p>
    <w:p w14:paraId="05DA9011" w14:textId="0DEE027F" w:rsidR="003675B0" w:rsidRPr="001E6E3E" w:rsidRDefault="003675B0" w:rsidP="00FD1EE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Un fenomeno analogo (QE governativo che in parte spiazza il QT monetario) si è verificato anche in area Euro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con connotazioni diverse: nel nord Europa (soprattutto Germania) tramite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sussidi cash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all'economia, nel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Sud</w:t>
      </w:r>
      <w:r w:rsidR="0068256A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Europa (Italia in testa) tramite elargizione di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garanzie pubbliche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per consentire un fluido afflusso di credito all'economia da parte delle banche.</w:t>
      </w:r>
    </w:p>
    <w:p w14:paraId="2CD58C82" w14:textId="77777777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Negli USA alcuni dei supporti prima citati poco alla volta si ridimensionano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77C10C6" w14:textId="6D314A2C" w:rsidR="003675B0" w:rsidRPr="001E6E3E" w:rsidRDefault="003675B0" w:rsidP="00F608D5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 ottobre </w:t>
      </w:r>
      <w:r w:rsid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termina</w:t>
      </w:r>
      <w:r w:rsidR="0068256A"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 moratoria sugli </w:t>
      </w:r>
      <w:proofErr w:type="spellStart"/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</w:t>
      </w:r>
      <w:proofErr w:type="spellEnd"/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loans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e i debitori dovranno riprendere a pagare capitale ed interesse sui circa </w:t>
      </w:r>
      <w:r w:rsidR="0068256A" w:rsidRPr="001E6E3E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1100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256A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Ld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prestiti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al tasso medio del 5,8%, sebbene in forma attenuata dal recente provvedimento di Biden denominato SAVE (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Saving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on a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Valuable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Education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), finalizzato a ridurne l'impatto almeno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sulla</w:t>
      </w:r>
      <w:r w:rsidR="0068256A"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fascia di popolazione meno ricca. Biden non può fare di più perché l'impossibilità di prorogare la moratoria sugli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student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loans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fa parte dell'accordo sulla sospensione del tetto sul debito (raggiunto a giugno) fino a dopo le presidenziali del novembre 2024.</w:t>
      </w:r>
    </w:p>
    <w:p w14:paraId="722512E8" w14:textId="506DCF7E" w:rsidR="003675B0" w:rsidRPr="0068256A" w:rsidRDefault="003675B0" w:rsidP="0068256A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256A">
        <w:rPr>
          <w:rFonts w:ascii="Arial" w:eastAsia="Times New Roman" w:hAnsi="Arial" w:cs="Arial"/>
          <w:color w:val="000000"/>
          <w:sz w:val="24"/>
          <w:szCs w:val="24"/>
        </w:rPr>
        <w:t xml:space="preserve">Nel corso di questo trimestre dovrebbero </w:t>
      </w:r>
      <w:r w:rsidRP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azzerarsi i cosiddetti </w:t>
      </w:r>
      <w:r w:rsidR="0068256A" w:rsidRP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risparmi in eccesso</w:t>
      </w:r>
      <w:r w:rsidR="0068256A" w:rsidRP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P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68256A">
        <w:rPr>
          <w:rFonts w:ascii="Arial" w:eastAsia="Times New Roman" w:hAnsi="Arial" w:cs="Arial"/>
          <w:color w:val="000000"/>
          <w:sz w:val="24"/>
          <w:szCs w:val="24"/>
        </w:rPr>
        <w:t xml:space="preserve"> in base a quanto stimato dalla Fed di San Francisco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8" w:history="1">
        <w:r w:rsidR="0068256A" w:rsidRPr="0068256A">
          <w:rPr>
            <w:rStyle w:val="Collegamentoipertestuale"/>
            <w:rFonts w:ascii="Arial" w:eastAsia="Times New Roman" w:hAnsi="Arial" w:cs="Arial"/>
            <w:sz w:val="24"/>
            <w:szCs w:val="24"/>
          </w:rPr>
          <w:t>https://www.frbsf.org/our-district/about/sf-fed-blog/excess-no-more-dwindling-pandemic-savings/</w:t>
        </w:r>
      </w:hyperlink>
    </w:p>
    <w:p w14:paraId="7C0B32D5" w14:textId="391CAB8A" w:rsidR="003675B0" w:rsidRDefault="003675B0" w:rsidP="00FD1EE9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noProof/>
          <w:color w:val="000000"/>
          <w:sz w:val="24"/>
          <w:szCs w:val="24"/>
        </w:rPr>
        <w:drawing>
          <wp:inline distT="0" distB="0" distL="0" distR="0" wp14:anchorId="122F154C" wp14:editId="06D79EB4">
            <wp:extent cx="4460631" cy="3045932"/>
            <wp:effectExtent l="0" t="0" r="0" b="2540"/>
            <wp:docPr id="1005865745" name="Immagine 2" descr="Immagine che contiene testo, line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65745" name="Immagine 2" descr="Immagine che contiene testo, linea, diagramm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78" cy="30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1180" w14:textId="4B4DC951" w:rsidR="003675B0" w:rsidRPr="001E6E3E" w:rsidRDefault="003675B0" w:rsidP="00F608D5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In generale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Biden non potrà implementare ulteriore "QE governativo"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dal momento che i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epubblicani lo impediranno, man mano che ci si avvicinerà alle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elezioni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del 2024.</w:t>
      </w:r>
    </w:p>
    <w:p w14:paraId="24E2B85A" w14:textId="344B02F8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Anche in area Euro verosimilmente i supporti prima citati (sussidi cash/garanzie) tenderanno a ridimensionarsi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viste le difficoltà di alcuni paesi sul fronte dei conti pubblici.</w:t>
      </w:r>
    </w:p>
    <w:p w14:paraId="28C70E77" w14:textId="77777777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In sintesi </w:t>
      </w:r>
    </w:p>
    <w:p w14:paraId="6F11323C" w14:textId="60B233F9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Il QE governativo che in buona misura ha spiazzato il QT monetario tenderà almeno a ridimensionarsi, lasciando prevalere il QT monetario sotto forma di calo della liquidità (ripreso negli Usa da metà giugno dopo la pausa a marzo per la crisi delle banche regionali) ed effetto ritardato dei rialzi fin qui implementati.</w:t>
      </w:r>
    </w:p>
    <w:p w14:paraId="315E13A5" w14:textId="552F8B90" w:rsidR="003675B0" w:rsidRPr="001E6E3E" w:rsidRDefault="003675B0" w:rsidP="0068256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Aggiungiamo un ultimo ingrediente prima di arrivare alle conclusioni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: i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n area Euro il rallentamento dei servizi rende paradossalmente più forte e pressante la voce dei falchi della BCE che spingono per un ulteriore rialzo a settembre in nome dell'inflazione core ancora molto alta, prima che il rallentamento diventi così marcato nel quarto trimestre da rendere il canto delle colombe prevalente rispetto al grido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ei falchi. </w:t>
      </w:r>
    </w:p>
    <w:p w14:paraId="0124729E" w14:textId="77777777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 conclusioni trarne?</w:t>
      </w:r>
    </w:p>
    <w:p w14:paraId="6E4DCA6C" w14:textId="1B42A689" w:rsidR="003675B0" w:rsidRPr="001E6E3E" w:rsidRDefault="003675B0" w:rsidP="00F608D5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banche centrali, Fed in primis, son</w:t>
      </w:r>
      <w:r w:rsid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alla mercè dei dati,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guidate dalle stelle senza un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effettiva capacità anticipatoria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a causa delle numerose incognite e particolarità in una fase complessa come quella post pandemica/post inizio della guerra in Ucraina.</w:t>
      </w:r>
    </w:p>
    <w:p w14:paraId="395B85D3" w14:textId="1F1FF956" w:rsidR="003675B0" w:rsidRPr="001E6E3E" w:rsidRDefault="003675B0" w:rsidP="00F608D5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A meno di dati molto distonici (al rialzo) rispetto al consenso (in primis il mercato del lavoro del prossimo venerdì soprattutto per la parte salari)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Fed potrebbe propendere per una pausa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per avere ancora più dati a disposizione ed evitare di calcare troppo la mano e correre il rischio di spegnere il motore dell'economia, per riaccendere il quale occorrerebbe poi un lavoro estenuante.</w:t>
      </w:r>
    </w:p>
    <w:p w14:paraId="0729C6F3" w14:textId="49F148C0" w:rsidR="003675B0" w:rsidRPr="001E6E3E" w:rsidRDefault="003675B0" w:rsidP="00F608D5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BCE potrebbe essere più passibile di un ultimo rialzo a settembre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(nel qual caso tasso sui depositi al 4%)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ma, anche qui, il dato sull'inflazione preliminare di agosto di questa settimana (soprattutto la parte core) sarà decisivo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vista la spaccatura del board.</w:t>
      </w:r>
    </w:p>
    <w:p w14:paraId="68C1FCD7" w14:textId="6A435644" w:rsidR="003675B0" w:rsidRPr="001E6E3E" w:rsidRDefault="003675B0" w:rsidP="00F608D5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Vada come vada su un eventuale e forse ultimo rialzo di 25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pb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>, rimane per ora una piccola probabile certezza: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 tassi rimarranno a lungo fermi sui livelli attuali.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50DB685" w14:textId="7CF4241E" w:rsidR="003675B0" w:rsidRPr="001E6E3E" w:rsidRDefault="003675B0" w:rsidP="00F608D5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Questo porta i tassi a breve e salire più di quelli a lungo termine (il valore medio dei tassi stimati su un arco biennale sale) soprattutto negli Usa. Lo spread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a due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anni sale e questo contribuisce a tenere il dollaro forte.</w:t>
      </w:r>
    </w:p>
    <w:p w14:paraId="2A1FF42B" w14:textId="77777777" w:rsidR="003675B0" w:rsidRPr="001E6E3E" w:rsidRDefault="003675B0" w:rsidP="00F608D5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Tutti questi fattori portano alle seguenti considerazioni operative:</w:t>
      </w:r>
    </w:p>
    <w:p w14:paraId="26E6E62C" w14:textId="77777777" w:rsidR="003675B0" w:rsidRPr="001E6E3E" w:rsidRDefault="003675B0" w:rsidP="00F608D5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TASSI</w:t>
      </w:r>
    </w:p>
    <w:p w14:paraId="0318E394" w14:textId="1A42476A" w:rsidR="003675B0" w:rsidRPr="001E6E3E" w:rsidRDefault="003675B0" w:rsidP="00F608D5">
      <w:pPr>
        <w:numPr>
          <w:ilvl w:val="2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Dopo il picco sulle 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orse segnato a luglio,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 agosto e settembre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potrebbe essere il turno del picco sui tassi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che nel caso Usa potrebbe collocarsi (senza avere l'ambizione di centrarlo al centesimo) tra 4,5%/4,65% sul decennale. </w:t>
      </w:r>
    </w:p>
    <w:p w14:paraId="6CDF6414" w14:textId="25617926" w:rsidR="003675B0" w:rsidRPr="001E6E3E" w:rsidRDefault="003675B0" w:rsidP="00F608D5">
      <w:pPr>
        <w:numPr>
          <w:ilvl w:val="2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Il quarto trimestre o comunque fino al primo trimestre 2024, arriverebbero poi i segnali opposti tali da decretare di nuovo un calo dei tassi sul lungo termine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con primo obiettivo 3,5% sul t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note decennale, con possibilità di spingersi fino al 3% in base all'entità del rallentamento.</w:t>
      </w:r>
    </w:p>
    <w:p w14:paraId="510F3FC3" w14:textId="77777777" w:rsidR="003675B0" w:rsidRPr="001E6E3E" w:rsidRDefault="003675B0" w:rsidP="00F608D5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EURUSD </w:t>
      </w:r>
    </w:p>
    <w:p w14:paraId="510E0D5B" w14:textId="6E62FD54" w:rsidR="003675B0" w:rsidRPr="001E6E3E" w:rsidRDefault="003675B0" w:rsidP="00F608D5">
      <w:pPr>
        <w:numPr>
          <w:ilvl w:val="2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Nel bimestre agosto/settembre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prevale ancora l'impatto dell'allargamento del differenziale sul comparto 2 anni Euro/USA, ora intorno ai 200 vs i circa 260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pb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massimo del 2022. </w:t>
      </w:r>
    </w:p>
    <w:p w14:paraId="23233D05" w14:textId="7DBB3EC6" w:rsidR="003675B0" w:rsidRPr="001E6E3E" w:rsidRDefault="003675B0" w:rsidP="00F608D5">
      <w:pPr>
        <w:numPr>
          <w:ilvl w:val="2"/>
          <w:numId w:val="7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Arrivati in area 240/250 </w:t>
      </w:r>
      <w:proofErr w:type="spell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pb</w:t>
      </w:r>
      <w:proofErr w:type="spell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(se mediamente i dati </w:t>
      </w:r>
      <w:proofErr w:type="gram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macro euro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pei</w:t>
      </w:r>
      <w:proofErr w:type="gram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saranno ancora più deboli di quelli Usa)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il cambio potrebbe poi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invertire la rotta dal quarto trimestre 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>con obiettivo area 1,13 per fine anno, dopo aver toccato temporaneamente punte minime poco al di sotto (1,06/1,07) dell'importante supporto a 1,08 (coincidenza di livello delle principali mm 200 giorni). </w:t>
      </w:r>
    </w:p>
    <w:p w14:paraId="75DCBC5A" w14:textId="408948F5" w:rsidR="003675B0" w:rsidRDefault="003675B0" w:rsidP="00F608D5">
      <w:pPr>
        <w:jc w:val="bot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noProof/>
          <w:color w:val="000000"/>
          <w:sz w:val="24"/>
          <w:szCs w:val="24"/>
        </w:rPr>
        <w:drawing>
          <wp:inline distT="0" distB="0" distL="0" distR="0" wp14:anchorId="3350CEDD" wp14:editId="73459F67">
            <wp:extent cx="6120130" cy="2389505"/>
            <wp:effectExtent l="0" t="0" r="0" b="0"/>
            <wp:docPr id="354042478" name="Immagine 1" descr="Immagine che contiene testo, linea, diagramma, pend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42478" name="Immagine 1" descr="Immagine che contiene testo, linea, diagramma, pend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C587" w14:textId="333E14C5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Nel frattempo,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questa settimana operatori e banche centrali </w:t>
      </w:r>
      <w:r w:rsid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restano 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 la testa </w:t>
      </w:r>
      <w:r w:rsidR="0068256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verso l’</w:t>
      </w:r>
      <w:r w:rsidRPr="001E6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alto a guardare le stelle dei dati macro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, inflazione </w:t>
      </w:r>
      <w:proofErr w:type="gramStart"/>
      <w:r w:rsidRPr="001E6E3E">
        <w:rPr>
          <w:rFonts w:ascii="Arial" w:eastAsia="Times New Roman" w:hAnsi="Arial" w:cs="Arial"/>
          <w:color w:val="000000"/>
          <w:sz w:val="24"/>
          <w:szCs w:val="24"/>
        </w:rPr>
        <w:t>Euro</w:t>
      </w:r>
      <w:proofErr w:type="gramEnd"/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e mercato del lavoro</w:t>
      </w:r>
      <w:r w:rsidR="0068256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E6E3E">
        <w:rPr>
          <w:rFonts w:ascii="Arial" w:eastAsia="Times New Roman" w:hAnsi="Arial" w:cs="Arial"/>
          <w:color w:val="000000"/>
          <w:sz w:val="24"/>
          <w:szCs w:val="24"/>
        </w:rPr>
        <w:t xml:space="preserve"> innanzitutto.</w:t>
      </w:r>
    </w:p>
    <w:p w14:paraId="2B453A1F" w14:textId="5A7FA757" w:rsidR="003675B0" w:rsidRPr="001E6E3E" w:rsidRDefault="003675B0" w:rsidP="00F608D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6E3E">
        <w:rPr>
          <w:rFonts w:ascii="Arial" w:eastAsia="Times New Roman" w:hAnsi="Arial" w:cs="Arial"/>
          <w:color w:val="000000"/>
          <w:sz w:val="24"/>
          <w:szCs w:val="24"/>
        </w:rPr>
        <w:t>La metafora di Powell a Jackson Hole fa venire in mente Dante che, nell'ultimo verso dell'Inferno scrive: </w:t>
      </w:r>
      <w:r w:rsidRPr="001E6E3E">
        <w:rPr>
          <w:rStyle w:val="hgkelc"/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1E6E3E">
        <w:rPr>
          <w:rStyle w:val="contentpasted1"/>
          <w:rFonts w:ascii="Arial" w:eastAsia="Times New Roman" w:hAnsi="Arial" w:cs="Arial"/>
          <w:b/>
          <w:bCs/>
          <w:color w:val="000000"/>
          <w:sz w:val="24"/>
          <w:szCs w:val="24"/>
        </w:rPr>
        <w:t>E quindi uscimmo a riveder le stelle</w:t>
      </w:r>
      <w:r w:rsidRPr="001E6E3E">
        <w:rPr>
          <w:rStyle w:val="hgkelc"/>
          <w:rFonts w:ascii="Arial" w:eastAsia="Times New Roman" w:hAnsi="Arial" w:cs="Arial"/>
          <w:b/>
          <w:bCs/>
          <w:color w:val="000000"/>
          <w:sz w:val="24"/>
          <w:szCs w:val="24"/>
        </w:rPr>
        <w:t>”.</w:t>
      </w:r>
    </w:p>
    <w:p w14:paraId="00BA214F" w14:textId="77777777" w:rsidR="001E6E3E" w:rsidRPr="00BB4FA4" w:rsidRDefault="001E6E3E" w:rsidP="001E6E3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7F9C775D" w14:textId="77777777" w:rsidR="001E6E3E" w:rsidRPr="00BB4FA4" w:rsidRDefault="001E6E3E" w:rsidP="001E6E3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BB4FA4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309C164F" w14:textId="77777777" w:rsidR="001E6E3E" w:rsidRPr="00BB4FA4" w:rsidRDefault="001E6E3E" w:rsidP="001E6E3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”. L’Investment Banking offre servizi rivolti a imprese quotate e non quotate in operazioni straordinarie, incluse operazioni di Equity Capital Markets, M&amp;A e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” è attiva nel risparmio gestito e consulenza agli investimenti.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Websim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è specializzata in produzione di contenuti finanziari destinati a investitori retail. T.I.E. - The </w:t>
      </w:r>
      <w:proofErr w:type="spellStart"/>
      <w:r w:rsidRPr="00BB4FA4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BB4FA4">
        <w:rPr>
          <w:rFonts w:ascii="Arial" w:hAnsi="Arial" w:cs="Arial"/>
          <w:color w:val="000000"/>
          <w:sz w:val="18"/>
          <w:szCs w:val="18"/>
        </w:rPr>
        <w:t xml:space="preserve"> Eye - è l’area riservata a consulenti finanziari e private banker.</w:t>
      </w:r>
    </w:p>
    <w:p w14:paraId="13CF1D65" w14:textId="77777777" w:rsidR="001E6E3E" w:rsidRDefault="001E6E3E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57D14EF6" w:rsidR="00BC43BE" w:rsidRPr="00BB4FA4" w:rsidRDefault="00BC43BE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BB4FA4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BB4FA4" w:rsidRDefault="00BC43BE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BB4FA4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BB4FA4" w:rsidRDefault="00BC43BE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BB4FA4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BB4FA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3" w:history="1">
        <w:r w:rsidRPr="00BB4FA4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BB4FA4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BB4FA4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BB4FA4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1368BC75" w:rsidR="00A76468" w:rsidRDefault="00BC43BE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BB4FA4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BB4FA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BB4FA4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BB4FA4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BB4FA4">
        <w:rPr>
          <w:rFonts w:ascii="Arial" w:hAnsi="Arial" w:cs="Arial"/>
          <w:b/>
          <w:i/>
          <w:sz w:val="18"/>
          <w:szCs w:val="18"/>
        </w:rPr>
        <w:t>+39 340 7500862</w:t>
      </w:r>
    </w:p>
    <w:p w14:paraId="72D6E413" w14:textId="1B155A73" w:rsidR="003675B0" w:rsidRPr="00BB4FA4" w:rsidRDefault="003675B0" w:rsidP="00BB4FA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Laura Morreale – </w:t>
      </w:r>
      <w:hyperlink r:id="rId15" w:history="1">
        <w:r w:rsidRPr="00FE0C37">
          <w:rPr>
            <w:rStyle w:val="Collegamentoipertestuale"/>
            <w:rFonts w:ascii="Arial" w:hAnsi="Arial" w:cs="Arial"/>
            <w:b/>
            <w:i/>
            <w:sz w:val="18"/>
            <w:szCs w:val="18"/>
          </w:rPr>
          <w:t>laura.morreale@bc-communication.it</w:t>
        </w:r>
      </w:hyperlink>
      <w:r>
        <w:rPr>
          <w:rFonts w:ascii="Arial" w:hAnsi="Arial" w:cs="Arial"/>
          <w:b/>
          <w:i/>
          <w:sz w:val="18"/>
          <w:szCs w:val="18"/>
        </w:rPr>
        <w:t xml:space="preserve"> - + 39 327 3435530 </w:t>
      </w:r>
    </w:p>
    <w:sectPr w:rsidR="003675B0" w:rsidRPr="00BB4FA4" w:rsidSect="00BC43BE">
      <w:footerReference w:type="default" r:id="rId16"/>
      <w:headerReference w:type="first" r:id="rId17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61AC" w14:textId="77777777" w:rsidR="001E62EC" w:rsidRDefault="001E62EC" w:rsidP="00652E76">
      <w:pPr>
        <w:spacing w:after="0" w:line="240" w:lineRule="auto"/>
      </w:pPr>
      <w:r>
        <w:separator/>
      </w:r>
    </w:p>
  </w:endnote>
  <w:endnote w:type="continuationSeparator" w:id="0">
    <w:p w14:paraId="00AD5D40" w14:textId="77777777" w:rsidR="001E62EC" w:rsidRDefault="001E62EC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4BA6" w14:textId="77777777" w:rsidR="001E62EC" w:rsidRDefault="001E62EC" w:rsidP="00652E76">
      <w:pPr>
        <w:spacing w:after="0" w:line="240" w:lineRule="auto"/>
      </w:pPr>
      <w:r>
        <w:separator/>
      </w:r>
    </w:p>
  </w:footnote>
  <w:footnote w:type="continuationSeparator" w:id="0">
    <w:p w14:paraId="185C5082" w14:textId="77777777" w:rsidR="001E62EC" w:rsidRDefault="001E62EC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DE6B2D"/>
    <w:multiLevelType w:val="multilevel"/>
    <w:tmpl w:val="C3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BB6B02"/>
    <w:multiLevelType w:val="multilevel"/>
    <w:tmpl w:val="016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8791F"/>
    <w:multiLevelType w:val="multilevel"/>
    <w:tmpl w:val="D9E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B51FBE"/>
    <w:multiLevelType w:val="multilevel"/>
    <w:tmpl w:val="F3A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E145CB"/>
    <w:multiLevelType w:val="multilevel"/>
    <w:tmpl w:val="5DB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BF7A92"/>
    <w:multiLevelType w:val="multilevel"/>
    <w:tmpl w:val="301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3C5A38"/>
    <w:multiLevelType w:val="multilevel"/>
    <w:tmpl w:val="A62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C2348"/>
    <w:multiLevelType w:val="multilevel"/>
    <w:tmpl w:val="749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E362C2"/>
    <w:multiLevelType w:val="multilevel"/>
    <w:tmpl w:val="EA66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EC1D48"/>
    <w:multiLevelType w:val="multilevel"/>
    <w:tmpl w:val="194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0954D0"/>
    <w:multiLevelType w:val="multilevel"/>
    <w:tmpl w:val="CDC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0562C3"/>
    <w:multiLevelType w:val="multilevel"/>
    <w:tmpl w:val="2E0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84700B"/>
    <w:multiLevelType w:val="multilevel"/>
    <w:tmpl w:val="59F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80144B"/>
    <w:multiLevelType w:val="multilevel"/>
    <w:tmpl w:val="49E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C275A4"/>
    <w:multiLevelType w:val="multilevel"/>
    <w:tmpl w:val="AAC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C57818"/>
    <w:multiLevelType w:val="multilevel"/>
    <w:tmpl w:val="E65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9348DD"/>
    <w:multiLevelType w:val="multilevel"/>
    <w:tmpl w:val="0E6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9B06DD"/>
    <w:multiLevelType w:val="multilevel"/>
    <w:tmpl w:val="0EC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2A5767"/>
    <w:multiLevelType w:val="multilevel"/>
    <w:tmpl w:val="AC9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6B186B"/>
    <w:multiLevelType w:val="multilevel"/>
    <w:tmpl w:val="CDF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6C5F31"/>
    <w:multiLevelType w:val="multilevel"/>
    <w:tmpl w:val="5CB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B63ADB"/>
    <w:multiLevelType w:val="multilevel"/>
    <w:tmpl w:val="62F2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780EF4"/>
    <w:multiLevelType w:val="multilevel"/>
    <w:tmpl w:val="A85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884C11"/>
    <w:multiLevelType w:val="multilevel"/>
    <w:tmpl w:val="CDF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B186D50"/>
    <w:multiLevelType w:val="multilevel"/>
    <w:tmpl w:val="BEE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6854AF"/>
    <w:multiLevelType w:val="multilevel"/>
    <w:tmpl w:val="F15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7C117F2"/>
    <w:multiLevelType w:val="multilevel"/>
    <w:tmpl w:val="AD2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3270E6"/>
    <w:multiLevelType w:val="multilevel"/>
    <w:tmpl w:val="E40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2224CC"/>
    <w:multiLevelType w:val="multilevel"/>
    <w:tmpl w:val="A21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CA5A2F"/>
    <w:multiLevelType w:val="multilevel"/>
    <w:tmpl w:val="F18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D04FAA"/>
    <w:multiLevelType w:val="multilevel"/>
    <w:tmpl w:val="FB6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3C30A9"/>
    <w:multiLevelType w:val="multilevel"/>
    <w:tmpl w:val="FE9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E18360D"/>
    <w:multiLevelType w:val="multilevel"/>
    <w:tmpl w:val="7EB4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60"/>
  </w:num>
  <w:num w:numId="8" w16cid:durableId="1502354731">
    <w:abstractNumId w:val="53"/>
  </w:num>
  <w:num w:numId="9" w16cid:durableId="1159007046">
    <w:abstractNumId w:val="70"/>
  </w:num>
  <w:num w:numId="10" w16cid:durableId="1071583816">
    <w:abstractNumId w:val="20"/>
  </w:num>
  <w:num w:numId="11" w16cid:durableId="1773238840">
    <w:abstractNumId w:val="63"/>
  </w:num>
  <w:num w:numId="12" w16cid:durableId="1475416074">
    <w:abstractNumId w:val="36"/>
  </w:num>
  <w:num w:numId="13" w16cid:durableId="1911310375">
    <w:abstractNumId w:val="30"/>
  </w:num>
  <w:num w:numId="14" w16cid:durableId="562133050">
    <w:abstractNumId w:val="42"/>
  </w:num>
  <w:num w:numId="15" w16cid:durableId="911350417">
    <w:abstractNumId w:val="69"/>
  </w:num>
  <w:num w:numId="16" w16cid:durableId="211770006">
    <w:abstractNumId w:val="27"/>
  </w:num>
  <w:num w:numId="17" w16cid:durableId="1675844259">
    <w:abstractNumId w:val="49"/>
  </w:num>
  <w:num w:numId="18" w16cid:durableId="1945729841">
    <w:abstractNumId w:val="23"/>
  </w:num>
  <w:num w:numId="19" w16cid:durableId="1849246288">
    <w:abstractNumId w:val="37"/>
  </w:num>
  <w:num w:numId="20" w16cid:durableId="1664627395">
    <w:abstractNumId w:val="58"/>
  </w:num>
  <w:num w:numId="21" w16cid:durableId="1930195021">
    <w:abstractNumId w:val="24"/>
  </w:num>
  <w:num w:numId="22" w16cid:durableId="1230382549">
    <w:abstractNumId w:val="35"/>
  </w:num>
  <w:num w:numId="23" w16cid:durableId="1602834213">
    <w:abstractNumId w:val="38"/>
  </w:num>
  <w:num w:numId="24" w16cid:durableId="236979604">
    <w:abstractNumId w:val="43"/>
  </w:num>
  <w:num w:numId="25" w16cid:durableId="1730954519">
    <w:abstractNumId w:val="31"/>
  </w:num>
  <w:num w:numId="26" w16cid:durableId="832911448">
    <w:abstractNumId w:val="47"/>
  </w:num>
  <w:num w:numId="27" w16cid:durableId="1350520802">
    <w:abstractNumId w:val="67"/>
  </w:num>
  <w:num w:numId="28" w16cid:durableId="2033845447">
    <w:abstractNumId w:val="9"/>
  </w:num>
  <w:num w:numId="29" w16cid:durableId="294414855">
    <w:abstractNumId w:val="54"/>
  </w:num>
  <w:num w:numId="30" w16cid:durableId="556012639">
    <w:abstractNumId w:val="71"/>
  </w:num>
  <w:num w:numId="31" w16cid:durableId="1600408554">
    <w:abstractNumId w:val="55"/>
  </w:num>
  <w:num w:numId="32" w16cid:durableId="1904828800">
    <w:abstractNumId w:val="7"/>
  </w:num>
  <w:num w:numId="33" w16cid:durableId="348222447">
    <w:abstractNumId w:val="73"/>
  </w:num>
  <w:num w:numId="34" w16cid:durableId="1788115590">
    <w:abstractNumId w:val="33"/>
  </w:num>
  <w:num w:numId="35" w16cid:durableId="354310954">
    <w:abstractNumId w:val="64"/>
  </w:num>
  <w:num w:numId="36" w16cid:durableId="135339046">
    <w:abstractNumId w:val="72"/>
  </w:num>
  <w:num w:numId="37" w16cid:durableId="1060129259">
    <w:abstractNumId w:val="19"/>
  </w:num>
  <w:num w:numId="38" w16cid:durableId="441917527">
    <w:abstractNumId w:val="15"/>
  </w:num>
  <w:num w:numId="39" w16cid:durableId="454492761">
    <w:abstractNumId w:val="57"/>
  </w:num>
  <w:num w:numId="40" w16cid:durableId="1477141141">
    <w:abstractNumId w:val="57"/>
  </w:num>
  <w:num w:numId="41" w16cid:durableId="1286542535">
    <w:abstractNumId w:val="21"/>
  </w:num>
  <w:num w:numId="42" w16cid:durableId="1982685923">
    <w:abstractNumId w:val="45"/>
  </w:num>
  <w:num w:numId="43" w16cid:durableId="747581034">
    <w:abstractNumId w:val="41"/>
  </w:num>
  <w:num w:numId="44" w16cid:durableId="1296642655">
    <w:abstractNumId w:val="25"/>
  </w:num>
  <w:num w:numId="45" w16cid:durableId="1730496065">
    <w:abstractNumId w:val="14"/>
  </w:num>
  <w:num w:numId="46" w16cid:durableId="824784611">
    <w:abstractNumId w:val="39"/>
  </w:num>
  <w:num w:numId="47" w16cid:durableId="1635720117">
    <w:abstractNumId w:val="68"/>
  </w:num>
  <w:num w:numId="48" w16cid:durableId="1460103165">
    <w:abstractNumId w:val="29"/>
  </w:num>
  <w:num w:numId="49" w16cid:durableId="332533090">
    <w:abstractNumId w:val="8"/>
  </w:num>
  <w:num w:numId="50" w16cid:durableId="73820088">
    <w:abstractNumId w:val="46"/>
  </w:num>
  <w:num w:numId="51" w16cid:durableId="1582791843">
    <w:abstractNumId w:val="52"/>
  </w:num>
  <w:num w:numId="52" w16cid:durableId="707686757">
    <w:abstractNumId w:val="40"/>
  </w:num>
  <w:num w:numId="53" w16cid:durableId="762796657">
    <w:abstractNumId w:val="50"/>
  </w:num>
  <w:num w:numId="54" w16cid:durableId="1795174058">
    <w:abstractNumId w:val="26"/>
  </w:num>
  <w:num w:numId="55" w16cid:durableId="1226716838">
    <w:abstractNumId w:val="11"/>
  </w:num>
  <w:num w:numId="56" w16cid:durableId="531578600">
    <w:abstractNumId w:val="16"/>
  </w:num>
  <w:num w:numId="57" w16cid:durableId="1315993219">
    <w:abstractNumId w:val="48"/>
  </w:num>
  <w:num w:numId="58" w16cid:durableId="2083522086">
    <w:abstractNumId w:val="61"/>
  </w:num>
  <w:num w:numId="59" w16cid:durableId="374155725">
    <w:abstractNumId w:val="66"/>
  </w:num>
  <w:num w:numId="60" w16cid:durableId="1363441042">
    <w:abstractNumId w:val="34"/>
  </w:num>
  <w:num w:numId="61" w16cid:durableId="1979527425">
    <w:abstractNumId w:val="10"/>
  </w:num>
  <w:num w:numId="62" w16cid:durableId="2125532952">
    <w:abstractNumId w:val="44"/>
  </w:num>
  <w:num w:numId="63" w16cid:durableId="1017122106">
    <w:abstractNumId w:val="13"/>
  </w:num>
  <w:num w:numId="64" w16cid:durableId="148862306">
    <w:abstractNumId w:val="56"/>
  </w:num>
  <w:num w:numId="65" w16cid:durableId="592277542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" w16cid:durableId="1793816243">
    <w:abstractNumId w:val="65"/>
  </w:num>
  <w:num w:numId="67" w16cid:durableId="4838595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0759883">
    <w:abstractNumId w:val="32"/>
  </w:num>
  <w:num w:numId="69" w16cid:durableId="408577847">
    <w:abstractNumId w:val="59"/>
  </w:num>
  <w:num w:numId="70" w16cid:durableId="1505394628">
    <w:abstractNumId w:val="51"/>
  </w:num>
  <w:num w:numId="71" w16cid:durableId="1123311520">
    <w:abstractNumId w:val="62"/>
  </w:num>
  <w:num w:numId="72" w16cid:durableId="1828981433">
    <w:abstractNumId w:val="22"/>
  </w:num>
  <w:num w:numId="73" w16cid:durableId="1281230625">
    <w:abstractNumId w:val="18"/>
  </w:num>
  <w:num w:numId="74" w16cid:durableId="2079859970">
    <w:abstractNumId w:val="17"/>
  </w:num>
  <w:num w:numId="75" w16cid:durableId="90040854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058F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518E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A7F36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2EC"/>
    <w:rsid w:val="001E6442"/>
    <w:rsid w:val="001E6E3E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375AF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86A86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5B0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224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60A8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5E74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256A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79F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3132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0837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305C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2AB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4FA4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3196"/>
    <w:rsid w:val="00BD58E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2B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7A36"/>
    <w:rsid w:val="00D2007C"/>
    <w:rsid w:val="00D2172B"/>
    <w:rsid w:val="00D21733"/>
    <w:rsid w:val="00D22F4E"/>
    <w:rsid w:val="00D239AF"/>
    <w:rsid w:val="00D25149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4D4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08D5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5077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1EE9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511F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paragraph" w:customStyle="1" w:styleId="contentpasted0">
    <w:name w:val="contentpasted0"/>
    <w:basedOn w:val="Normale"/>
    <w:uiPriority w:val="99"/>
    <w:semiHidden/>
    <w:rsid w:val="004760A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hgkelc">
    <w:name w:val="hgkelc"/>
    <w:basedOn w:val="Carpredefinitoparagrafo"/>
    <w:rsid w:val="0036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bsf.org/our-district/about/sf-fed-blog/excess-no-more-dwindling-pandemic-savings/" TargetMode="External"/><Relationship Id="rId13" Type="http://schemas.openxmlformats.org/officeDocument/2006/relationships/hyperlink" Target="mailto:beatrice.cagnoni@bc-communication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ead48bc5-15b8-4f46-86ce-67de1bbea77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aura.morreale@bc-communication.it" TargetMode="External"/><Relationship Id="rId10" Type="http://schemas.openxmlformats.org/officeDocument/2006/relationships/image" Target="cid:d95029ae-af49-4bb6-bfb4-fae6ced7e9d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federica.guerri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Laura Morreale - BC Communication</cp:lastModifiedBy>
  <cp:revision>3</cp:revision>
  <cp:lastPrinted>2023-03-23T08:36:00Z</cp:lastPrinted>
  <dcterms:created xsi:type="dcterms:W3CDTF">2023-08-28T13:46:00Z</dcterms:created>
  <dcterms:modified xsi:type="dcterms:W3CDTF">2023-08-28T13:51:00Z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