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7485" w14:textId="6DA39EA4" w:rsidR="00263C71" w:rsidRPr="00654CE3" w:rsidRDefault="00882E0C" w:rsidP="00263C71">
      <w:pPr>
        <w:rPr>
          <w:b/>
          <w:bCs/>
        </w:rPr>
      </w:pPr>
      <w:bookmarkStart w:id="0" w:name="_Hlk144888411"/>
      <w:bookmarkStart w:id="1" w:name="_Hlk144888481"/>
      <w:r w:rsidRPr="00654CE3">
        <w:rPr>
          <w:b/>
          <w:bCs/>
        </w:rPr>
        <w:t>AcomeA</w:t>
      </w:r>
      <w:r w:rsidR="00654CE3" w:rsidRPr="00654CE3">
        <w:rPr>
          <w:b/>
          <w:bCs/>
        </w:rPr>
        <w:t xml:space="preserve"> SGR</w:t>
      </w:r>
      <w:r w:rsidRPr="00654CE3">
        <w:rPr>
          <w:b/>
          <w:bCs/>
        </w:rPr>
        <w:t>:</w:t>
      </w:r>
      <w:r w:rsidR="00086CC1" w:rsidRPr="00654CE3">
        <w:rPr>
          <w:b/>
          <w:bCs/>
        </w:rPr>
        <w:t xml:space="preserve"> Wall Street resta attraente, puntare su tech, healthcare e finanziari </w:t>
      </w:r>
    </w:p>
    <w:p w14:paraId="33659F74" w14:textId="4B197CB9" w:rsidR="00263C71" w:rsidRPr="001C35EF" w:rsidRDefault="00086CC1" w:rsidP="00263C71">
      <w:pPr>
        <w:rPr>
          <w:b/>
          <w:bCs/>
        </w:rPr>
      </w:pPr>
      <w:r w:rsidRPr="00654CE3">
        <w:t>A</w:t>
      </w:r>
      <w:r w:rsidR="00263C71" w:rsidRPr="00654CE3">
        <w:t xml:space="preserve"> cura di </w:t>
      </w:r>
      <w:r w:rsidR="00654CE3" w:rsidRPr="00654CE3">
        <w:rPr>
          <w:rFonts w:cstheme="minorHAnsi"/>
          <w:b/>
          <w:bCs/>
        </w:rPr>
        <w:t>Simone Obrizzo, Junior portfolio manager azionario, AcomeA SGR</w:t>
      </w:r>
      <w:r w:rsidR="00263C71" w:rsidRPr="001C35EF">
        <w:rPr>
          <w:b/>
          <w:bCs/>
        </w:rPr>
        <w:br/>
      </w:r>
      <w:bookmarkEnd w:id="0"/>
    </w:p>
    <w:p w14:paraId="2AFEB698" w14:textId="45E56F5A" w:rsidR="00043DC6" w:rsidRPr="00654CE3" w:rsidRDefault="00AD09B9" w:rsidP="00DC1530">
      <w:pPr>
        <w:jc w:val="both"/>
      </w:pPr>
      <w:r w:rsidRPr="00654CE3">
        <w:t xml:space="preserve">Negli ultimi </w:t>
      </w:r>
      <w:r w:rsidR="00802DE8">
        <w:t>cinque</w:t>
      </w:r>
      <w:r w:rsidRPr="00654CE3">
        <w:t xml:space="preserve"> anni il federal budget </w:t>
      </w:r>
      <w:r w:rsidR="00882E0C" w:rsidRPr="00654CE3">
        <w:t xml:space="preserve">statunitense </w:t>
      </w:r>
      <w:r w:rsidR="00EF01DB" w:rsidRPr="00654CE3">
        <w:t xml:space="preserve">è </w:t>
      </w:r>
      <w:r w:rsidRPr="00654CE3">
        <w:t>diventa</w:t>
      </w:r>
      <w:r w:rsidR="00EF01DB" w:rsidRPr="00654CE3">
        <w:t>to</w:t>
      </w:r>
      <w:r w:rsidRPr="00654CE3">
        <w:t xml:space="preserve"> pro-ciclico</w:t>
      </w:r>
      <w:r w:rsidR="00882E0C" w:rsidRPr="00654CE3">
        <w:t>:</w:t>
      </w:r>
      <w:r w:rsidRPr="00654CE3">
        <w:t xml:space="preserve"> abbiamo </w:t>
      </w:r>
      <w:r w:rsidR="00EF01DB" w:rsidRPr="00654CE3">
        <w:t xml:space="preserve">quindi </w:t>
      </w:r>
      <w:r w:rsidRPr="00654CE3">
        <w:t>assistito alla riduzione del saldo primario</w:t>
      </w:r>
      <w:r w:rsidR="00882E0C" w:rsidRPr="00654CE3">
        <w:t xml:space="preserve"> (la differenza tra le entrate e le spese del governo escluse le spese per gli interessi sul debito) </w:t>
      </w:r>
      <w:r w:rsidRPr="00654CE3">
        <w:t xml:space="preserve">come percentuale del GDP </w:t>
      </w:r>
      <w:r w:rsidR="00606346" w:rsidRPr="00654CE3">
        <w:t>(il deficit è aumentato)</w:t>
      </w:r>
      <w:r w:rsidR="00043DC6" w:rsidRPr="00654CE3">
        <w:t>,</w:t>
      </w:r>
      <w:r w:rsidR="00606346" w:rsidRPr="00654CE3">
        <w:t xml:space="preserve"> </w:t>
      </w:r>
      <w:r w:rsidRPr="00654CE3">
        <w:t>mentre l’economia è rimasta forte. Negli ultimi 30 anni</w:t>
      </w:r>
      <w:r w:rsidR="00606346" w:rsidRPr="00654CE3">
        <w:t>, invece,</w:t>
      </w:r>
      <w:r w:rsidRPr="00654CE3">
        <w:t xml:space="preserve"> una politica monetaria restrittiva è stata correlata </w:t>
      </w:r>
      <w:r w:rsidR="0061623A" w:rsidRPr="00654CE3">
        <w:t>con</w:t>
      </w:r>
      <w:r w:rsidRPr="00654CE3">
        <w:t xml:space="preserve"> una politica fiscale restrittiva, rinforzandosi </w:t>
      </w:r>
      <w:r w:rsidR="00594421" w:rsidRPr="00654CE3">
        <w:t>vicendevolmente</w:t>
      </w:r>
      <w:r w:rsidRPr="00654CE3">
        <w:t xml:space="preserve"> e</w:t>
      </w:r>
      <w:r w:rsidR="00594421" w:rsidRPr="00654CE3">
        <w:t>d</w:t>
      </w:r>
      <w:r w:rsidRPr="00654CE3">
        <w:t xml:space="preserve"> agendo </w:t>
      </w:r>
      <w:r w:rsidR="00C733B3" w:rsidRPr="00654CE3">
        <w:t xml:space="preserve">controciclicamente. </w:t>
      </w:r>
    </w:p>
    <w:p w14:paraId="4C208B9D" w14:textId="4910B8F1" w:rsidR="00043DC6" w:rsidRPr="00654CE3" w:rsidRDefault="00C733B3" w:rsidP="00DC1530">
      <w:pPr>
        <w:jc w:val="both"/>
      </w:pPr>
      <w:r w:rsidRPr="00654CE3">
        <w:t>A oggi abbiamo assistito a una repentina crescita dei tassi Fed fund e il deficit primario è incrementato di 4</w:t>
      </w:r>
      <w:r w:rsidR="00043DC6" w:rsidRPr="00654CE3">
        <w:t xml:space="preserve"> </w:t>
      </w:r>
      <w:r w:rsidRPr="00654CE3">
        <w:t>p</w:t>
      </w:r>
      <w:r w:rsidR="00043DC6" w:rsidRPr="00654CE3">
        <w:t>unti percentuali</w:t>
      </w:r>
      <w:r w:rsidRPr="00654CE3">
        <w:t xml:space="preserve"> nell’ultimo anno</w:t>
      </w:r>
      <w:r w:rsidR="00043DC6" w:rsidRPr="00654CE3">
        <w:t>,</w:t>
      </w:r>
      <w:r w:rsidRPr="00654CE3">
        <w:t xml:space="preserve"> </w:t>
      </w:r>
      <w:r w:rsidR="00004361" w:rsidRPr="00654CE3">
        <w:t>arrivando a segnare</w:t>
      </w:r>
      <w:r w:rsidRPr="00654CE3">
        <w:t xml:space="preserve"> </w:t>
      </w:r>
      <w:r w:rsidR="00043DC6" w:rsidRPr="00654CE3">
        <w:t xml:space="preserve">circa il </w:t>
      </w:r>
      <w:r w:rsidRPr="00654CE3">
        <w:t>5% del PIL. In questo scenario l’economia continua a crescere e attualmente il tasso di disoccupazione è al 3.8%</w:t>
      </w:r>
      <w:r w:rsidR="00043DC6" w:rsidRPr="00654CE3">
        <w:t>,</w:t>
      </w:r>
      <w:r w:rsidRPr="00654CE3">
        <w:t xml:space="preserve"> ci sono 1.5 offerte di lavoro per ogni disoccupato</w:t>
      </w:r>
      <w:r w:rsidR="00043DC6" w:rsidRPr="00654CE3">
        <w:t>,</w:t>
      </w:r>
      <w:r w:rsidRPr="00654CE3">
        <w:t xml:space="preserve"> il dato del </w:t>
      </w:r>
      <w:r w:rsidR="00970425" w:rsidRPr="00654CE3">
        <w:t>P</w:t>
      </w:r>
      <w:r w:rsidR="00802DE8">
        <w:t>il</w:t>
      </w:r>
      <w:r w:rsidR="00970425" w:rsidRPr="00654CE3">
        <w:t xml:space="preserve"> del </w:t>
      </w:r>
      <w:r w:rsidRPr="00654CE3">
        <w:t>secondo trimestre annualizzato è 2.1% e le stime annualizzate sul terzo trimestre sono intorno al 2-2.5%</w:t>
      </w:r>
      <w:r w:rsidR="00043DC6" w:rsidRPr="00654CE3">
        <w:t>.</w:t>
      </w:r>
      <w:r w:rsidRPr="00654CE3">
        <w:t xml:space="preserve"> </w:t>
      </w:r>
      <w:r w:rsidR="00043DC6" w:rsidRPr="00654CE3">
        <w:t>L</w:t>
      </w:r>
      <w:r w:rsidRPr="00654CE3">
        <w:t>’inflazione al 3.2%</w:t>
      </w:r>
      <w:r w:rsidR="00043DC6" w:rsidRPr="00654CE3">
        <w:t>, inoltre,</w:t>
      </w:r>
      <w:r w:rsidRPr="00654CE3">
        <w:t xml:space="preserve"> sta diminuendo velocemente: </w:t>
      </w:r>
      <w:r w:rsidRPr="00802DE8">
        <w:rPr>
          <w:b/>
          <w:bCs/>
        </w:rPr>
        <w:t xml:space="preserve">se </w:t>
      </w:r>
      <w:r w:rsidR="00ED1BA8" w:rsidRPr="00802DE8">
        <w:rPr>
          <w:b/>
          <w:bCs/>
        </w:rPr>
        <w:t xml:space="preserve">guardiamo </w:t>
      </w:r>
      <w:r w:rsidR="00F64369" w:rsidRPr="00802DE8">
        <w:rPr>
          <w:b/>
          <w:bCs/>
        </w:rPr>
        <w:t>gli ultimi 3 m</w:t>
      </w:r>
      <w:r w:rsidR="00ED1BA8" w:rsidRPr="00802DE8">
        <w:rPr>
          <w:b/>
          <w:bCs/>
        </w:rPr>
        <w:t>esi</w:t>
      </w:r>
      <w:r w:rsidR="00F64369" w:rsidRPr="00802DE8">
        <w:rPr>
          <w:b/>
          <w:bCs/>
        </w:rPr>
        <w:t xml:space="preserve"> </w:t>
      </w:r>
      <w:r w:rsidR="00ED1BA8" w:rsidRPr="00802DE8">
        <w:rPr>
          <w:b/>
          <w:bCs/>
        </w:rPr>
        <w:t xml:space="preserve">annualizzati </w:t>
      </w:r>
      <w:r w:rsidR="00043DC6" w:rsidRPr="00802DE8">
        <w:rPr>
          <w:b/>
          <w:bCs/>
        </w:rPr>
        <w:t xml:space="preserve">i prezzi al consumo si attestano </w:t>
      </w:r>
      <w:r w:rsidR="00ED1BA8" w:rsidRPr="00802DE8">
        <w:rPr>
          <w:b/>
          <w:bCs/>
        </w:rPr>
        <w:t>a</w:t>
      </w:r>
      <w:r w:rsidR="00F64369" w:rsidRPr="00802DE8">
        <w:rPr>
          <w:b/>
          <w:bCs/>
        </w:rPr>
        <w:t>l 2%</w:t>
      </w:r>
      <w:r w:rsidR="00043DC6" w:rsidRPr="00802DE8">
        <w:rPr>
          <w:b/>
          <w:bCs/>
        </w:rPr>
        <w:t>.</w:t>
      </w:r>
      <w:r w:rsidR="00F64369" w:rsidRPr="00802DE8">
        <w:rPr>
          <w:b/>
          <w:bCs/>
        </w:rPr>
        <w:t xml:space="preserve"> </w:t>
      </w:r>
      <w:r w:rsidR="00043DC6" w:rsidRPr="00654CE3">
        <w:t xml:space="preserve">Per quanto riguarda le </w:t>
      </w:r>
      <w:r w:rsidR="00F64369" w:rsidRPr="00654CE3">
        <w:t>stime degli utili dell’S&amp;P 500 per il 2023</w:t>
      </w:r>
      <w:r w:rsidR="00043DC6" w:rsidRPr="00654CE3">
        <w:t xml:space="preserve">, ci si aspetta che si posizionino </w:t>
      </w:r>
      <w:r w:rsidR="00F64369" w:rsidRPr="00654CE3">
        <w:t>al +1.4% rispetto all’anno precedente</w:t>
      </w:r>
      <w:r w:rsidR="00043DC6" w:rsidRPr="00654CE3">
        <w:t>,</w:t>
      </w:r>
      <w:r w:rsidR="00F64369" w:rsidRPr="00654CE3">
        <w:t xml:space="preserve"> per poi accelerare al +9.9% nel 2024 e +10% nel 2025 (negli ultimi 30 anni la crescita media degli utili è stata del +7% annuo). Il multiplo del mercato a oggi è </w:t>
      </w:r>
      <w:r w:rsidR="00043DC6" w:rsidRPr="00654CE3">
        <w:t xml:space="preserve">di circa </w:t>
      </w:r>
      <w:r w:rsidR="00F64369" w:rsidRPr="00654CE3">
        <w:t>20</w:t>
      </w:r>
      <w:r w:rsidR="00043DC6" w:rsidRPr="00654CE3">
        <w:t xml:space="preserve"> volte</w:t>
      </w:r>
      <w:r w:rsidR="00F64369" w:rsidRPr="00654CE3">
        <w:t>, 3</w:t>
      </w:r>
      <w:r w:rsidR="00ED1BA8" w:rsidRPr="00654CE3">
        <w:t xml:space="preserve"> punti</w:t>
      </w:r>
      <w:r w:rsidR="00F64369" w:rsidRPr="00654CE3">
        <w:t xml:space="preserve"> s</w:t>
      </w:r>
      <w:r w:rsidR="00043DC6" w:rsidRPr="00654CE3">
        <w:t xml:space="preserve">opra la </w:t>
      </w:r>
      <w:r w:rsidR="00F64369" w:rsidRPr="00654CE3">
        <w:t xml:space="preserve">media storica. </w:t>
      </w:r>
    </w:p>
    <w:p w14:paraId="757953A9" w14:textId="52149BA2" w:rsidR="00C733B3" w:rsidRPr="00654CE3" w:rsidRDefault="00043DC6" w:rsidP="00DC1530">
      <w:pPr>
        <w:jc w:val="both"/>
      </w:pPr>
      <w:r w:rsidRPr="00654CE3">
        <w:t xml:space="preserve">In questo contesto </w:t>
      </w:r>
      <w:r w:rsidR="00F64369" w:rsidRPr="00654CE3">
        <w:t xml:space="preserve">i futures sui tassi di interesse a breve prezzano il primo taglio dei Fed </w:t>
      </w:r>
      <w:r w:rsidR="00802DE8">
        <w:t>F</w:t>
      </w:r>
      <w:r w:rsidR="00F64369" w:rsidRPr="00654CE3">
        <w:t xml:space="preserve">und alla fine di </w:t>
      </w:r>
      <w:r w:rsidR="00802DE8">
        <w:t>m</w:t>
      </w:r>
      <w:r w:rsidR="00F64369" w:rsidRPr="00654CE3">
        <w:t>arzo 2024 segnalando, quindi, una vittoria sull’inflazione con un’economia che è ancora resiliente.</w:t>
      </w:r>
    </w:p>
    <w:p w14:paraId="5315CC91" w14:textId="2AEF6F99" w:rsidR="00D80ECA" w:rsidRPr="00654CE3" w:rsidRDefault="00E107D4" w:rsidP="00DC1530">
      <w:pPr>
        <w:jc w:val="both"/>
      </w:pPr>
      <w:r w:rsidRPr="00654CE3">
        <w:t>Passando</w:t>
      </w:r>
      <w:r w:rsidR="00F64369" w:rsidRPr="00654CE3">
        <w:t xml:space="preserve"> ad analizzare </w:t>
      </w:r>
      <w:r w:rsidR="00D80ECA" w:rsidRPr="00654CE3">
        <w:t xml:space="preserve">i tassi reali, il </w:t>
      </w:r>
      <w:r w:rsidR="00255E20" w:rsidRPr="00654CE3">
        <w:t>2 anni americano</w:t>
      </w:r>
      <w:r w:rsidR="00D80ECA" w:rsidRPr="00654CE3">
        <w:t xml:space="preserve"> ha un rendimento del 3%,</w:t>
      </w:r>
      <w:r w:rsidR="00DA218B" w:rsidRPr="00654CE3">
        <w:t xml:space="preserve"> il 10 anni </w:t>
      </w:r>
      <w:r w:rsidR="00AB5901" w:rsidRPr="00654CE3">
        <w:t>del</w:t>
      </w:r>
      <w:r w:rsidR="00DA218B" w:rsidRPr="00654CE3">
        <w:t xml:space="preserve"> 2%</w:t>
      </w:r>
      <w:r w:rsidR="00043DC6" w:rsidRPr="00654CE3">
        <w:t>,</w:t>
      </w:r>
      <w:r w:rsidR="00D80ECA" w:rsidRPr="00654CE3">
        <w:t xml:space="preserve"> i più alt</w:t>
      </w:r>
      <w:r w:rsidR="00DA218B" w:rsidRPr="00654CE3">
        <w:t>i</w:t>
      </w:r>
      <w:r w:rsidR="00D80ECA" w:rsidRPr="00654CE3">
        <w:t xml:space="preserve"> dalla crisi finanziaria del 2008. </w:t>
      </w:r>
      <w:r w:rsidR="00802DE8">
        <w:rPr>
          <w:b/>
          <w:bCs/>
        </w:rPr>
        <w:t>I</w:t>
      </w:r>
      <w:r w:rsidR="00D80ECA" w:rsidRPr="00654CE3">
        <w:rPr>
          <w:b/>
          <w:bCs/>
        </w:rPr>
        <w:t xml:space="preserve">l mercato </w:t>
      </w:r>
      <w:r w:rsidR="00802DE8">
        <w:rPr>
          <w:b/>
          <w:bCs/>
        </w:rPr>
        <w:t>sta</w:t>
      </w:r>
      <w:r w:rsidR="00D80ECA" w:rsidRPr="00654CE3">
        <w:rPr>
          <w:b/>
          <w:bCs/>
        </w:rPr>
        <w:t xml:space="preserve"> scontando un processo di deglobalizzazione e una riduzione del tasso di risparmio degli americani</w:t>
      </w:r>
      <w:r w:rsidR="00D80ECA" w:rsidRPr="00654CE3">
        <w:t xml:space="preserve"> </w:t>
      </w:r>
      <w:r w:rsidR="00D80ECA" w:rsidRPr="00654CE3">
        <w:rPr>
          <w:b/>
          <w:bCs/>
        </w:rPr>
        <w:t>per giustificare un</w:t>
      </w:r>
      <w:r w:rsidR="00043DC6" w:rsidRPr="00654CE3">
        <w:rPr>
          <w:b/>
          <w:bCs/>
        </w:rPr>
        <w:t xml:space="preserve"> </w:t>
      </w:r>
      <w:r w:rsidR="00B54F58" w:rsidRPr="00654CE3">
        <w:rPr>
          <w:b/>
          <w:bCs/>
        </w:rPr>
        <w:t xml:space="preserve">più alto </w:t>
      </w:r>
      <w:r w:rsidR="00043DC6" w:rsidRPr="00654CE3">
        <w:rPr>
          <w:b/>
          <w:bCs/>
        </w:rPr>
        <w:t xml:space="preserve">tasso </w:t>
      </w:r>
      <w:r w:rsidR="00B54F58" w:rsidRPr="00654CE3">
        <w:rPr>
          <w:b/>
          <w:bCs/>
        </w:rPr>
        <w:t>di interesse neutrale</w:t>
      </w:r>
      <w:r w:rsidR="00B54F58" w:rsidRPr="00654CE3">
        <w:t xml:space="preserve">, cioè un tasso </w:t>
      </w:r>
      <w:r w:rsidR="00043DC6" w:rsidRPr="00654CE3">
        <w:t>reale di equilibrio di lungo periodo che implica piena occupazione e inflazione stabile. T</w:t>
      </w:r>
      <w:r w:rsidR="00D80ECA" w:rsidRPr="00654CE3">
        <w:t>uttavia</w:t>
      </w:r>
      <w:r w:rsidR="00DC2AB1" w:rsidRPr="00654CE3">
        <w:t>,</w:t>
      </w:r>
      <w:r w:rsidR="00D80ECA" w:rsidRPr="00654CE3">
        <w:t xml:space="preserve"> </w:t>
      </w:r>
      <w:r w:rsidR="00CF7A3F" w:rsidRPr="00654CE3">
        <w:t xml:space="preserve">osservando il livello del commercio globale vediamo che siamo ancora </w:t>
      </w:r>
      <w:r w:rsidR="00DC2AB1" w:rsidRPr="00654CE3">
        <w:t>sui</w:t>
      </w:r>
      <w:r w:rsidR="00CF7A3F" w:rsidRPr="00654CE3">
        <w:t xml:space="preserve"> massimi e </w:t>
      </w:r>
      <w:r w:rsidR="00A40D08" w:rsidRPr="00654CE3">
        <w:t>l’assunzione c</w:t>
      </w:r>
      <w:r w:rsidR="00CF7A3F" w:rsidRPr="00654CE3">
        <w:t xml:space="preserve">he il tasso strutturale di risparmio sia </w:t>
      </w:r>
      <w:r w:rsidR="00A40D08" w:rsidRPr="00654CE3">
        <w:t xml:space="preserve">il </w:t>
      </w:r>
      <w:r w:rsidR="00CF7A3F" w:rsidRPr="00654CE3">
        <w:t xml:space="preserve">3.5% (dato odierno) è a mio avviso difficile considerando che </w:t>
      </w:r>
      <w:r w:rsidR="00FA77E6" w:rsidRPr="00654CE3">
        <w:t>tra il</w:t>
      </w:r>
      <w:r w:rsidR="00CF7A3F" w:rsidRPr="00654CE3">
        <w:t xml:space="preserve"> 2008 </w:t>
      </w:r>
      <w:r w:rsidR="00FA77E6" w:rsidRPr="00654CE3">
        <w:t>e il</w:t>
      </w:r>
      <w:r w:rsidR="00CF7A3F" w:rsidRPr="00654CE3">
        <w:t xml:space="preserve"> 2019 è </w:t>
      </w:r>
      <w:r w:rsidR="00A40D08" w:rsidRPr="00654CE3">
        <w:t>passato</w:t>
      </w:r>
      <w:r w:rsidR="00CF7A3F" w:rsidRPr="00654CE3">
        <w:t xml:space="preserve"> dal 5% al 9%.</w:t>
      </w:r>
    </w:p>
    <w:p w14:paraId="0C77F90F" w14:textId="53C6061C" w:rsidR="00CF7A3F" w:rsidRPr="00654CE3" w:rsidRDefault="00CF7A3F" w:rsidP="00DC1530">
      <w:pPr>
        <w:jc w:val="both"/>
        <w:rPr>
          <w:b/>
          <w:bCs/>
        </w:rPr>
      </w:pPr>
      <w:r w:rsidRPr="00654CE3">
        <w:t xml:space="preserve">Osservando il lato dei consumi vediamo che </w:t>
      </w:r>
      <w:r w:rsidRPr="00654CE3">
        <w:rPr>
          <w:b/>
          <w:bCs/>
        </w:rPr>
        <w:t>i risparmi in eccesso accumulati durante il Covid-19 e aggiustati per l’inflazione a oggi sono esaurit</w:t>
      </w:r>
      <w:r w:rsidR="00CE3453" w:rsidRPr="00654CE3">
        <w:rPr>
          <w:b/>
          <w:bCs/>
        </w:rPr>
        <w:t>i</w:t>
      </w:r>
      <w:r w:rsidR="00CE3453" w:rsidRPr="00654CE3">
        <w:t xml:space="preserve">. </w:t>
      </w:r>
      <w:r w:rsidR="00B54F58" w:rsidRPr="00654CE3">
        <w:t xml:space="preserve">Questi ultimi sono inoltre messi sotto pressione </w:t>
      </w:r>
      <w:r w:rsidR="00A7684B" w:rsidRPr="00654CE3">
        <w:t>da interessi più alti</w:t>
      </w:r>
      <w:r w:rsidRPr="00654CE3">
        <w:t xml:space="preserve"> e </w:t>
      </w:r>
      <w:r w:rsidR="00FC4D36" w:rsidRPr="00654CE3">
        <w:t xml:space="preserve">dalla </w:t>
      </w:r>
      <w:r w:rsidRPr="00654CE3">
        <w:t>ripresa</w:t>
      </w:r>
      <w:r w:rsidR="00A7684B" w:rsidRPr="00654CE3">
        <w:t>,</w:t>
      </w:r>
      <w:r w:rsidRPr="00654CE3">
        <w:t xml:space="preserve"> in ottobre</w:t>
      </w:r>
      <w:r w:rsidR="00A7684B" w:rsidRPr="00654CE3">
        <w:t>,</w:t>
      </w:r>
      <w:r w:rsidRPr="00654CE3">
        <w:t xml:space="preserve"> </w:t>
      </w:r>
      <w:r w:rsidR="00B72014" w:rsidRPr="00654CE3">
        <w:t>del</w:t>
      </w:r>
      <w:r w:rsidR="000C252A" w:rsidRPr="00654CE3">
        <w:t xml:space="preserve"> pagamento delle</w:t>
      </w:r>
      <w:r w:rsidR="00B72014" w:rsidRPr="00654CE3">
        <w:t xml:space="preserve"> tasse universitarie</w:t>
      </w:r>
      <w:r w:rsidRPr="00654CE3">
        <w:t xml:space="preserve">. </w:t>
      </w:r>
      <w:r w:rsidR="00CE340D" w:rsidRPr="00654CE3">
        <w:t xml:space="preserve">Con </w:t>
      </w:r>
      <w:r w:rsidR="00CB0440" w:rsidRPr="00654CE3">
        <w:t>il</w:t>
      </w:r>
      <w:r w:rsidRPr="00654CE3">
        <w:t xml:space="preserve"> tasso di risparmio</w:t>
      </w:r>
      <w:r w:rsidR="00CB0440" w:rsidRPr="00654CE3">
        <w:t xml:space="preserve"> </w:t>
      </w:r>
      <w:r w:rsidR="00CE340D" w:rsidRPr="00654CE3">
        <w:t xml:space="preserve">basso </w:t>
      </w:r>
      <w:r w:rsidR="00ED1BA8" w:rsidRPr="00654CE3">
        <w:t>il</w:t>
      </w:r>
      <w:r w:rsidRPr="00654CE3">
        <w:t xml:space="preserve"> credito al consumo in aggregato è cresciuto del 20% rispetto al 2019 e anche il tasso di interesse sulle carte di credito è arrivato al 20%. Metà della popolazione americana ha circa il 40% della sua ricchezza in immobili e l’80% dei mutui è a tasso fisso. L’attuale tasso trentennale sui mutui è al 7</w:t>
      </w:r>
      <w:r w:rsidR="00A22C8A" w:rsidRPr="00654CE3">
        <w:t>.</w:t>
      </w:r>
      <w:r w:rsidRPr="00654CE3">
        <w:t>5%, il più alto dal 2000, e i nuovi acquirenti stanno diminuendo</w:t>
      </w:r>
      <w:r w:rsidR="00802DE8">
        <w:t>,</w:t>
      </w:r>
      <w:r w:rsidRPr="00654CE3">
        <w:t xml:space="preserve"> come dimostrano i dati sull</w:t>
      </w:r>
      <w:r w:rsidR="00CE340D" w:rsidRPr="00654CE3">
        <w:t>e</w:t>
      </w:r>
      <w:r w:rsidRPr="00654CE3">
        <w:t xml:space="preserve"> vendit</w:t>
      </w:r>
      <w:r w:rsidR="00CE340D" w:rsidRPr="00654CE3">
        <w:t>e</w:t>
      </w:r>
      <w:r w:rsidRPr="00654CE3">
        <w:t xml:space="preserve"> delle case. Tutti questi fattori </w:t>
      </w:r>
      <w:r w:rsidR="004176BA" w:rsidRPr="00654CE3">
        <w:t xml:space="preserve">hanno portato </w:t>
      </w:r>
      <w:r w:rsidRPr="00654CE3">
        <w:rPr>
          <w:b/>
          <w:bCs/>
        </w:rPr>
        <w:t xml:space="preserve">pressione </w:t>
      </w:r>
      <w:r w:rsidR="006C3AAC" w:rsidRPr="00654CE3">
        <w:rPr>
          <w:b/>
          <w:bCs/>
        </w:rPr>
        <w:t>su</w:t>
      </w:r>
      <w:r w:rsidR="006D4D93" w:rsidRPr="00654CE3">
        <w:rPr>
          <w:b/>
          <w:bCs/>
        </w:rPr>
        <w:t xml:space="preserve">lla </w:t>
      </w:r>
      <w:r w:rsidRPr="00654CE3">
        <w:rPr>
          <w:b/>
          <w:bCs/>
        </w:rPr>
        <w:t>fiducia dei consumatori che è a</w:t>
      </w:r>
      <w:r w:rsidR="00CE340D" w:rsidRPr="00654CE3">
        <w:rPr>
          <w:b/>
          <w:bCs/>
        </w:rPr>
        <w:t>i</w:t>
      </w:r>
      <w:r w:rsidRPr="00654CE3">
        <w:rPr>
          <w:b/>
          <w:bCs/>
        </w:rPr>
        <w:t xml:space="preserve"> livell</w:t>
      </w:r>
      <w:r w:rsidR="00CE340D" w:rsidRPr="00654CE3">
        <w:rPr>
          <w:b/>
          <w:bCs/>
        </w:rPr>
        <w:t>i</w:t>
      </w:r>
      <w:r w:rsidRPr="00654CE3">
        <w:rPr>
          <w:b/>
          <w:bCs/>
        </w:rPr>
        <w:t xml:space="preserve"> del 2009 ma che, a</w:t>
      </w:r>
      <w:r w:rsidR="00802DE8">
        <w:rPr>
          <w:b/>
          <w:bCs/>
        </w:rPr>
        <w:t xml:space="preserve"> </w:t>
      </w:r>
      <w:r w:rsidRPr="00654CE3">
        <w:rPr>
          <w:b/>
          <w:bCs/>
        </w:rPr>
        <w:t>oggi, sta risalendo velocemente.</w:t>
      </w:r>
    </w:p>
    <w:p w14:paraId="6782CF14" w14:textId="1F7794A3" w:rsidR="00086CC1" w:rsidRDefault="00CF7A3F" w:rsidP="00DC1530">
      <w:pPr>
        <w:jc w:val="both"/>
      </w:pPr>
      <w:r w:rsidRPr="00654CE3">
        <w:rPr>
          <w:b/>
          <w:bCs/>
        </w:rPr>
        <w:t>Passando alla stagione delle trimestrali</w:t>
      </w:r>
      <w:r w:rsidRPr="00654CE3">
        <w:t xml:space="preserve"> </w:t>
      </w:r>
      <w:r w:rsidR="000574D4" w:rsidRPr="00654CE3">
        <w:t>appena finita</w:t>
      </w:r>
      <w:r w:rsidR="00E107D4" w:rsidRPr="00654CE3">
        <w:t xml:space="preserve"> si osserva che in aggregato i ricavi</w:t>
      </w:r>
      <w:r w:rsidR="009F0F51" w:rsidRPr="00654CE3">
        <w:t xml:space="preserve"> hanno battuto le stime </w:t>
      </w:r>
      <w:r w:rsidR="00EF4E60" w:rsidRPr="00654CE3">
        <w:t>di circa 1.6% (la media a 1</w:t>
      </w:r>
      <w:r w:rsidR="00F86068" w:rsidRPr="00654CE3">
        <w:t>0 anni è dell’1.3%)</w:t>
      </w:r>
      <w:r w:rsidR="00B54F58" w:rsidRPr="00654CE3">
        <w:t xml:space="preserve">. </w:t>
      </w:r>
      <w:r w:rsidR="00B54F58" w:rsidRPr="00654CE3">
        <w:rPr>
          <w:b/>
          <w:bCs/>
        </w:rPr>
        <w:t>Hanno fatto</w:t>
      </w:r>
      <w:r w:rsidR="00F86068" w:rsidRPr="00654CE3">
        <w:rPr>
          <w:b/>
          <w:bCs/>
        </w:rPr>
        <w:t xml:space="preserve"> </w:t>
      </w:r>
      <w:r w:rsidR="00DE29CE" w:rsidRPr="00654CE3">
        <w:rPr>
          <w:b/>
          <w:bCs/>
        </w:rPr>
        <w:t xml:space="preserve">bene i settori dei Financials, </w:t>
      </w:r>
      <w:r w:rsidR="00B54F58" w:rsidRPr="00654CE3">
        <w:rPr>
          <w:b/>
          <w:bCs/>
        </w:rPr>
        <w:t xml:space="preserve">dei </w:t>
      </w:r>
      <w:r w:rsidR="00DE29CE" w:rsidRPr="00654CE3">
        <w:rPr>
          <w:b/>
          <w:bCs/>
        </w:rPr>
        <w:t xml:space="preserve">Consumi </w:t>
      </w:r>
      <w:r w:rsidR="001544C4" w:rsidRPr="00654CE3">
        <w:rPr>
          <w:b/>
          <w:bCs/>
        </w:rPr>
        <w:t>Discrezionali</w:t>
      </w:r>
      <w:r w:rsidR="00DE29CE" w:rsidRPr="00654CE3">
        <w:rPr>
          <w:b/>
          <w:bCs/>
        </w:rPr>
        <w:t xml:space="preserve"> e </w:t>
      </w:r>
      <w:r w:rsidR="001544C4" w:rsidRPr="00654CE3">
        <w:rPr>
          <w:b/>
          <w:bCs/>
        </w:rPr>
        <w:t>Healthcare</w:t>
      </w:r>
      <w:r w:rsidR="00B54F58" w:rsidRPr="00654CE3">
        <w:rPr>
          <w:b/>
          <w:bCs/>
        </w:rPr>
        <w:t>,</w:t>
      </w:r>
      <w:r w:rsidR="001544C4" w:rsidRPr="00654CE3">
        <w:rPr>
          <w:b/>
          <w:bCs/>
        </w:rPr>
        <w:t xml:space="preserve"> male Materials e</w:t>
      </w:r>
      <w:r w:rsidR="00802DE8">
        <w:rPr>
          <w:b/>
          <w:bCs/>
        </w:rPr>
        <w:t>d</w:t>
      </w:r>
      <w:r w:rsidR="001544C4" w:rsidRPr="00654CE3">
        <w:rPr>
          <w:b/>
          <w:bCs/>
        </w:rPr>
        <w:t xml:space="preserve"> Energy</w:t>
      </w:r>
      <w:r w:rsidR="00E107D4" w:rsidRPr="00654CE3">
        <w:t xml:space="preserve">. </w:t>
      </w:r>
      <w:r w:rsidR="003E15D5" w:rsidRPr="00654CE3">
        <w:t xml:space="preserve">In aggregato le società battono le stime degli utili del 7.5% </w:t>
      </w:r>
      <w:r w:rsidR="00F75CC6" w:rsidRPr="00654CE3">
        <w:t>(la media a 10 anni è dell’6.4%)</w:t>
      </w:r>
      <w:r w:rsidR="00802DE8">
        <w:t>,</w:t>
      </w:r>
      <w:r w:rsidR="00F75CC6" w:rsidRPr="00654CE3">
        <w:t xml:space="preserve"> ma il declin</w:t>
      </w:r>
      <w:r w:rsidR="005A76F8" w:rsidRPr="00654CE3">
        <w:t xml:space="preserve">o </w:t>
      </w:r>
      <w:r w:rsidR="00B54F58" w:rsidRPr="00654CE3">
        <w:t xml:space="preserve">anno su anno </w:t>
      </w:r>
      <w:r w:rsidR="005A76F8" w:rsidRPr="00654CE3">
        <w:t xml:space="preserve">è del 4.1% </w:t>
      </w:r>
      <w:r w:rsidR="0095486B" w:rsidRPr="00654CE3">
        <w:t xml:space="preserve">e segna il </w:t>
      </w:r>
      <w:r w:rsidR="000E2F63" w:rsidRPr="00654CE3">
        <w:t>terzo trimestre consecutivo di utili in decrescita.</w:t>
      </w:r>
      <w:r w:rsidR="00DF1FC7" w:rsidRPr="00654CE3">
        <w:t xml:space="preserve"> </w:t>
      </w:r>
      <w:r w:rsidR="00B54F58" w:rsidRPr="00654CE3">
        <w:rPr>
          <w:b/>
          <w:bCs/>
        </w:rPr>
        <w:t>Circa l’</w:t>
      </w:r>
      <w:r w:rsidR="00DF1FC7" w:rsidRPr="00654CE3">
        <w:rPr>
          <w:b/>
          <w:bCs/>
        </w:rPr>
        <w:t xml:space="preserve">80% delle società dell’S&amp;P 500 hanno battuto le stime sugli utili (la media a 10 anni è del 73%) e in particolare </w:t>
      </w:r>
      <w:r w:rsidR="00B54F58" w:rsidRPr="00654CE3">
        <w:rPr>
          <w:b/>
          <w:bCs/>
        </w:rPr>
        <w:t xml:space="preserve">i tecnologici </w:t>
      </w:r>
      <w:r w:rsidR="00DF1FC7" w:rsidRPr="00654CE3">
        <w:rPr>
          <w:b/>
          <w:bCs/>
        </w:rPr>
        <w:t xml:space="preserve">(90%), </w:t>
      </w:r>
      <w:r w:rsidR="00B54F58" w:rsidRPr="00654CE3">
        <w:rPr>
          <w:b/>
          <w:bCs/>
        </w:rPr>
        <w:t xml:space="preserve">i consumer </w:t>
      </w:r>
      <w:r w:rsidR="00DF1FC7" w:rsidRPr="00654CE3">
        <w:rPr>
          <w:b/>
          <w:bCs/>
        </w:rPr>
        <w:t>staples (89%) e consumi discrezionali (86%).</w:t>
      </w:r>
      <w:r w:rsidR="001321C4" w:rsidRPr="00654CE3">
        <w:t xml:space="preserve"> </w:t>
      </w:r>
      <w:r w:rsidR="00B54F58" w:rsidRPr="00654CE3">
        <w:t>L</w:t>
      </w:r>
      <w:r w:rsidR="001321C4" w:rsidRPr="00654CE3">
        <w:t xml:space="preserve">e aspettative del mercato sono state </w:t>
      </w:r>
      <w:r w:rsidR="008309B4" w:rsidRPr="00654CE3">
        <w:t>battute</w:t>
      </w:r>
      <w:r w:rsidR="00DE2E2F" w:rsidRPr="00654CE3">
        <w:rPr>
          <w:b/>
          <w:bCs/>
        </w:rPr>
        <w:t xml:space="preserve"> </w:t>
      </w:r>
      <w:r w:rsidR="00B54F58" w:rsidRPr="00654CE3">
        <w:rPr>
          <w:b/>
          <w:bCs/>
        </w:rPr>
        <w:t>ma</w:t>
      </w:r>
      <w:r w:rsidR="00DE2E2F" w:rsidRPr="00654CE3">
        <w:rPr>
          <w:b/>
          <w:bCs/>
        </w:rPr>
        <w:t xml:space="preserve"> l’asticella era molto bassa:</w:t>
      </w:r>
      <w:r w:rsidR="00DE2E2F" w:rsidRPr="00654CE3">
        <w:t xml:space="preserve"> </w:t>
      </w:r>
      <w:r w:rsidR="000031F6" w:rsidRPr="00654CE3">
        <w:t xml:space="preserve">-7% il declino </w:t>
      </w:r>
      <w:r w:rsidR="00B54F58" w:rsidRPr="00654CE3">
        <w:t>anno su anno</w:t>
      </w:r>
      <w:r w:rsidR="00994AD8" w:rsidRPr="00654CE3">
        <w:t xml:space="preserve"> </w:t>
      </w:r>
      <w:r w:rsidR="000031F6" w:rsidRPr="00654CE3">
        <w:t xml:space="preserve">stimato </w:t>
      </w:r>
      <w:r w:rsidR="00C740F5" w:rsidRPr="00654CE3">
        <w:t>dagli analisti a</w:t>
      </w:r>
      <w:r w:rsidR="00DE2E2F" w:rsidRPr="00654CE3">
        <w:t>ll’</w:t>
      </w:r>
      <w:r w:rsidR="00C740F5" w:rsidRPr="00654CE3">
        <w:t xml:space="preserve">inizio </w:t>
      </w:r>
      <w:r w:rsidR="00DE2E2F" w:rsidRPr="00654CE3">
        <w:t xml:space="preserve">della </w:t>
      </w:r>
      <w:r w:rsidR="00C740F5" w:rsidRPr="00654CE3">
        <w:t>trimestrale</w:t>
      </w:r>
      <w:r w:rsidR="000674D7" w:rsidRPr="00654CE3">
        <w:t xml:space="preserve"> (</w:t>
      </w:r>
      <w:r w:rsidR="00B54F58" w:rsidRPr="00654CE3">
        <w:t>vedi grafico</w:t>
      </w:r>
      <w:r w:rsidR="000674D7" w:rsidRPr="00654CE3">
        <w:t>)</w:t>
      </w:r>
      <w:r w:rsidR="00994AD8" w:rsidRPr="00654CE3">
        <w:t>.</w:t>
      </w:r>
      <w:r w:rsidR="003B67DC" w:rsidRPr="00654CE3">
        <w:t xml:space="preserve"> </w:t>
      </w:r>
      <w:r w:rsidR="00DE2E2F" w:rsidRPr="00654CE3">
        <w:rPr>
          <w:b/>
          <w:bCs/>
        </w:rPr>
        <w:t xml:space="preserve">Passando alle attese future </w:t>
      </w:r>
      <w:r w:rsidR="00310A74" w:rsidRPr="00654CE3">
        <w:rPr>
          <w:b/>
          <w:bCs/>
        </w:rPr>
        <w:t>si osserva che l</w:t>
      </w:r>
      <w:r w:rsidR="003B67DC" w:rsidRPr="00654CE3">
        <w:rPr>
          <w:b/>
          <w:bCs/>
        </w:rPr>
        <w:t xml:space="preserve">e </w:t>
      </w:r>
      <w:r w:rsidR="00E107D4" w:rsidRPr="00654CE3">
        <w:rPr>
          <w:b/>
          <w:bCs/>
        </w:rPr>
        <w:t>stime “bottom-up” implicano una crescita del +</w:t>
      </w:r>
      <w:r w:rsidR="00E177AD" w:rsidRPr="00654CE3">
        <w:rPr>
          <w:b/>
          <w:bCs/>
        </w:rPr>
        <w:t>0.5</w:t>
      </w:r>
      <w:r w:rsidR="00E107D4" w:rsidRPr="00654CE3">
        <w:rPr>
          <w:b/>
          <w:bCs/>
        </w:rPr>
        <w:t>% e del +</w:t>
      </w:r>
      <w:r w:rsidR="00E177AD" w:rsidRPr="00654CE3">
        <w:rPr>
          <w:b/>
          <w:bCs/>
        </w:rPr>
        <w:t>8.2</w:t>
      </w:r>
      <w:r w:rsidR="00E107D4" w:rsidRPr="00654CE3">
        <w:rPr>
          <w:b/>
          <w:bCs/>
        </w:rPr>
        <w:t>% nel terzo e quarto trimestre rispettivamente</w:t>
      </w:r>
      <w:r w:rsidR="00310A74" w:rsidRPr="00654CE3">
        <w:rPr>
          <w:b/>
          <w:bCs/>
        </w:rPr>
        <w:t>; q</w:t>
      </w:r>
      <w:r w:rsidR="00DF1FC7" w:rsidRPr="00654CE3">
        <w:rPr>
          <w:b/>
          <w:bCs/>
        </w:rPr>
        <w:t xml:space="preserve">uesto porta l’EPS </w:t>
      </w:r>
      <w:r w:rsidR="00B54F58" w:rsidRPr="00654CE3">
        <w:rPr>
          <w:b/>
          <w:bCs/>
        </w:rPr>
        <w:t xml:space="preserve">(utile per azione) </w:t>
      </w:r>
      <w:r w:rsidR="00DF1FC7" w:rsidRPr="00654CE3">
        <w:rPr>
          <w:b/>
          <w:bCs/>
        </w:rPr>
        <w:t xml:space="preserve">per il 2023 a essere del +1.2% rispetto </w:t>
      </w:r>
      <w:r w:rsidR="00DF1FC7" w:rsidRPr="00654CE3">
        <w:rPr>
          <w:b/>
          <w:bCs/>
        </w:rPr>
        <w:lastRenderedPageBreak/>
        <w:t>all’anno precedente</w:t>
      </w:r>
      <w:r w:rsidR="00DE2E2F" w:rsidRPr="00654CE3">
        <w:rPr>
          <w:b/>
          <w:bCs/>
        </w:rPr>
        <w:t>.</w:t>
      </w:r>
      <w:r w:rsidR="00DE2E2F" w:rsidRPr="00654CE3">
        <w:t xml:space="preserve"> </w:t>
      </w:r>
      <w:r w:rsidR="00543A73" w:rsidRPr="00654CE3">
        <w:t>La revisione delle stime sull’anno 2023 è a</w:t>
      </w:r>
      <w:r w:rsidR="00086CC1" w:rsidRPr="00654CE3">
        <w:t>l</w:t>
      </w:r>
      <w:r w:rsidR="00543A73" w:rsidRPr="00654CE3">
        <w:t xml:space="preserve"> rialzo in particolare </w:t>
      </w:r>
      <w:r w:rsidR="000B4487" w:rsidRPr="00654CE3">
        <w:t>grazie al</w:t>
      </w:r>
      <w:r w:rsidR="00543A73" w:rsidRPr="00654CE3">
        <w:t xml:space="preserve"> settore dei consumi discrezionali</w:t>
      </w:r>
      <w:r w:rsidR="000B4487" w:rsidRPr="00654CE3">
        <w:t xml:space="preserve">, tuttavia parzialmente </w:t>
      </w:r>
      <w:r w:rsidR="00543A73" w:rsidRPr="00654CE3">
        <w:t>compensato da quello dell’energia.</w:t>
      </w:r>
    </w:p>
    <w:p w14:paraId="5C490665" w14:textId="77E52234" w:rsidR="00B54F58" w:rsidRPr="00654CE3" w:rsidRDefault="00A7733C" w:rsidP="00DC1530">
      <w:pPr>
        <w:jc w:val="both"/>
      </w:pPr>
      <w:r w:rsidRPr="00654CE3">
        <w:t xml:space="preserve">Sebbene i dati macro e le aspettative </w:t>
      </w:r>
      <w:r w:rsidR="00B54F58" w:rsidRPr="00654CE3">
        <w:t xml:space="preserve">sui risultati </w:t>
      </w:r>
      <w:r w:rsidRPr="00654CE3">
        <w:t xml:space="preserve">societari </w:t>
      </w:r>
      <w:r w:rsidR="00086CC1" w:rsidRPr="00654CE3">
        <w:t>sembrino lasciare</w:t>
      </w:r>
      <w:r w:rsidR="003C2276" w:rsidRPr="00654CE3">
        <w:t xml:space="preserve"> poco spazio </w:t>
      </w:r>
      <w:r w:rsidR="00A726ED" w:rsidRPr="00654CE3">
        <w:t>potenziale</w:t>
      </w:r>
      <w:r w:rsidR="00B54F58" w:rsidRPr="00654CE3">
        <w:t>,</w:t>
      </w:r>
      <w:r w:rsidR="00A726ED" w:rsidRPr="00654CE3">
        <w:t xml:space="preserve"> </w:t>
      </w:r>
      <w:r w:rsidR="00997213" w:rsidRPr="00654CE3">
        <w:rPr>
          <w:b/>
          <w:bCs/>
        </w:rPr>
        <w:t>non esiste attualmente nessun paese posizionato</w:t>
      </w:r>
      <w:r w:rsidR="001F5BDE" w:rsidRPr="00654CE3">
        <w:rPr>
          <w:b/>
          <w:bCs/>
        </w:rPr>
        <w:t xml:space="preserve"> meglio degli </w:t>
      </w:r>
      <w:r w:rsidR="00CC4AC7" w:rsidRPr="00654CE3">
        <w:rPr>
          <w:b/>
          <w:bCs/>
        </w:rPr>
        <w:t xml:space="preserve">Stati Uniti per </w:t>
      </w:r>
      <w:r w:rsidR="00032CC9" w:rsidRPr="00654CE3">
        <w:rPr>
          <w:b/>
          <w:bCs/>
        </w:rPr>
        <w:t>innovazione e produttività</w:t>
      </w:r>
      <w:r w:rsidR="001A4012" w:rsidRPr="00654CE3">
        <w:t xml:space="preserve">. </w:t>
      </w:r>
    </w:p>
    <w:p w14:paraId="04769BD3" w14:textId="739B969C" w:rsidR="00B54F58" w:rsidRPr="00654CE3" w:rsidRDefault="001A4012" w:rsidP="00DC1530">
      <w:pPr>
        <w:jc w:val="both"/>
        <w:rPr>
          <w:b/>
          <w:bCs/>
        </w:rPr>
      </w:pPr>
      <w:r w:rsidRPr="00654CE3">
        <w:rPr>
          <w:b/>
          <w:bCs/>
        </w:rPr>
        <w:t xml:space="preserve">Ritengo che </w:t>
      </w:r>
      <w:r w:rsidR="00AB5BEC" w:rsidRPr="00654CE3">
        <w:rPr>
          <w:b/>
          <w:bCs/>
        </w:rPr>
        <w:t xml:space="preserve">una importante esposizione </w:t>
      </w:r>
      <w:r w:rsidRPr="00654CE3">
        <w:rPr>
          <w:b/>
          <w:bCs/>
        </w:rPr>
        <w:t xml:space="preserve">al </w:t>
      </w:r>
      <w:r w:rsidR="00802DE8">
        <w:rPr>
          <w:b/>
          <w:bCs/>
        </w:rPr>
        <w:t>P</w:t>
      </w:r>
      <w:r w:rsidRPr="00654CE3">
        <w:rPr>
          <w:b/>
          <w:bCs/>
        </w:rPr>
        <w:t>aese debba essere mantenut</w:t>
      </w:r>
      <w:r w:rsidR="00AB5BEC" w:rsidRPr="00654CE3">
        <w:rPr>
          <w:b/>
          <w:bCs/>
        </w:rPr>
        <w:t>a</w:t>
      </w:r>
      <w:r w:rsidRPr="00654CE3">
        <w:rPr>
          <w:b/>
          <w:bCs/>
        </w:rPr>
        <w:t xml:space="preserve"> </w:t>
      </w:r>
      <w:r w:rsidRPr="00654CE3">
        <w:t xml:space="preserve">per la resilienza che </w:t>
      </w:r>
      <w:r w:rsidR="00EA6B95" w:rsidRPr="00654CE3">
        <w:t xml:space="preserve">ha dimostrato negli anni e il suo potenziale intrinseco </w:t>
      </w:r>
      <w:r w:rsidR="00B54F58" w:rsidRPr="00654CE3">
        <w:t>in termini di</w:t>
      </w:r>
      <w:r w:rsidR="00EA6B95" w:rsidRPr="00654CE3">
        <w:t xml:space="preserve"> crescita. </w:t>
      </w:r>
      <w:r w:rsidR="0007653A" w:rsidRPr="00654CE3">
        <w:rPr>
          <w:b/>
          <w:bCs/>
        </w:rPr>
        <w:t>Tuttavia</w:t>
      </w:r>
      <w:r w:rsidR="00802DE8">
        <w:rPr>
          <w:b/>
          <w:bCs/>
        </w:rPr>
        <w:t>,</w:t>
      </w:r>
      <w:r w:rsidR="0007653A" w:rsidRPr="00654CE3">
        <w:rPr>
          <w:b/>
          <w:bCs/>
        </w:rPr>
        <w:t xml:space="preserve"> </w:t>
      </w:r>
      <w:r w:rsidR="003E03C3" w:rsidRPr="00654CE3">
        <w:rPr>
          <w:b/>
          <w:bCs/>
        </w:rPr>
        <w:t>è importante selezionare le società usando un approccio bottom-up</w:t>
      </w:r>
      <w:r w:rsidR="00E746E5" w:rsidRPr="00654CE3">
        <w:rPr>
          <w:b/>
          <w:bCs/>
        </w:rPr>
        <w:t xml:space="preserve"> per </w:t>
      </w:r>
      <w:r w:rsidR="00E746E5" w:rsidRPr="00654CE3">
        <w:t>non esporsi a</w:t>
      </w:r>
      <w:r w:rsidR="00887C6E" w:rsidRPr="00654CE3">
        <w:t xml:space="preserve"> eccessivi</w:t>
      </w:r>
      <w:r w:rsidR="00E746E5" w:rsidRPr="00654CE3">
        <w:t xml:space="preserve"> rischi macroeconomici indesiderati.</w:t>
      </w:r>
      <w:r w:rsidR="00887C6E" w:rsidRPr="00654CE3">
        <w:rPr>
          <w:b/>
          <w:bCs/>
        </w:rPr>
        <w:t xml:space="preserve"> </w:t>
      </w:r>
    </w:p>
    <w:p w14:paraId="70421765" w14:textId="75439375" w:rsidR="00B54F58" w:rsidRPr="00654CE3" w:rsidRDefault="00802DE8" w:rsidP="00DC1530">
      <w:pPr>
        <w:jc w:val="both"/>
        <w:rPr>
          <w:b/>
          <w:bCs/>
        </w:rPr>
      </w:pPr>
      <w:r>
        <w:rPr>
          <w:b/>
          <w:bCs/>
        </w:rPr>
        <w:t xml:space="preserve">Vediamo </w:t>
      </w:r>
      <w:r w:rsidR="00B54F58" w:rsidRPr="00654CE3">
        <w:rPr>
          <w:b/>
          <w:bCs/>
        </w:rPr>
        <w:t xml:space="preserve">valore in particolare nei </w:t>
      </w:r>
      <w:r w:rsidR="00BD3EA9" w:rsidRPr="00654CE3">
        <w:rPr>
          <w:b/>
          <w:bCs/>
        </w:rPr>
        <w:t xml:space="preserve">settori della Tecnologia, dell’Healthcare e </w:t>
      </w:r>
      <w:r w:rsidR="00B54F58" w:rsidRPr="00654CE3">
        <w:rPr>
          <w:b/>
          <w:bCs/>
        </w:rPr>
        <w:t xml:space="preserve">dei </w:t>
      </w:r>
      <w:r w:rsidR="00BD3EA9" w:rsidRPr="00654CE3">
        <w:rPr>
          <w:b/>
          <w:bCs/>
        </w:rPr>
        <w:t xml:space="preserve">Financials. </w:t>
      </w:r>
    </w:p>
    <w:p w14:paraId="43C10DDA" w14:textId="77777777" w:rsidR="00B54F58" w:rsidRPr="00654CE3" w:rsidRDefault="00BD3EA9" w:rsidP="00DC1530">
      <w:pPr>
        <w:jc w:val="both"/>
      </w:pPr>
      <w:r w:rsidRPr="00654CE3">
        <w:t>N</w:t>
      </w:r>
      <w:r w:rsidR="0049444C" w:rsidRPr="00654CE3">
        <w:t xml:space="preserve">ei mesi </w:t>
      </w:r>
      <w:r w:rsidR="00142921" w:rsidRPr="00654CE3">
        <w:t xml:space="preserve">successivi </w:t>
      </w:r>
      <w:r w:rsidR="00B54F58" w:rsidRPr="00654CE3">
        <w:t xml:space="preserve">sarà da valutare se </w:t>
      </w:r>
      <w:r w:rsidR="0049444C" w:rsidRPr="00654CE3">
        <w:t>incrementa</w:t>
      </w:r>
      <w:r w:rsidR="00DA097D" w:rsidRPr="00654CE3">
        <w:t>re</w:t>
      </w:r>
      <w:r w:rsidR="0049444C" w:rsidRPr="00654CE3">
        <w:t xml:space="preserve"> </w:t>
      </w:r>
      <w:r w:rsidR="00142921" w:rsidRPr="00654CE3">
        <w:t>l’esposi</w:t>
      </w:r>
      <w:r w:rsidR="000C3D8E" w:rsidRPr="00654CE3">
        <w:t>zi</w:t>
      </w:r>
      <w:r w:rsidR="00142921" w:rsidRPr="00654CE3">
        <w:t>one al</w:t>
      </w:r>
      <w:r w:rsidR="00A96E78" w:rsidRPr="00654CE3">
        <w:t xml:space="preserve"> settore delle </w:t>
      </w:r>
      <w:r w:rsidR="00A96E78" w:rsidRPr="00654CE3">
        <w:rPr>
          <w:b/>
          <w:bCs/>
        </w:rPr>
        <w:t xml:space="preserve">Utilities </w:t>
      </w:r>
      <w:r w:rsidR="00A96E78" w:rsidRPr="00654CE3">
        <w:t>per la sua natura difensiva</w:t>
      </w:r>
      <w:r w:rsidR="00DA097D" w:rsidRPr="00654CE3">
        <w:t>,</w:t>
      </w:r>
      <w:r w:rsidR="00A96E78" w:rsidRPr="00654CE3">
        <w:t xml:space="preserve"> per il suo </w:t>
      </w:r>
      <w:r w:rsidR="000C3D8E" w:rsidRPr="00654CE3">
        <w:t xml:space="preserve">sconto rispetto all’indice S&amp;P 500 </w:t>
      </w:r>
      <w:r w:rsidR="00DA097D" w:rsidRPr="00654CE3">
        <w:t xml:space="preserve">e </w:t>
      </w:r>
      <w:r w:rsidR="009D1274" w:rsidRPr="00654CE3">
        <w:t>per la crescita strutturale nella spesa per infrastruttura ed energia rinnovabile.</w:t>
      </w:r>
      <w:r w:rsidR="00270B9B" w:rsidRPr="00654CE3">
        <w:t xml:space="preserve"> </w:t>
      </w:r>
    </w:p>
    <w:p w14:paraId="7ED22E4F" w14:textId="3C7CE6A4" w:rsidR="00EE216A" w:rsidRPr="00654CE3" w:rsidRDefault="00086CC1" w:rsidP="00DC1530">
      <w:pPr>
        <w:jc w:val="both"/>
      </w:pPr>
      <w:r w:rsidRPr="00654CE3">
        <w:t>In conclusione,</w:t>
      </w:r>
      <w:r w:rsidR="00C340E7" w:rsidRPr="00654CE3">
        <w:t xml:space="preserve"> i dati macroeconomici rimangono a oggi positivi </w:t>
      </w:r>
      <w:r w:rsidR="00EE216A" w:rsidRPr="00654CE3">
        <w:t>e</w:t>
      </w:r>
      <w:r w:rsidR="00B54F58" w:rsidRPr="00654CE3">
        <w:t xml:space="preserve">, </w:t>
      </w:r>
      <w:r w:rsidR="003A2CC3" w:rsidRPr="00654CE3">
        <w:t>anche dal lato delle società</w:t>
      </w:r>
      <w:r w:rsidR="00EE216A" w:rsidRPr="00654CE3">
        <w:t>,</w:t>
      </w:r>
      <w:r w:rsidR="003A2CC3" w:rsidRPr="00654CE3">
        <w:t xml:space="preserve"> nelle “earnings calls”</w:t>
      </w:r>
      <w:r w:rsidR="00B54F58" w:rsidRPr="00654CE3">
        <w:t xml:space="preserve"> sui risultati del secondo trimestre</w:t>
      </w:r>
      <w:r w:rsidR="00EE216A" w:rsidRPr="00654CE3">
        <w:t>,</w:t>
      </w:r>
      <w:r w:rsidR="003A2CC3" w:rsidRPr="00654CE3">
        <w:t xml:space="preserve"> </w:t>
      </w:r>
      <w:r w:rsidR="00844421" w:rsidRPr="00654CE3">
        <w:t xml:space="preserve">la parola “recessione” è stata citata il 50% in meno rispetto al </w:t>
      </w:r>
      <w:r w:rsidR="00B54F58" w:rsidRPr="00654CE3">
        <w:t xml:space="preserve">primo trimestre del 2023, </w:t>
      </w:r>
      <w:r w:rsidR="00E54169" w:rsidRPr="00654CE3">
        <w:t xml:space="preserve">a segnalare </w:t>
      </w:r>
      <w:r w:rsidR="00EE216A" w:rsidRPr="00654CE3">
        <w:t xml:space="preserve">quindi </w:t>
      </w:r>
      <w:r w:rsidR="00510664" w:rsidRPr="00654CE3">
        <w:t>il</w:t>
      </w:r>
      <w:r w:rsidR="00E54169" w:rsidRPr="00654CE3">
        <w:t xml:space="preserve"> buon momento</w:t>
      </w:r>
      <w:r w:rsidR="00510664" w:rsidRPr="00654CE3">
        <w:t>.</w:t>
      </w:r>
    </w:p>
    <w:p w14:paraId="273F94EA" w14:textId="77777777" w:rsidR="00086CC1" w:rsidRPr="00654CE3" w:rsidRDefault="00EE216A" w:rsidP="00DC1530">
      <w:pPr>
        <w:jc w:val="both"/>
      </w:pPr>
      <w:r w:rsidRPr="00654CE3">
        <w:rPr>
          <w:b/>
          <w:bCs/>
        </w:rPr>
        <w:t>Nei prossimi mesi ritengo che la normalizzazione dell’inflazione possa ancora spingere il multiplo più in alto ma che per avere il prossimo mercato rialzista serva l’effettiva materializzazione della forte crescita degli utili.</w:t>
      </w:r>
      <w:r w:rsidRPr="00654CE3">
        <w:t xml:space="preserve"> </w:t>
      </w:r>
    </w:p>
    <w:p w14:paraId="47F7CED6" w14:textId="52AE15F5" w:rsidR="00AD09B9" w:rsidRPr="00654CE3" w:rsidRDefault="00EE216A" w:rsidP="00802DE8">
      <w:pPr>
        <w:jc w:val="both"/>
      </w:pPr>
      <w:r w:rsidRPr="00654CE3">
        <w:t>Bisognerà quindi prestare attenzione alla marginalità</w:t>
      </w:r>
      <w:r w:rsidR="00086CC1" w:rsidRPr="00654CE3">
        <w:t xml:space="preserve"> delle aziende, alla luce del</w:t>
      </w:r>
      <w:r w:rsidRPr="00654CE3">
        <w:t xml:space="preserve"> ritard</w:t>
      </w:r>
      <w:r w:rsidR="00086CC1" w:rsidRPr="00654CE3">
        <w:t xml:space="preserve">o </w:t>
      </w:r>
      <w:r w:rsidRPr="00654CE3">
        <w:t xml:space="preserve">della trasmissione della politica monetaria, </w:t>
      </w:r>
      <w:r w:rsidR="00086CC1" w:rsidRPr="00654CE3">
        <w:t>dei</w:t>
      </w:r>
      <w:r w:rsidRPr="00654CE3">
        <w:t xml:space="preserve"> più alti costi del capitale </w:t>
      </w:r>
      <w:r w:rsidR="00086CC1" w:rsidRPr="00654CE3">
        <w:t>e</w:t>
      </w:r>
      <w:r w:rsidRPr="00654CE3">
        <w:t xml:space="preserve"> </w:t>
      </w:r>
      <w:r w:rsidR="00086CC1" w:rsidRPr="00654CE3">
        <w:t>de</w:t>
      </w:r>
      <w:r w:rsidRPr="00654CE3">
        <w:t xml:space="preserve">l </w:t>
      </w:r>
      <w:r w:rsidR="00334F2A" w:rsidRPr="00654CE3">
        <w:t xml:space="preserve">potenziale </w:t>
      </w:r>
      <w:r w:rsidRPr="00654CE3">
        <w:t>deterioramento del potere di acquisto dei consumatori.</w:t>
      </w:r>
      <w:bookmarkEnd w:id="1"/>
    </w:p>
    <w:sectPr w:rsidR="00AD09B9" w:rsidRPr="00654CE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69E4" w14:textId="77777777" w:rsidR="00AD09B9" w:rsidRDefault="00AD09B9" w:rsidP="00AD09B9">
      <w:pPr>
        <w:spacing w:after="0" w:line="240" w:lineRule="auto"/>
      </w:pPr>
      <w:r>
        <w:separator/>
      </w:r>
    </w:p>
  </w:endnote>
  <w:endnote w:type="continuationSeparator" w:id="0">
    <w:p w14:paraId="12D37009" w14:textId="77777777" w:rsidR="00AD09B9" w:rsidRDefault="00AD09B9" w:rsidP="00AD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4BCF" w14:textId="77777777" w:rsidR="00AD09B9" w:rsidRDefault="00AD09B9" w:rsidP="00AD09B9">
      <w:pPr>
        <w:spacing w:after="0" w:line="240" w:lineRule="auto"/>
      </w:pPr>
      <w:r>
        <w:separator/>
      </w:r>
    </w:p>
  </w:footnote>
  <w:footnote w:type="continuationSeparator" w:id="0">
    <w:p w14:paraId="4859BC4D" w14:textId="77777777" w:rsidR="00AD09B9" w:rsidRDefault="00AD09B9" w:rsidP="00AD09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B9"/>
    <w:rsid w:val="000031F6"/>
    <w:rsid w:val="00004361"/>
    <w:rsid w:val="000206BC"/>
    <w:rsid w:val="00027A3D"/>
    <w:rsid w:val="00032CC9"/>
    <w:rsid w:val="00043DC6"/>
    <w:rsid w:val="00054DF6"/>
    <w:rsid w:val="000574D4"/>
    <w:rsid w:val="000674D7"/>
    <w:rsid w:val="0007653A"/>
    <w:rsid w:val="00086CC1"/>
    <w:rsid w:val="000B4487"/>
    <w:rsid w:val="000C252A"/>
    <w:rsid w:val="000C3D8E"/>
    <w:rsid w:val="000E2F63"/>
    <w:rsid w:val="00120304"/>
    <w:rsid w:val="001321C4"/>
    <w:rsid w:val="00142921"/>
    <w:rsid w:val="001544C4"/>
    <w:rsid w:val="00164445"/>
    <w:rsid w:val="00170232"/>
    <w:rsid w:val="001A4012"/>
    <w:rsid w:val="001C35EF"/>
    <w:rsid w:val="001F5BDE"/>
    <w:rsid w:val="00253918"/>
    <w:rsid w:val="00255E20"/>
    <w:rsid w:val="00263C71"/>
    <w:rsid w:val="00270B9B"/>
    <w:rsid w:val="00291255"/>
    <w:rsid w:val="00310A74"/>
    <w:rsid w:val="00326E06"/>
    <w:rsid w:val="00334F2A"/>
    <w:rsid w:val="003977E1"/>
    <w:rsid w:val="003A2CC3"/>
    <w:rsid w:val="003B67DC"/>
    <w:rsid w:val="003C2276"/>
    <w:rsid w:val="003E03C3"/>
    <w:rsid w:val="003E15D5"/>
    <w:rsid w:val="004176BA"/>
    <w:rsid w:val="0047356F"/>
    <w:rsid w:val="0049444C"/>
    <w:rsid w:val="004E2836"/>
    <w:rsid w:val="004E5603"/>
    <w:rsid w:val="004E7555"/>
    <w:rsid w:val="00510664"/>
    <w:rsid w:val="00517E34"/>
    <w:rsid w:val="00543A73"/>
    <w:rsid w:val="005936EA"/>
    <w:rsid w:val="00594421"/>
    <w:rsid w:val="005A76F8"/>
    <w:rsid w:val="00606346"/>
    <w:rsid w:val="0061623A"/>
    <w:rsid w:val="006276A3"/>
    <w:rsid w:val="0063526A"/>
    <w:rsid w:val="00654CE3"/>
    <w:rsid w:val="006C3AAC"/>
    <w:rsid w:val="006D4D93"/>
    <w:rsid w:val="007C3456"/>
    <w:rsid w:val="007F0A82"/>
    <w:rsid w:val="00802DE8"/>
    <w:rsid w:val="008309B4"/>
    <w:rsid w:val="00844421"/>
    <w:rsid w:val="0085293E"/>
    <w:rsid w:val="00882E0C"/>
    <w:rsid w:val="00887C6E"/>
    <w:rsid w:val="008B7FF0"/>
    <w:rsid w:val="008D149B"/>
    <w:rsid w:val="00952B79"/>
    <w:rsid w:val="0095486B"/>
    <w:rsid w:val="00970425"/>
    <w:rsid w:val="00984A76"/>
    <w:rsid w:val="00994AD8"/>
    <w:rsid w:val="00997213"/>
    <w:rsid w:val="009A5899"/>
    <w:rsid w:val="009D1274"/>
    <w:rsid w:val="009F0F51"/>
    <w:rsid w:val="00A127FD"/>
    <w:rsid w:val="00A22C8A"/>
    <w:rsid w:val="00A40D08"/>
    <w:rsid w:val="00A726ED"/>
    <w:rsid w:val="00A7684B"/>
    <w:rsid w:val="00A7733C"/>
    <w:rsid w:val="00A96E78"/>
    <w:rsid w:val="00AB5901"/>
    <w:rsid w:val="00AB5BEC"/>
    <w:rsid w:val="00AD09B9"/>
    <w:rsid w:val="00AD25C9"/>
    <w:rsid w:val="00B54F58"/>
    <w:rsid w:val="00B72014"/>
    <w:rsid w:val="00BC558F"/>
    <w:rsid w:val="00BD3EA9"/>
    <w:rsid w:val="00C340E7"/>
    <w:rsid w:val="00C626FB"/>
    <w:rsid w:val="00C70BD9"/>
    <w:rsid w:val="00C733B3"/>
    <w:rsid w:val="00C740F5"/>
    <w:rsid w:val="00CA6435"/>
    <w:rsid w:val="00CB0440"/>
    <w:rsid w:val="00CC4AC7"/>
    <w:rsid w:val="00CE340D"/>
    <w:rsid w:val="00CE3453"/>
    <w:rsid w:val="00CF7A3F"/>
    <w:rsid w:val="00D56E26"/>
    <w:rsid w:val="00D65F4C"/>
    <w:rsid w:val="00D80ECA"/>
    <w:rsid w:val="00DA097D"/>
    <w:rsid w:val="00DA218B"/>
    <w:rsid w:val="00DC1530"/>
    <w:rsid w:val="00DC21CC"/>
    <w:rsid w:val="00DC2AB1"/>
    <w:rsid w:val="00DD4D48"/>
    <w:rsid w:val="00DE29CE"/>
    <w:rsid w:val="00DE2E2F"/>
    <w:rsid w:val="00DF1FC7"/>
    <w:rsid w:val="00E07096"/>
    <w:rsid w:val="00E107D4"/>
    <w:rsid w:val="00E177AD"/>
    <w:rsid w:val="00E54169"/>
    <w:rsid w:val="00E746E5"/>
    <w:rsid w:val="00EA6B95"/>
    <w:rsid w:val="00EA73A2"/>
    <w:rsid w:val="00ED1BA8"/>
    <w:rsid w:val="00EE216A"/>
    <w:rsid w:val="00EF01DB"/>
    <w:rsid w:val="00EF4E60"/>
    <w:rsid w:val="00F03B35"/>
    <w:rsid w:val="00F1133D"/>
    <w:rsid w:val="00F64369"/>
    <w:rsid w:val="00F75CC6"/>
    <w:rsid w:val="00F86068"/>
    <w:rsid w:val="00FA77E6"/>
    <w:rsid w:val="00FC4D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5942"/>
  <w15:chartTrackingRefBased/>
  <w15:docId w15:val="{706FECE5-1C6C-4FD4-A948-8B667B4C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D09B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09B9"/>
    <w:rPr>
      <w:sz w:val="20"/>
      <w:szCs w:val="20"/>
    </w:rPr>
  </w:style>
  <w:style w:type="character" w:styleId="Rimandonotaapidipagina">
    <w:name w:val="footnote reference"/>
    <w:basedOn w:val="Carpredefinitoparagrafo"/>
    <w:uiPriority w:val="99"/>
    <w:semiHidden/>
    <w:unhideWhenUsed/>
    <w:rsid w:val="00AD09B9"/>
    <w:rPr>
      <w:vertAlign w:val="superscript"/>
    </w:rPr>
  </w:style>
  <w:style w:type="paragraph" w:styleId="Revisione">
    <w:name w:val="Revision"/>
    <w:hidden/>
    <w:uiPriority w:val="99"/>
    <w:semiHidden/>
    <w:rsid w:val="00654C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AAB2-617C-4B9C-AAFE-57B276B1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940</Words>
  <Characters>5358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Obrizzo - AcomeA SGR</dc:creator>
  <cp:keywords/>
  <dc:description/>
  <cp:lastModifiedBy>Diana Ferla</cp:lastModifiedBy>
  <cp:revision>3</cp:revision>
  <dcterms:created xsi:type="dcterms:W3CDTF">2023-09-06T08:28:00Z</dcterms:created>
  <dcterms:modified xsi:type="dcterms:W3CDTF">2023-09-06T08:28:00Z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c780a412932291328cf1cc5cf6f8e39f817489be4417258ab26dcfc15efa3a82</vt:lpwstr>
  </property>
</Properties>
</file>