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2A01" w14:textId="77777777" w:rsidR="000D7E04" w:rsidRPr="000D7E04" w:rsidRDefault="000D7E04" w:rsidP="000D7E04">
      <w:pPr>
        <w:spacing w:after="120" w:line="264" w:lineRule="auto"/>
        <w:rPr>
          <w:rFonts w:eastAsia="Times New Roman"/>
          <w:lang w:val="it-IT" w:eastAsia="it-IT"/>
        </w:rPr>
      </w:pPr>
      <w:r w:rsidRPr="000D7E04">
        <w:rPr>
          <w:rFonts w:eastAsia="Times New Roman"/>
          <w:b/>
          <w:bCs/>
          <w:lang w:val="it-IT" w:eastAsia="it-IT"/>
        </w:rPr>
        <w:t>T. Rowe Price: Bce verso una pausa</w:t>
      </w:r>
    </w:p>
    <w:p w14:paraId="68285801" w14:textId="77777777" w:rsidR="000D7E04" w:rsidRPr="000D7E04" w:rsidRDefault="000D7E04" w:rsidP="000D7E04">
      <w:pPr>
        <w:spacing w:after="120" w:line="264" w:lineRule="auto"/>
        <w:rPr>
          <w:rFonts w:eastAsia="Times New Roman"/>
          <w:lang w:val="en-US" w:eastAsia="it-IT"/>
        </w:rPr>
      </w:pPr>
      <w:r w:rsidRPr="000D7E04">
        <w:rPr>
          <w:rFonts w:eastAsia="Times New Roman"/>
          <w:lang w:val="en-US" w:eastAsia="it-IT"/>
        </w:rPr>
        <w:t xml:space="preserve">A </w:t>
      </w:r>
      <w:proofErr w:type="spellStart"/>
      <w:r w:rsidRPr="000D7E04">
        <w:rPr>
          <w:rFonts w:eastAsia="Times New Roman"/>
          <w:lang w:val="en-US" w:eastAsia="it-IT"/>
        </w:rPr>
        <w:t>cura</w:t>
      </w:r>
      <w:proofErr w:type="spellEnd"/>
      <w:r w:rsidRPr="000D7E04">
        <w:rPr>
          <w:rFonts w:eastAsia="Times New Roman"/>
          <w:lang w:val="en-US" w:eastAsia="it-IT"/>
        </w:rPr>
        <w:t xml:space="preserve"> di </w:t>
      </w:r>
      <w:r w:rsidRPr="000D7E04">
        <w:rPr>
          <w:rFonts w:eastAsia="Times New Roman"/>
          <w:b/>
          <w:bCs/>
          <w:lang w:val="en-US" w:eastAsia="it-IT"/>
        </w:rPr>
        <w:t xml:space="preserve">Tomasz </w:t>
      </w:r>
      <w:proofErr w:type="spellStart"/>
      <w:r w:rsidRPr="000D7E04">
        <w:rPr>
          <w:rFonts w:eastAsia="Times New Roman"/>
          <w:b/>
          <w:bCs/>
          <w:lang w:val="en-US" w:eastAsia="it-IT"/>
        </w:rPr>
        <w:t>Wieladek</w:t>
      </w:r>
      <w:proofErr w:type="spellEnd"/>
      <w:r w:rsidRPr="000D7E04">
        <w:rPr>
          <w:rFonts w:eastAsia="Times New Roman"/>
          <w:b/>
          <w:bCs/>
          <w:lang w:val="en-US" w:eastAsia="it-IT"/>
        </w:rPr>
        <w:t>, Chief European Economist, T. Rowe Price</w:t>
      </w:r>
    </w:p>
    <w:p w14:paraId="192749E3" w14:textId="77777777" w:rsidR="000D7E04" w:rsidRPr="000D7E04" w:rsidRDefault="000D7E04" w:rsidP="000D7E04">
      <w:pPr>
        <w:spacing w:after="120" w:line="264" w:lineRule="auto"/>
        <w:rPr>
          <w:rFonts w:eastAsia="Times New Roman"/>
          <w:lang w:val="it-IT"/>
        </w:rPr>
      </w:pPr>
      <w:r w:rsidRPr="000D7E04">
        <w:rPr>
          <w:rFonts w:eastAsia="Times New Roman"/>
          <w:lang w:val="it-IT"/>
        </w:rPr>
        <w:t xml:space="preserve">Ci aspettiamo che la BCE si prenda una pausa al prossimo incontro, sulla base della recente serie di dati che dovrebbero spingere verso una maggiore cautela. Un rialzo, in presenza di dati che iniziano a segnalare una recessione, potrebbe essere controproducente: </w:t>
      </w:r>
      <w:r w:rsidRPr="000D7E04">
        <w:rPr>
          <w:rFonts w:eastAsia="Times New Roman"/>
          <w:b/>
          <w:bCs/>
          <w:lang w:val="it-IT"/>
        </w:rPr>
        <w:t>se la BCE sorprendesse gli investitori con un rialzo, i mercati potrebbero iniziare a prezzare un errore politico</w:t>
      </w:r>
      <w:r w:rsidRPr="000D7E04">
        <w:rPr>
          <w:rFonts w:eastAsia="Times New Roman"/>
          <w:lang w:val="it-IT"/>
        </w:rPr>
        <w:t>, allentando le condizioni finanziarie e prevedendo un euro più debole. Ciò renderebbe la politica monetaria meno restrittiva, aumentando l'inflazione importata: sarebbe l'opposto di ciò che la BCE vuole ottenere.  </w:t>
      </w:r>
    </w:p>
    <w:p w14:paraId="134A51A0" w14:textId="5C823DAC" w:rsidR="000D7E04" w:rsidRPr="000D7E04" w:rsidRDefault="000D7E04" w:rsidP="000D7E04">
      <w:pPr>
        <w:spacing w:after="120" w:line="264" w:lineRule="auto"/>
        <w:rPr>
          <w:rFonts w:eastAsia="Times New Roman"/>
          <w:lang w:val="it-IT"/>
        </w:rPr>
      </w:pPr>
      <w:r w:rsidRPr="000D7E04">
        <w:rPr>
          <w:rFonts w:eastAsia="Times New Roman"/>
          <w:lang w:val="it-IT"/>
        </w:rPr>
        <w:t xml:space="preserve">Nella conferenza stampa dello scorso luglio, la presidente </w:t>
      </w:r>
      <w:r w:rsidRPr="000D7E04">
        <w:rPr>
          <w:rFonts w:eastAsia="Times New Roman"/>
          <w:b/>
          <w:bCs/>
          <w:lang w:val="it-IT"/>
        </w:rPr>
        <w:t>Christine Lagarde ha dichiarato che la BCE sarebbe stata guidata principalmente dai dati per valutare, qualora fosse necessario, un rialzo a settembre</w:t>
      </w:r>
      <w:r w:rsidRPr="000D7E04">
        <w:rPr>
          <w:rFonts w:eastAsia="Times New Roman"/>
          <w:lang w:val="it-IT"/>
        </w:rPr>
        <w:t xml:space="preserve">. I membri del Consiglio direttivo si sono attenuti a questa strategia di comunicazione e la maggior parte dei discorsi dei policy maker ha lasciato in sospeso l'esito di settembre. A seguito del passaggio a una strategia di </w:t>
      </w:r>
      <w:r w:rsidR="00300F96">
        <w:rPr>
          <w:rFonts w:eastAsia="Times New Roman"/>
          <w:lang w:val="it-IT"/>
        </w:rPr>
        <w:t>determinazione</w:t>
      </w:r>
      <w:r w:rsidR="00300F96" w:rsidRPr="000D7E04">
        <w:rPr>
          <w:rFonts w:eastAsia="Times New Roman"/>
          <w:lang w:val="it-IT"/>
        </w:rPr>
        <w:t xml:space="preserve"> </w:t>
      </w:r>
      <w:r w:rsidRPr="000D7E04">
        <w:rPr>
          <w:rFonts w:eastAsia="Times New Roman"/>
          <w:lang w:val="it-IT"/>
        </w:rPr>
        <w:t>dei tassi basata in via principale sui dati, i mercati hanno valutato la possibilità di un rialzo dei tassi solo sulla base delle evidenze emerse dagli indicatori.</w:t>
      </w:r>
    </w:p>
    <w:p w14:paraId="252A1788" w14:textId="77777777" w:rsidR="000D7E04" w:rsidRPr="000D7E04" w:rsidRDefault="000D7E04" w:rsidP="000D7E04">
      <w:pPr>
        <w:spacing w:after="120" w:line="264" w:lineRule="auto"/>
        <w:rPr>
          <w:rFonts w:eastAsia="Times New Roman"/>
          <w:lang w:val="it-IT"/>
        </w:rPr>
      </w:pPr>
      <w:r w:rsidRPr="000D7E04">
        <w:rPr>
          <w:rFonts w:eastAsia="Times New Roman"/>
          <w:lang w:val="it-IT"/>
        </w:rPr>
        <w:t>Tuttavia</w:t>
      </w:r>
      <w:r w:rsidRPr="000D7E04">
        <w:rPr>
          <w:rFonts w:eastAsia="Times New Roman"/>
          <w:b/>
          <w:bCs/>
          <w:lang w:val="it-IT"/>
        </w:rPr>
        <w:t>, i dati più recenti indicano chiaramente una pausa a settembre</w:t>
      </w:r>
      <w:r w:rsidRPr="000D7E04">
        <w:rPr>
          <w:rFonts w:eastAsia="Times New Roman"/>
          <w:lang w:val="it-IT"/>
        </w:rPr>
        <w:t>. Il PMI dei servizi si è indebolito notevolmente in agosto, continuando la serie di sorprese negative iniziata a maggio. È un dato importante, poiché il PMI dei servizi mostra un’elevata correlazione con la crescita effettiva dei servizi nell'area euro, anche dopo la pandemia, mentre altre indagini sembrano aver perso il potere predittivo sull'economia reale che avevano un tempo.</w:t>
      </w:r>
    </w:p>
    <w:p w14:paraId="5AD57CEB" w14:textId="02C728D3" w:rsidR="000D7E04" w:rsidRPr="000D7E04" w:rsidRDefault="000D7E04" w:rsidP="000D7E04">
      <w:pPr>
        <w:spacing w:after="120" w:line="264" w:lineRule="auto"/>
        <w:rPr>
          <w:rFonts w:eastAsia="Times New Roman"/>
          <w:b/>
          <w:bCs/>
          <w:lang w:val="it-IT"/>
        </w:rPr>
      </w:pPr>
      <w:r w:rsidRPr="000D7E04">
        <w:rPr>
          <w:rFonts w:eastAsia="Times New Roman"/>
          <w:lang w:val="it-IT"/>
        </w:rPr>
        <w:t xml:space="preserve">Sul fronte dell'inflazione, la versione core dell’indice dei prezzi al consumo (CPI) ha sorpreso il consenso al rialzo lo scorso luglio, ma ha subito una marcata inversione di tendenza ad agosto, sia su base annuale sia tendenziale. L'indice CPI core mensile nell'area euro si era mantenuto ai livelli di un </w:t>
      </w:r>
      <w:r w:rsidR="000A16BF">
        <w:rPr>
          <w:rFonts w:eastAsia="Times New Roman"/>
          <w:lang w:val="it-IT"/>
        </w:rPr>
        <w:t>agosto medio</w:t>
      </w:r>
      <w:r w:rsidRPr="000D7E04">
        <w:rPr>
          <w:rFonts w:eastAsia="Times New Roman"/>
          <w:lang w:val="it-IT"/>
        </w:rPr>
        <w:t xml:space="preserve">, prima del recente aumento dell'inflazione. Infine, la solidità della crescita dell'Eurozona nel </w:t>
      </w:r>
      <w:proofErr w:type="gramStart"/>
      <w:r w:rsidRPr="000D7E04">
        <w:rPr>
          <w:rFonts w:eastAsia="Times New Roman"/>
          <w:lang w:val="it-IT"/>
        </w:rPr>
        <w:t>2°</w:t>
      </w:r>
      <w:proofErr w:type="gramEnd"/>
      <w:r w:rsidRPr="000D7E04">
        <w:rPr>
          <w:rFonts w:eastAsia="Times New Roman"/>
          <w:lang w:val="it-IT"/>
        </w:rPr>
        <w:t xml:space="preserve"> trimestre 2023 è venuta meno, indebolita dalle esportazioni nette, ma sostenuta dalle scorte. I consumi delle famiglie sono rimasti pressoché fermi nella prima metà dell'anno. Sulla base di questa recente serie di dati, </w:t>
      </w:r>
      <w:r w:rsidRPr="000D7E04">
        <w:rPr>
          <w:rFonts w:eastAsia="Times New Roman"/>
          <w:b/>
          <w:bCs/>
          <w:lang w:val="it-IT"/>
        </w:rPr>
        <w:t>i mercati stanno valutando solo il 30% di probabilità di un rialzo questa settimana. </w:t>
      </w:r>
    </w:p>
    <w:p w14:paraId="4B262C45" w14:textId="77777777" w:rsidR="000D7E04" w:rsidRPr="000D7E04" w:rsidRDefault="000D7E04" w:rsidP="000D7E04">
      <w:pPr>
        <w:spacing w:after="120" w:line="264" w:lineRule="auto"/>
        <w:rPr>
          <w:rFonts w:eastAsia="Times New Roman"/>
          <w:lang w:val="it-IT"/>
        </w:rPr>
      </w:pPr>
      <w:r w:rsidRPr="000D7E04">
        <w:rPr>
          <w:rFonts w:eastAsia="Times New Roman"/>
          <w:lang w:val="it-IT"/>
        </w:rPr>
        <w:t xml:space="preserve">Sostengo da tempo l'opinione che </w:t>
      </w:r>
      <w:r w:rsidRPr="000D7E04">
        <w:rPr>
          <w:rFonts w:eastAsia="Times New Roman"/>
          <w:b/>
          <w:bCs/>
          <w:lang w:val="it-IT"/>
        </w:rPr>
        <w:t>probabilmente stiamo scivolando verso una recessione nell'Eurozona. Non è ancora l'opinione dominante, ma sta guadagnando sempre più consenso tra gli economisti</w:t>
      </w:r>
      <w:r w:rsidRPr="000D7E04">
        <w:rPr>
          <w:rFonts w:eastAsia="Times New Roman"/>
          <w:lang w:val="it-IT"/>
        </w:rPr>
        <w:t xml:space="preserve"> e i mercati, dopo le revisioni dei dati sul PIL della scorsa settimana.</w:t>
      </w:r>
    </w:p>
    <w:p w14:paraId="127D384C" w14:textId="2D75DCAD" w:rsidR="000D7E04" w:rsidRPr="000D7E04" w:rsidRDefault="000D7E04" w:rsidP="000D7E04">
      <w:pPr>
        <w:spacing w:after="120" w:line="264" w:lineRule="auto"/>
        <w:rPr>
          <w:rFonts w:eastAsia="Times New Roman"/>
          <w:lang w:val="it-IT"/>
        </w:rPr>
      </w:pPr>
      <w:r w:rsidRPr="000D7E04">
        <w:rPr>
          <w:rFonts w:eastAsia="Times New Roman"/>
          <w:lang w:val="it-IT"/>
        </w:rPr>
        <w:t>Nel suo discorso a Jackson Hole, la presidente Lagarde ha definito, in via informale, tre condizioni per una pausa del rialzo dei tassi. La BCE deve vedere: la trasmissione della politica monetaria all'economia reale, un punto di svolta nell'inflazione CPI sottostante (core) e una prospettiva di inflazione (previsione) al 2% nel medio termine. I dati mostrano che le prime due condizioni sono chiaramente soddisfatte. La previsione (la terza condizione) è decisa dalla BCE. Tuttavia, l'indebolimento dei dati sulla crescita dovrebbe portare a una previsione di inflazione più bassa nei modelli della BCE.</w:t>
      </w:r>
    </w:p>
    <w:p w14:paraId="12E5A612" w14:textId="30DECCB9" w:rsidR="00BB45CC" w:rsidRPr="000D7E04" w:rsidRDefault="000D7E04" w:rsidP="000D7E04">
      <w:pPr>
        <w:spacing w:after="120" w:line="264" w:lineRule="auto"/>
        <w:rPr>
          <w:rFonts w:eastAsia="Times New Roman"/>
          <w:lang w:val="it-IT" w:eastAsia="en-US"/>
        </w:rPr>
      </w:pPr>
      <w:r w:rsidRPr="000D7E04">
        <w:rPr>
          <w:rFonts w:eastAsia="Times New Roman"/>
          <w:lang w:val="it-IT" w:eastAsia="en-US"/>
        </w:rPr>
        <w:t xml:space="preserve">In effetti, </w:t>
      </w:r>
      <w:r w:rsidRPr="000D7E04">
        <w:rPr>
          <w:rFonts w:eastAsia="Times New Roman"/>
          <w:b/>
          <w:bCs/>
          <w:lang w:val="it-IT" w:eastAsia="en-US"/>
        </w:rPr>
        <w:t>c'è il rischio che un rialzo questa settimana possa avere un effetto contrario</w:t>
      </w:r>
      <w:r w:rsidRPr="000D7E04">
        <w:rPr>
          <w:rFonts w:eastAsia="Times New Roman"/>
          <w:lang w:val="it-IT" w:eastAsia="en-US"/>
        </w:rPr>
        <w:t>. Astenendosi dal commentare la decisione di settembre, i policy maker hanno incoraggiato i mercati a prezzare la politica solo sui dati. E i dati indicano una pausa. Se i membri del Consiglio direttivo dovessero aumentare a prescindere, nell'attuale contesto di debolezza dei dati sull'economia reale e di recessione emergente, i mercati potrebbero iniziare a prezzare un errore politico</w:t>
      </w:r>
      <w:r w:rsidRPr="000D7E04">
        <w:rPr>
          <w:rFonts w:eastAsia="Times New Roman"/>
          <w:b/>
          <w:bCs/>
          <w:lang w:val="it-IT" w:eastAsia="en-US"/>
        </w:rPr>
        <w:t>. Il fatto che la BCE stia effettuando rialzi in quella che comincia a sembrare una recessione potrebbe spingere i mercati a prezzare ulteriori tagli tra uno e due anni. L'euro si svaluterebbe, anziché apprezzarsi</w:t>
      </w:r>
      <w:r w:rsidRPr="000D7E04">
        <w:rPr>
          <w:rFonts w:eastAsia="Times New Roman"/>
          <w:lang w:val="it-IT" w:eastAsia="en-US"/>
        </w:rPr>
        <w:t>. Questo allenterebbe di fatto le condizioni finanziarie, implicando una politica meno restrittiva. L'euro continuerebbe probabilmente a deprezzarsi, aumentando l'inflazione importata. Esiste quindi il rischio concreto che un rialzo questa settimana si riveli controproducente.</w:t>
      </w:r>
    </w:p>
    <w:sectPr w:rsidR="00BB45CC" w:rsidRPr="000D7E04" w:rsidSect="00F261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490E" w14:textId="77777777" w:rsidR="006C6F8C" w:rsidRDefault="006C6F8C" w:rsidP="00BB45CC">
      <w:r>
        <w:separator/>
      </w:r>
    </w:p>
  </w:endnote>
  <w:endnote w:type="continuationSeparator" w:id="0">
    <w:p w14:paraId="32524F7A" w14:textId="77777777" w:rsidR="006C6F8C" w:rsidRDefault="006C6F8C" w:rsidP="00B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5EEB" w14:textId="77777777" w:rsidR="006C6F8C" w:rsidRDefault="006C6F8C" w:rsidP="00BB45CC">
      <w:r>
        <w:separator/>
      </w:r>
    </w:p>
  </w:footnote>
  <w:footnote w:type="continuationSeparator" w:id="0">
    <w:p w14:paraId="5BF986F2" w14:textId="77777777" w:rsidR="006C6F8C" w:rsidRDefault="006C6F8C" w:rsidP="00BB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15394"/>
    <w:multiLevelType w:val="hybridMultilevel"/>
    <w:tmpl w:val="25DEF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CE674F"/>
    <w:multiLevelType w:val="hybridMultilevel"/>
    <w:tmpl w:val="2C9606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77125786">
    <w:abstractNumId w:val="1"/>
  </w:num>
  <w:num w:numId="2" w16cid:durableId="1184976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C"/>
    <w:rsid w:val="00066A45"/>
    <w:rsid w:val="000A16BF"/>
    <w:rsid w:val="000D7E04"/>
    <w:rsid w:val="0011059C"/>
    <w:rsid w:val="001477F5"/>
    <w:rsid w:val="001574C3"/>
    <w:rsid w:val="00186364"/>
    <w:rsid w:val="001B683A"/>
    <w:rsid w:val="00257791"/>
    <w:rsid w:val="00300F96"/>
    <w:rsid w:val="003576F8"/>
    <w:rsid w:val="003B4204"/>
    <w:rsid w:val="003C278A"/>
    <w:rsid w:val="003D0578"/>
    <w:rsid w:val="00413136"/>
    <w:rsid w:val="004A76F6"/>
    <w:rsid w:val="0050781E"/>
    <w:rsid w:val="00537C21"/>
    <w:rsid w:val="0054553C"/>
    <w:rsid w:val="005C216A"/>
    <w:rsid w:val="00627F94"/>
    <w:rsid w:val="00631DCE"/>
    <w:rsid w:val="006C6F8C"/>
    <w:rsid w:val="00714894"/>
    <w:rsid w:val="0072570A"/>
    <w:rsid w:val="00747709"/>
    <w:rsid w:val="00762B94"/>
    <w:rsid w:val="00816B85"/>
    <w:rsid w:val="00857726"/>
    <w:rsid w:val="008651F9"/>
    <w:rsid w:val="00874AA2"/>
    <w:rsid w:val="00896817"/>
    <w:rsid w:val="008C588A"/>
    <w:rsid w:val="009049C1"/>
    <w:rsid w:val="00910287"/>
    <w:rsid w:val="00923593"/>
    <w:rsid w:val="00A307A8"/>
    <w:rsid w:val="00A62FDF"/>
    <w:rsid w:val="00AF35D1"/>
    <w:rsid w:val="00B940D7"/>
    <w:rsid w:val="00BB3ABF"/>
    <w:rsid w:val="00BB45CC"/>
    <w:rsid w:val="00C148CC"/>
    <w:rsid w:val="00D052D2"/>
    <w:rsid w:val="00D25E67"/>
    <w:rsid w:val="00D43F79"/>
    <w:rsid w:val="00D9737F"/>
    <w:rsid w:val="00DA59A4"/>
    <w:rsid w:val="00E92BA8"/>
    <w:rsid w:val="00EC2A45"/>
    <w:rsid w:val="00EC673B"/>
    <w:rsid w:val="00ED5E98"/>
    <w:rsid w:val="00EF2F01"/>
    <w:rsid w:val="00F90D41"/>
    <w:rsid w:val="00FB7609"/>
    <w:rsid w:val="00FD1BB2"/>
    <w:rsid w:val="00FE0058"/>
    <w:rsid w:val="00FE244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25F29"/>
  <w15:chartTrackingRefBased/>
  <w15:docId w15:val="{A289DD62-F5F3-4CEF-88E2-880E4E6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45CC"/>
    <w:pPr>
      <w:spacing w:after="0" w:line="240" w:lineRule="auto"/>
    </w:pPr>
    <w:rPr>
      <w:rFonts w:ascii="Calibri" w:hAnsi="Calibri" w:cs="Calibri"/>
      <w:lang w:val="en-GB" w:eastAsia="en-GB"/>
    </w:rPr>
  </w:style>
  <w:style w:type="paragraph" w:styleId="Titolo2">
    <w:name w:val="heading 2"/>
    <w:basedOn w:val="Normale"/>
    <w:next w:val="Normale"/>
    <w:link w:val="Titolo2Carattere"/>
    <w:uiPriority w:val="9"/>
    <w:semiHidden/>
    <w:unhideWhenUsed/>
    <w:qFormat/>
    <w:rsid w:val="008651F9"/>
    <w:pPr>
      <w:keepNext/>
      <w:keepLines/>
      <w:spacing w:before="40"/>
      <w:outlineLvl w:val="1"/>
    </w:pPr>
    <w:rPr>
      <w:rFonts w:asciiTheme="majorHAnsi" w:eastAsiaTheme="majorEastAsia" w:hAnsiTheme="majorHAnsi" w:cstheme="majorBidi"/>
      <w:color w:val="2F5496" w:themeColor="accent1" w:themeShade="BF"/>
      <w:kern w:val="2"/>
      <w:sz w:val="26"/>
      <w:szCs w:val="26"/>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2">
    <w:name w:val="p2"/>
    <w:basedOn w:val="Normale"/>
    <w:rsid w:val="00BB45CC"/>
    <w:rPr>
      <w:rFonts w:ascii="Helvetica" w:hAnsi="Helvetica" w:cs="Times New Roman"/>
      <w:sz w:val="21"/>
      <w:szCs w:val="21"/>
    </w:rPr>
  </w:style>
  <w:style w:type="paragraph" w:styleId="Revisione">
    <w:name w:val="Revision"/>
    <w:hidden/>
    <w:uiPriority w:val="99"/>
    <w:semiHidden/>
    <w:rsid w:val="00FD1BB2"/>
    <w:pPr>
      <w:spacing w:after="0" w:line="240" w:lineRule="auto"/>
    </w:pPr>
    <w:rPr>
      <w:rFonts w:ascii="Calibri" w:hAnsi="Calibri" w:cs="Calibri"/>
      <w:lang w:val="en-GB" w:eastAsia="en-GB"/>
    </w:rPr>
  </w:style>
  <w:style w:type="paragraph" w:styleId="Paragrafoelenco">
    <w:name w:val="List Paragraph"/>
    <w:basedOn w:val="Normale"/>
    <w:uiPriority w:val="34"/>
    <w:qFormat/>
    <w:rsid w:val="00D25E67"/>
    <w:pPr>
      <w:spacing w:after="160" w:line="254" w:lineRule="auto"/>
      <w:ind w:left="720"/>
      <w:contextualSpacing/>
    </w:pPr>
    <w:rPr>
      <w:rFonts w:asciiTheme="minorHAnsi" w:hAnsiTheme="minorHAnsi" w:cstheme="minorBidi"/>
      <w:lang w:val="it-IT" w:eastAsia="en-US"/>
    </w:rPr>
  </w:style>
  <w:style w:type="character" w:styleId="Collegamentoipertestuale">
    <w:name w:val="Hyperlink"/>
    <w:basedOn w:val="Carpredefinitoparagrafo"/>
    <w:uiPriority w:val="99"/>
    <w:semiHidden/>
    <w:unhideWhenUsed/>
    <w:rsid w:val="00413136"/>
    <w:rPr>
      <w:color w:val="0000FF"/>
      <w:u w:val="single"/>
    </w:rPr>
  </w:style>
  <w:style w:type="character" w:customStyle="1" w:styleId="Titolo2Carattere">
    <w:name w:val="Titolo 2 Carattere"/>
    <w:basedOn w:val="Carpredefinitoparagrafo"/>
    <w:link w:val="Titolo2"/>
    <w:uiPriority w:val="9"/>
    <w:semiHidden/>
    <w:rsid w:val="008651F9"/>
    <w:rPr>
      <w:rFonts w:asciiTheme="majorHAnsi" w:eastAsiaTheme="majorEastAsia" w:hAnsiTheme="majorHAnsi" w:cstheme="majorBidi"/>
      <w:color w:val="2F5496" w:themeColor="accent1" w:themeShade="BF"/>
      <w:kern w:val="2"/>
      <w:sz w:val="26"/>
      <w:szCs w:val="26"/>
      <w:lang w:val="en-GB"/>
      <w14:ligatures w14:val="standardContextual"/>
    </w:rPr>
  </w:style>
  <w:style w:type="paragraph" w:styleId="NormaleWeb">
    <w:name w:val="Normal (Web)"/>
    <w:basedOn w:val="Normale"/>
    <w:uiPriority w:val="99"/>
    <w:unhideWhenUsed/>
    <w:rsid w:val="008651F9"/>
    <w:pPr>
      <w:spacing w:before="100" w:beforeAutospacing="1" w:after="100" w:afterAutospacing="1"/>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857726"/>
    <w:rPr>
      <w:rFonts w:asciiTheme="minorHAnsi" w:hAnsiTheme="minorHAnsi" w:cstheme="minorBidi"/>
      <w:kern w:val="2"/>
      <w:sz w:val="20"/>
      <w:szCs w:val="20"/>
      <w:lang w:eastAsia="en-US"/>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857726"/>
    <w:rPr>
      <w:kern w:val="2"/>
      <w:sz w:val="20"/>
      <w:szCs w:val="20"/>
      <w:lang w:val="en-GB"/>
      <w14:ligatures w14:val="standardContextual"/>
    </w:rPr>
  </w:style>
  <w:style w:type="character" w:styleId="Rimandonotaapidipagina">
    <w:name w:val="footnote reference"/>
    <w:basedOn w:val="Carpredefinitoparagrafo"/>
    <w:uiPriority w:val="99"/>
    <w:semiHidden/>
    <w:unhideWhenUsed/>
    <w:rsid w:val="00857726"/>
    <w:rPr>
      <w:vertAlign w:val="superscript"/>
    </w:rPr>
  </w:style>
  <w:style w:type="paragraph" w:customStyle="1" w:styleId="xmsonormal">
    <w:name w:val="x_msonormal"/>
    <w:basedOn w:val="Normale"/>
    <w:rsid w:val="000D7E04"/>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363">
      <w:bodyDiv w:val="1"/>
      <w:marLeft w:val="0"/>
      <w:marRight w:val="0"/>
      <w:marTop w:val="0"/>
      <w:marBottom w:val="0"/>
      <w:divBdr>
        <w:top w:val="none" w:sz="0" w:space="0" w:color="auto"/>
        <w:left w:val="none" w:sz="0" w:space="0" w:color="auto"/>
        <w:bottom w:val="none" w:sz="0" w:space="0" w:color="auto"/>
        <w:right w:val="none" w:sz="0" w:space="0" w:color="auto"/>
      </w:divBdr>
    </w:div>
    <w:div w:id="432482872">
      <w:bodyDiv w:val="1"/>
      <w:marLeft w:val="0"/>
      <w:marRight w:val="0"/>
      <w:marTop w:val="0"/>
      <w:marBottom w:val="0"/>
      <w:divBdr>
        <w:top w:val="none" w:sz="0" w:space="0" w:color="auto"/>
        <w:left w:val="none" w:sz="0" w:space="0" w:color="auto"/>
        <w:bottom w:val="none" w:sz="0" w:space="0" w:color="auto"/>
        <w:right w:val="none" w:sz="0" w:space="0" w:color="auto"/>
      </w:divBdr>
    </w:div>
    <w:div w:id="477651742">
      <w:bodyDiv w:val="1"/>
      <w:marLeft w:val="0"/>
      <w:marRight w:val="0"/>
      <w:marTop w:val="0"/>
      <w:marBottom w:val="0"/>
      <w:divBdr>
        <w:top w:val="none" w:sz="0" w:space="0" w:color="auto"/>
        <w:left w:val="none" w:sz="0" w:space="0" w:color="auto"/>
        <w:bottom w:val="none" w:sz="0" w:space="0" w:color="auto"/>
        <w:right w:val="none" w:sz="0" w:space="0" w:color="auto"/>
      </w:divBdr>
    </w:div>
    <w:div w:id="485703496">
      <w:bodyDiv w:val="1"/>
      <w:marLeft w:val="0"/>
      <w:marRight w:val="0"/>
      <w:marTop w:val="0"/>
      <w:marBottom w:val="0"/>
      <w:divBdr>
        <w:top w:val="none" w:sz="0" w:space="0" w:color="auto"/>
        <w:left w:val="none" w:sz="0" w:space="0" w:color="auto"/>
        <w:bottom w:val="none" w:sz="0" w:space="0" w:color="auto"/>
        <w:right w:val="none" w:sz="0" w:space="0" w:color="auto"/>
      </w:divBdr>
    </w:div>
    <w:div w:id="554126215">
      <w:bodyDiv w:val="1"/>
      <w:marLeft w:val="0"/>
      <w:marRight w:val="0"/>
      <w:marTop w:val="0"/>
      <w:marBottom w:val="0"/>
      <w:divBdr>
        <w:top w:val="none" w:sz="0" w:space="0" w:color="auto"/>
        <w:left w:val="none" w:sz="0" w:space="0" w:color="auto"/>
        <w:bottom w:val="none" w:sz="0" w:space="0" w:color="auto"/>
        <w:right w:val="none" w:sz="0" w:space="0" w:color="auto"/>
      </w:divBdr>
    </w:div>
    <w:div w:id="648637844">
      <w:bodyDiv w:val="1"/>
      <w:marLeft w:val="0"/>
      <w:marRight w:val="0"/>
      <w:marTop w:val="0"/>
      <w:marBottom w:val="0"/>
      <w:divBdr>
        <w:top w:val="none" w:sz="0" w:space="0" w:color="auto"/>
        <w:left w:val="none" w:sz="0" w:space="0" w:color="auto"/>
        <w:bottom w:val="none" w:sz="0" w:space="0" w:color="auto"/>
        <w:right w:val="none" w:sz="0" w:space="0" w:color="auto"/>
      </w:divBdr>
    </w:div>
    <w:div w:id="669479586">
      <w:bodyDiv w:val="1"/>
      <w:marLeft w:val="0"/>
      <w:marRight w:val="0"/>
      <w:marTop w:val="0"/>
      <w:marBottom w:val="0"/>
      <w:divBdr>
        <w:top w:val="none" w:sz="0" w:space="0" w:color="auto"/>
        <w:left w:val="none" w:sz="0" w:space="0" w:color="auto"/>
        <w:bottom w:val="none" w:sz="0" w:space="0" w:color="auto"/>
        <w:right w:val="none" w:sz="0" w:space="0" w:color="auto"/>
      </w:divBdr>
    </w:div>
    <w:div w:id="676812674">
      <w:bodyDiv w:val="1"/>
      <w:marLeft w:val="0"/>
      <w:marRight w:val="0"/>
      <w:marTop w:val="0"/>
      <w:marBottom w:val="0"/>
      <w:divBdr>
        <w:top w:val="none" w:sz="0" w:space="0" w:color="auto"/>
        <w:left w:val="none" w:sz="0" w:space="0" w:color="auto"/>
        <w:bottom w:val="none" w:sz="0" w:space="0" w:color="auto"/>
        <w:right w:val="none" w:sz="0" w:space="0" w:color="auto"/>
      </w:divBdr>
    </w:div>
    <w:div w:id="683944135">
      <w:bodyDiv w:val="1"/>
      <w:marLeft w:val="0"/>
      <w:marRight w:val="0"/>
      <w:marTop w:val="0"/>
      <w:marBottom w:val="0"/>
      <w:divBdr>
        <w:top w:val="none" w:sz="0" w:space="0" w:color="auto"/>
        <w:left w:val="none" w:sz="0" w:space="0" w:color="auto"/>
        <w:bottom w:val="none" w:sz="0" w:space="0" w:color="auto"/>
        <w:right w:val="none" w:sz="0" w:space="0" w:color="auto"/>
      </w:divBdr>
    </w:div>
    <w:div w:id="690763187">
      <w:bodyDiv w:val="1"/>
      <w:marLeft w:val="0"/>
      <w:marRight w:val="0"/>
      <w:marTop w:val="0"/>
      <w:marBottom w:val="0"/>
      <w:divBdr>
        <w:top w:val="none" w:sz="0" w:space="0" w:color="auto"/>
        <w:left w:val="none" w:sz="0" w:space="0" w:color="auto"/>
        <w:bottom w:val="none" w:sz="0" w:space="0" w:color="auto"/>
        <w:right w:val="none" w:sz="0" w:space="0" w:color="auto"/>
      </w:divBdr>
    </w:div>
    <w:div w:id="694577051">
      <w:bodyDiv w:val="1"/>
      <w:marLeft w:val="0"/>
      <w:marRight w:val="0"/>
      <w:marTop w:val="0"/>
      <w:marBottom w:val="0"/>
      <w:divBdr>
        <w:top w:val="none" w:sz="0" w:space="0" w:color="auto"/>
        <w:left w:val="none" w:sz="0" w:space="0" w:color="auto"/>
        <w:bottom w:val="none" w:sz="0" w:space="0" w:color="auto"/>
        <w:right w:val="none" w:sz="0" w:space="0" w:color="auto"/>
      </w:divBdr>
    </w:div>
    <w:div w:id="1039815723">
      <w:bodyDiv w:val="1"/>
      <w:marLeft w:val="0"/>
      <w:marRight w:val="0"/>
      <w:marTop w:val="0"/>
      <w:marBottom w:val="0"/>
      <w:divBdr>
        <w:top w:val="none" w:sz="0" w:space="0" w:color="auto"/>
        <w:left w:val="none" w:sz="0" w:space="0" w:color="auto"/>
        <w:bottom w:val="none" w:sz="0" w:space="0" w:color="auto"/>
        <w:right w:val="none" w:sz="0" w:space="0" w:color="auto"/>
      </w:divBdr>
    </w:div>
    <w:div w:id="1083065931">
      <w:bodyDiv w:val="1"/>
      <w:marLeft w:val="0"/>
      <w:marRight w:val="0"/>
      <w:marTop w:val="0"/>
      <w:marBottom w:val="0"/>
      <w:divBdr>
        <w:top w:val="none" w:sz="0" w:space="0" w:color="auto"/>
        <w:left w:val="none" w:sz="0" w:space="0" w:color="auto"/>
        <w:bottom w:val="none" w:sz="0" w:space="0" w:color="auto"/>
        <w:right w:val="none" w:sz="0" w:space="0" w:color="auto"/>
      </w:divBdr>
    </w:div>
    <w:div w:id="1218542103">
      <w:bodyDiv w:val="1"/>
      <w:marLeft w:val="0"/>
      <w:marRight w:val="0"/>
      <w:marTop w:val="0"/>
      <w:marBottom w:val="0"/>
      <w:divBdr>
        <w:top w:val="none" w:sz="0" w:space="0" w:color="auto"/>
        <w:left w:val="none" w:sz="0" w:space="0" w:color="auto"/>
        <w:bottom w:val="none" w:sz="0" w:space="0" w:color="auto"/>
        <w:right w:val="none" w:sz="0" w:space="0" w:color="auto"/>
      </w:divBdr>
    </w:div>
    <w:div w:id="1237016188">
      <w:bodyDiv w:val="1"/>
      <w:marLeft w:val="0"/>
      <w:marRight w:val="0"/>
      <w:marTop w:val="0"/>
      <w:marBottom w:val="0"/>
      <w:divBdr>
        <w:top w:val="none" w:sz="0" w:space="0" w:color="auto"/>
        <w:left w:val="none" w:sz="0" w:space="0" w:color="auto"/>
        <w:bottom w:val="none" w:sz="0" w:space="0" w:color="auto"/>
        <w:right w:val="none" w:sz="0" w:space="0" w:color="auto"/>
      </w:divBdr>
    </w:div>
    <w:div w:id="1238595951">
      <w:bodyDiv w:val="1"/>
      <w:marLeft w:val="0"/>
      <w:marRight w:val="0"/>
      <w:marTop w:val="0"/>
      <w:marBottom w:val="0"/>
      <w:divBdr>
        <w:top w:val="none" w:sz="0" w:space="0" w:color="auto"/>
        <w:left w:val="none" w:sz="0" w:space="0" w:color="auto"/>
        <w:bottom w:val="none" w:sz="0" w:space="0" w:color="auto"/>
        <w:right w:val="none" w:sz="0" w:space="0" w:color="auto"/>
      </w:divBdr>
    </w:div>
    <w:div w:id="1402601526">
      <w:bodyDiv w:val="1"/>
      <w:marLeft w:val="0"/>
      <w:marRight w:val="0"/>
      <w:marTop w:val="0"/>
      <w:marBottom w:val="0"/>
      <w:divBdr>
        <w:top w:val="none" w:sz="0" w:space="0" w:color="auto"/>
        <w:left w:val="none" w:sz="0" w:space="0" w:color="auto"/>
        <w:bottom w:val="none" w:sz="0" w:space="0" w:color="auto"/>
        <w:right w:val="none" w:sz="0" w:space="0" w:color="auto"/>
      </w:divBdr>
    </w:div>
    <w:div w:id="1407413805">
      <w:bodyDiv w:val="1"/>
      <w:marLeft w:val="0"/>
      <w:marRight w:val="0"/>
      <w:marTop w:val="0"/>
      <w:marBottom w:val="0"/>
      <w:divBdr>
        <w:top w:val="none" w:sz="0" w:space="0" w:color="auto"/>
        <w:left w:val="none" w:sz="0" w:space="0" w:color="auto"/>
        <w:bottom w:val="none" w:sz="0" w:space="0" w:color="auto"/>
        <w:right w:val="none" w:sz="0" w:space="0" w:color="auto"/>
      </w:divBdr>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 w:id="1736973921">
      <w:bodyDiv w:val="1"/>
      <w:marLeft w:val="0"/>
      <w:marRight w:val="0"/>
      <w:marTop w:val="0"/>
      <w:marBottom w:val="0"/>
      <w:divBdr>
        <w:top w:val="none" w:sz="0" w:space="0" w:color="auto"/>
        <w:left w:val="none" w:sz="0" w:space="0" w:color="auto"/>
        <w:bottom w:val="none" w:sz="0" w:space="0" w:color="auto"/>
        <w:right w:val="none" w:sz="0" w:space="0" w:color="auto"/>
      </w:divBdr>
    </w:div>
    <w:div w:id="1793013647">
      <w:bodyDiv w:val="1"/>
      <w:marLeft w:val="0"/>
      <w:marRight w:val="0"/>
      <w:marTop w:val="0"/>
      <w:marBottom w:val="0"/>
      <w:divBdr>
        <w:top w:val="none" w:sz="0" w:space="0" w:color="auto"/>
        <w:left w:val="none" w:sz="0" w:space="0" w:color="auto"/>
        <w:bottom w:val="none" w:sz="0" w:space="0" w:color="auto"/>
        <w:right w:val="none" w:sz="0" w:space="0" w:color="auto"/>
      </w:divBdr>
    </w:div>
    <w:div w:id="18306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Francesca</dc:creator>
  <cp:keywords/>
  <dc:description/>
  <cp:lastModifiedBy>Diana Ferla</cp:lastModifiedBy>
  <cp:revision>54</cp:revision>
  <dcterms:created xsi:type="dcterms:W3CDTF">2022-10-28T15:50:00Z</dcterms:created>
  <dcterms:modified xsi:type="dcterms:W3CDTF">2023-09-11T08:39:00Z</dcterms:modified>
</cp:coreProperties>
</file>