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F355C6" w:rsidRDefault="00EA20F2" w:rsidP="00F355C6">
      <w:pPr>
        <w:spacing w:after="0" w:line="20" w:lineRule="atLeast"/>
        <w:jc w:val="both"/>
        <w:rPr>
          <w:rFonts w:ascii="Arial" w:hAnsi="Arial" w:cs="Arial"/>
          <w:b/>
          <w:sz w:val="36"/>
          <w:szCs w:val="36"/>
        </w:rPr>
      </w:pPr>
      <w:bookmarkStart w:id="0" w:name="_Hlk83111918"/>
    </w:p>
    <w:p w14:paraId="20580997" w14:textId="5F298EEB" w:rsidR="00A01F38" w:rsidRPr="00F355C6" w:rsidRDefault="002105F8" w:rsidP="00F355C6">
      <w:pPr>
        <w:spacing w:after="0" w:line="20" w:lineRule="atLeast"/>
        <w:jc w:val="center"/>
        <w:rPr>
          <w:rFonts w:ascii="Arial" w:hAnsi="Arial" w:cs="Arial"/>
          <w:b/>
          <w:sz w:val="36"/>
          <w:szCs w:val="36"/>
        </w:rPr>
      </w:pPr>
      <w:r w:rsidRPr="00F355C6">
        <w:rPr>
          <w:rFonts w:ascii="Arial" w:hAnsi="Arial" w:cs="Arial"/>
          <w:b/>
          <w:sz w:val="36"/>
          <w:szCs w:val="36"/>
        </w:rPr>
        <w:t xml:space="preserve">FLASH </w:t>
      </w:r>
      <w:r w:rsidR="00F355C6" w:rsidRPr="00F355C6">
        <w:rPr>
          <w:rFonts w:ascii="Arial" w:hAnsi="Arial" w:cs="Arial"/>
          <w:b/>
          <w:sz w:val="36"/>
          <w:szCs w:val="36"/>
        </w:rPr>
        <w:t>–</w:t>
      </w:r>
      <w:r w:rsidRPr="00F355C6">
        <w:rPr>
          <w:rFonts w:ascii="Arial" w:hAnsi="Arial" w:cs="Arial"/>
          <w:b/>
          <w:sz w:val="36"/>
          <w:szCs w:val="36"/>
        </w:rPr>
        <w:t xml:space="preserve"> </w:t>
      </w:r>
      <w:r w:rsidR="00B02B61" w:rsidRPr="00F355C6">
        <w:rPr>
          <w:rFonts w:ascii="Arial" w:hAnsi="Arial" w:cs="Arial"/>
          <w:b/>
          <w:sz w:val="36"/>
          <w:szCs w:val="36"/>
        </w:rPr>
        <w:t>BCE</w:t>
      </w:r>
      <w:r w:rsidR="00F355C6" w:rsidRPr="00F355C6">
        <w:rPr>
          <w:rFonts w:ascii="Arial" w:hAnsi="Arial" w:cs="Arial"/>
          <w:b/>
          <w:sz w:val="36"/>
          <w:szCs w:val="36"/>
        </w:rPr>
        <w:t xml:space="preserve">: </w:t>
      </w:r>
      <w:r w:rsidR="00F355C6" w:rsidRPr="00F355C6">
        <w:rPr>
          <w:rFonts w:ascii="Arial" w:hAnsi="Arial" w:cs="Arial"/>
          <w:b/>
          <w:sz w:val="36"/>
          <w:szCs w:val="36"/>
        </w:rPr>
        <w:t>un rialzo da falchi ma un messaggio scritto da super colomba</w:t>
      </w:r>
    </w:p>
    <w:p w14:paraId="6ECD8EF7" w14:textId="77777777" w:rsidR="00C32DFD" w:rsidRPr="00F355C6" w:rsidRDefault="00C32DFD" w:rsidP="00F355C6">
      <w:pPr>
        <w:spacing w:after="0" w:line="20" w:lineRule="atLeast"/>
        <w:jc w:val="center"/>
        <w:rPr>
          <w:rFonts w:ascii="Arial" w:hAnsi="Arial" w:cs="Arial"/>
          <w:bCs/>
          <w:i/>
          <w:iCs/>
          <w:sz w:val="24"/>
          <w:szCs w:val="24"/>
        </w:rPr>
      </w:pPr>
    </w:p>
    <w:p w14:paraId="1199F044" w14:textId="120336BF" w:rsidR="00A76468" w:rsidRPr="00F355C6" w:rsidRDefault="00A76468" w:rsidP="00F355C6">
      <w:pPr>
        <w:spacing w:after="0" w:line="20" w:lineRule="atLeast"/>
        <w:jc w:val="center"/>
        <w:rPr>
          <w:rFonts w:ascii="Arial" w:hAnsi="Arial" w:cs="Arial"/>
          <w:bCs/>
          <w:i/>
          <w:iCs/>
          <w:sz w:val="24"/>
          <w:szCs w:val="24"/>
        </w:rPr>
      </w:pPr>
      <w:r w:rsidRPr="00F355C6">
        <w:rPr>
          <w:rFonts w:ascii="Arial" w:hAnsi="Arial" w:cs="Arial"/>
          <w:bCs/>
          <w:i/>
          <w:iCs/>
          <w:sz w:val="24"/>
          <w:szCs w:val="24"/>
        </w:rPr>
        <w:t>A cura di Antonio Cesarano, Chief Global Strategist, Intermonte</w:t>
      </w:r>
    </w:p>
    <w:bookmarkEnd w:id="0"/>
    <w:p w14:paraId="613A8689" w14:textId="77777777" w:rsidR="00BC43BE" w:rsidRPr="00F355C6" w:rsidRDefault="00BC43BE" w:rsidP="00F355C6">
      <w:pPr>
        <w:tabs>
          <w:tab w:val="left" w:pos="426"/>
        </w:tabs>
        <w:spacing w:after="0" w:line="20" w:lineRule="atLeast"/>
        <w:ind w:right="-1"/>
        <w:jc w:val="center"/>
        <w:rPr>
          <w:rFonts w:ascii="Arial" w:hAnsi="Arial" w:cs="Arial"/>
          <w:b/>
          <w:bCs/>
          <w:i/>
          <w:iCs/>
          <w:spacing w:val="-2"/>
          <w:sz w:val="20"/>
          <w:szCs w:val="20"/>
          <w:u w:val="single"/>
        </w:rPr>
      </w:pPr>
    </w:p>
    <w:p w14:paraId="2C0EB195" w14:textId="77777777" w:rsidR="00F355C6" w:rsidRPr="00F355C6" w:rsidRDefault="00F355C6" w:rsidP="00F355C6">
      <w:pPr>
        <w:spacing w:after="0" w:line="20" w:lineRule="atLeast"/>
        <w:jc w:val="both"/>
        <w:rPr>
          <w:rFonts w:ascii="Arial" w:eastAsia="Times New Roman" w:hAnsi="Arial" w:cs="Arial"/>
          <w:color w:val="000000"/>
          <w:sz w:val="24"/>
          <w:szCs w:val="24"/>
        </w:rPr>
      </w:pPr>
    </w:p>
    <w:p w14:paraId="4ABF5A86" w14:textId="12D36E6E" w:rsidR="00F355C6" w:rsidRDefault="00F355C6" w:rsidP="00F355C6">
      <w:pPr>
        <w:numPr>
          <w:ilvl w:val="0"/>
          <w:numId w:val="71"/>
        </w:numPr>
        <w:spacing w:after="0" w:line="20" w:lineRule="atLeast"/>
        <w:jc w:val="both"/>
        <w:rPr>
          <w:rFonts w:ascii="Arial" w:eastAsia="Times New Roman" w:hAnsi="Arial" w:cs="Arial"/>
          <w:color w:val="000000"/>
          <w:sz w:val="24"/>
          <w:szCs w:val="24"/>
        </w:rPr>
      </w:pPr>
      <w:r w:rsidRPr="00F355C6">
        <w:rPr>
          <w:rFonts w:ascii="Arial" w:eastAsia="Times New Roman" w:hAnsi="Arial" w:cs="Arial"/>
          <w:color w:val="000000"/>
          <w:sz w:val="24"/>
          <w:szCs w:val="24"/>
        </w:rPr>
        <w:t xml:space="preserve">La BCE ha risolto il compromesso tra falchi e colombe concedendo ai falchi il rialzo dei tassi </w:t>
      </w:r>
      <w:r>
        <w:rPr>
          <w:rFonts w:ascii="Arial" w:eastAsia="Times New Roman" w:hAnsi="Arial" w:cs="Arial"/>
          <w:color w:val="000000"/>
          <w:sz w:val="24"/>
          <w:szCs w:val="24"/>
        </w:rPr>
        <w:t xml:space="preserve">e </w:t>
      </w:r>
      <w:r w:rsidRPr="00F355C6">
        <w:rPr>
          <w:rFonts w:ascii="Arial" w:eastAsia="Times New Roman" w:hAnsi="Arial" w:cs="Arial"/>
          <w:color w:val="000000"/>
          <w:sz w:val="24"/>
          <w:szCs w:val="24"/>
        </w:rPr>
        <w:t>concedendo però alle colombe il richiamo esplicito ad una guidance molto vicina all’ipotesi di ultimo rialzo accompagnato da tassi fermi per un periodo di tempo lungo.</w:t>
      </w:r>
    </w:p>
    <w:p w14:paraId="33A96D1A" w14:textId="77777777" w:rsidR="00F355C6" w:rsidRPr="00F355C6" w:rsidRDefault="00F355C6" w:rsidP="00F355C6">
      <w:pPr>
        <w:spacing w:after="0" w:line="20" w:lineRule="atLeast"/>
        <w:ind w:left="720"/>
        <w:jc w:val="both"/>
        <w:rPr>
          <w:rFonts w:ascii="Arial" w:eastAsia="Times New Roman" w:hAnsi="Arial" w:cs="Arial"/>
          <w:color w:val="000000"/>
          <w:sz w:val="24"/>
          <w:szCs w:val="24"/>
        </w:rPr>
      </w:pPr>
    </w:p>
    <w:p w14:paraId="2A00A5C4" w14:textId="54402EBA" w:rsidR="00F355C6" w:rsidRDefault="00F355C6" w:rsidP="00F355C6">
      <w:pPr>
        <w:spacing w:after="0" w:line="20" w:lineRule="atLeast"/>
        <w:jc w:val="both"/>
        <w:rPr>
          <w:rFonts w:ascii="Arial" w:hAnsi="Arial" w:cs="Arial"/>
          <w:i/>
          <w:iCs/>
          <w:color w:val="000000"/>
          <w:sz w:val="24"/>
          <w:szCs w:val="24"/>
          <w:lang w:val="en-US"/>
        </w:rPr>
      </w:pPr>
      <w:r w:rsidRPr="00F355C6">
        <w:rPr>
          <w:rFonts w:ascii="Arial" w:hAnsi="Arial" w:cs="Arial"/>
          <w:i/>
          <w:iCs/>
          <w:color w:val="000000"/>
          <w:sz w:val="24"/>
          <w:szCs w:val="24"/>
          <w:lang w:val="en-US"/>
        </w:rPr>
        <w:t>Based on its current assessment, the Governing Council considers that the key ECB interest rates have reached levels that, maintained for a sufficiently long duration, will make a substantial contribution to the timely return of inflation to the target</w:t>
      </w:r>
      <w:r>
        <w:rPr>
          <w:rFonts w:ascii="Arial" w:hAnsi="Arial" w:cs="Arial"/>
          <w:i/>
          <w:iCs/>
          <w:color w:val="000000"/>
          <w:sz w:val="24"/>
          <w:szCs w:val="24"/>
          <w:lang w:val="en-US"/>
        </w:rPr>
        <w:t>.</w:t>
      </w:r>
    </w:p>
    <w:p w14:paraId="6437C380" w14:textId="77777777" w:rsidR="00F355C6" w:rsidRPr="00F355C6" w:rsidRDefault="00F355C6" w:rsidP="00F355C6">
      <w:pPr>
        <w:spacing w:after="0" w:line="20" w:lineRule="atLeast"/>
        <w:jc w:val="both"/>
        <w:rPr>
          <w:rFonts w:ascii="Arial" w:hAnsi="Arial" w:cs="Arial"/>
          <w:color w:val="000000"/>
          <w:lang w:val="en-GB"/>
        </w:rPr>
      </w:pPr>
    </w:p>
    <w:p w14:paraId="75E416EF" w14:textId="77777777" w:rsidR="00F355C6" w:rsidRPr="00F355C6" w:rsidRDefault="00F355C6" w:rsidP="00F355C6">
      <w:pPr>
        <w:spacing w:after="0" w:line="20" w:lineRule="atLeast"/>
        <w:jc w:val="both"/>
        <w:rPr>
          <w:rFonts w:ascii="Arial" w:hAnsi="Arial" w:cs="Arial"/>
          <w:color w:val="000000"/>
        </w:rPr>
      </w:pPr>
      <w:r w:rsidRPr="00F355C6">
        <w:rPr>
          <w:rFonts w:ascii="Arial" w:hAnsi="Arial" w:cs="Arial"/>
          <w:b/>
          <w:bCs/>
          <w:color w:val="000000"/>
          <w:sz w:val="24"/>
          <w:szCs w:val="24"/>
        </w:rPr>
        <w:t>Più in dettaglio</w:t>
      </w:r>
    </w:p>
    <w:p w14:paraId="4A50BAA5" w14:textId="6080EC40" w:rsidR="00F355C6" w:rsidRDefault="00F355C6" w:rsidP="00F355C6">
      <w:pPr>
        <w:spacing w:after="0" w:line="20" w:lineRule="atLeast"/>
        <w:jc w:val="both"/>
        <w:rPr>
          <w:rFonts w:ascii="Arial" w:hAnsi="Arial" w:cs="Arial"/>
          <w:color w:val="000000"/>
          <w:sz w:val="24"/>
          <w:szCs w:val="24"/>
        </w:rPr>
      </w:pPr>
      <w:r w:rsidRPr="00F355C6">
        <w:rPr>
          <w:rFonts w:ascii="Arial" w:hAnsi="Arial" w:cs="Arial"/>
          <w:color w:val="000000"/>
          <w:sz w:val="24"/>
          <w:szCs w:val="24"/>
        </w:rPr>
        <w:t>Di seguito la tabella aggiornata delle stime BCE con, tra parentesi, quelle di giugno</w:t>
      </w:r>
      <w:r>
        <w:rPr>
          <w:rFonts w:ascii="Arial" w:hAnsi="Arial" w:cs="Arial"/>
          <w:color w:val="000000"/>
          <w:sz w:val="24"/>
          <w:szCs w:val="24"/>
        </w:rPr>
        <w:t>:</w:t>
      </w:r>
    </w:p>
    <w:p w14:paraId="53AB40E4" w14:textId="77777777" w:rsidR="00F355C6" w:rsidRPr="00F355C6" w:rsidRDefault="00F355C6" w:rsidP="00F355C6">
      <w:pPr>
        <w:spacing w:after="0" w:line="20" w:lineRule="atLeast"/>
        <w:jc w:val="both"/>
        <w:rPr>
          <w:rFonts w:ascii="Arial" w:hAnsi="Arial" w:cs="Arial"/>
          <w:color w:val="000000"/>
        </w:rPr>
      </w:pPr>
    </w:p>
    <w:p w14:paraId="16153478" w14:textId="626B483A" w:rsidR="00F355C6" w:rsidRDefault="00F355C6" w:rsidP="00F355C6">
      <w:pPr>
        <w:spacing w:after="0" w:line="20" w:lineRule="atLeast"/>
        <w:jc w:val="center"/>
        <w:rPr>
          <w:rFonts w:ascii="Arial" w:hAnsi="Arial" w:cs="Arial"/>
          <w:color w:val="000000"/>
        </w:rPr>
      </w:pPr>
      <w:r w:rsidRPr="00F355C6">
        <w:rPr>
          <w:rFonts w:ascii="Arial" w:hAnsi="Arial" w:cs="Arial"/>
          <w:noProof/>
          <w:color w:val="000000"/>
          <w:sz w:val="24"/>
          <w:szCs w:val="24"/>
        </w:rPr>
        <w:drawing>
          <wp:inline distT="0" distB="0" distL="0" distR="0" wp14:anchorId="4C989727" wp14:editId="0166DE50">
            <wp:extent cx="2080260" cy="678180"/>
            <wp:effectExtent l="0" t="0" r="15240" b="7620"/>
            <wp:docPr id="271709063" name="Immagine 2" descr="Immagine che contiene testo, Carattere, schermat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09063" name="Immagine 2" descr="Immagine che contiene testo, Carattere, schermata, numero&#10;&#10;Descrizione generata automaticamen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0260" cy="678180"/>
                    </a:xfrm>
                    <a:prstGeom prst="rect">
                      <a:avLst/>
                    </a:prstGeom>
                    <a:noFill/>
                    <a:ln>
                      <a:noFill/>
                    </a:ln>
                  </pic:spPr>
                </pic:pic>
              </a:graphicData>
            </a:graphic>
          </wp:inline>
        </w:drawing>
      </w:r>
    </w:p>
    <w:p w14:paraId="55BEC356" w14:textId="77777777" w:rsidR="00F355C6" w:rsidRPr="00F355C6" w:rsidRDefault="00F355C6" w:rsidP="00F355C6">
      <w:pPr>
        <w:spacing w:after="0" w:line="20" w:lineRule="atLeast"/>
        <w:jc w:val="both"/>
        <w:rPr>
          <w:rFonts w:ascii="Arial" w:hAnsi="Arial" w:cs="Arial"/>
          <w:color w:val="000000"/>
        </w:rPr>
      </w:pPr>
    </w:p>
    <w:p w14:paraId="468AA1FB" w14:textId="6AEAFEA9" w:rsidR="00F355C6" w:rsidRPr="00F355C6" w:rsidRDefault="00F355C6" w:rsidP="00F355C6">
      <w:pPr>
        <w:numPr>
          <w:ilvl w:val="0"/>
          <w:numId w:val="72"/>
        </w:numPr>
        <w:spacing w:after="0" w:line="20" w:lineRule="atLeast"/>
        <w:jc w:val="both"/>
        <w:rPr>
          <w:rFonts w:ascii="Arial" w:eastAsia="Times New Roman" w:hAnsi="Arial" w:cs="Arial"/>
          <w:color w:val="000000"/>
          <w:sz w:val="24"/>
          <w:szCs w:val="24"/>
        </w:rPr>
      </w:pPr>
      <w:r w:rsidRPr="00F355C6">
        <w:rPr>
          <w:rFonts w:ascii="Arial" w:eastAsia="Times New Roman" w:hAnsi="Arial" w:cs="Arial"/>
          <w:color w:val="000000"/>
          <w:sz w:val="24"/>
          <w:szCs w:val="24"/>
        </w:rPr>
        <w:t>La Lagarde ha dipinto una crescita con rischi al ribasso a fronte di uno scenario più contrastato per l’inflazione con rischi al rialzo derivanti dalla componente alimentare ed energetica e rischi al ribasso derivanti dal rallentamento della domanda. Ha inoltre aggiunto che buona parte della revisione al ribasso del taglio della crescita del Pil 2024 è collegat</w:t>
      </w:r>
      <w:r>
        <w:rPr>
          <w:rFonts w:ascii="Arial" w:eastAsia="Times New Roman" w:hAnsi="Arial" w:cs="Arial"/>
          <w:color w:val="000000"/>
          <w:sz w:val="24"/>
          <w:szCs w:val="24"/>
        </w:rPr>
        <w:t>a</w:t>
      </w:r>
      <w:r w:rsidRPr="00F355C6">
        <w:rPr>
          <w:rFonts w:ascii="Arial" w:eastAsia="Times New Roman" w:hAnsi="Arial" w:cs="Arial"/>
          <w:color w:val="000000"/>
          <w:sz w:val="24"/>
          <w:szCs w:val="24"/>
        </w:rPr>
        <w:t xml:space="preserve"> all’effetto trascinamento del 2023.</w:t>
      </w:r>
    </w:p>
    <w:p w14:paraId="4F74F179" w14:textId="54389134" w:rsidR="00F355C6" w:rsidRPr="00F355C6" w:rsidRDefault="00F355C6" w:rsidP="00F355C6">
      <w:pPr>
        <w:numPr>
          <w:ilvl w:val="0"/>
          <w:numId w:val="72"/>
        </w:numPr>
        <w:spacing w:after="0" w:line="20" w:lineRule="atLeast"/>
        <w:jc w:val="both"/>
        <w:rPr>
          <w:rFonts w:ascii="Arial" w:hAnsi="Arial" w:cs="Arial"/>
          <w:color w:val="000000"/>
        </w:rPr>
      </w:pPr>
      <w:r w:rsidRPr="00F355C6">
        <w:rPr>
          <w:rFonts w:ascii="Arial" w:hAnsi="Arial" w:cs="Arial"/>
          <w:color w:val="000000"/>
          <w:sz w:val="24"/>
          <w:szCs w:val="24"/>
        </w:rPr>
        <w:t>Con riferimento all’inflazione rimane comunque uno scenario di persistenza su livelli relativamente elevati ancora per diverso tempo</w:t>
      </w:r>
      <w:r>
        <w:rPr>
          <w:rFonts w:ascii="Arial" w:hAnsi="Arial" w:cs="Arial"/>
          <w:color w:val="000000"/>
          <w:sz w:val="24"/>
          <w:szCs w:val="24"/>
        </w:rPr>
        <w:t>.</w:t>
      </w:r>
    </w:p>
    <w:p w14:paraId="1706A71F" w14:textId="77777777" w:rsidR="00F355C6" w:rsidRPr="00F355C6" w:rsidRDefault="00F355C6" w:rsidP="00F355C6">
      <w:pPr>
        <w:spacing w:after="0" w:line="20" w:lineRule="atLeast"/>
        <w:ind w:left="720"/>
        <w:jc w:val="both"/>
        <w:rPr>
          <w:rFonts w:ascii="Arial" w:hAnsi="Arial" w:cs="Arial"/>
          <w:color w:val="000000"/>
        </w:rPr>
      </w:pPr>
    </w:p>
    <w:p w14:paraId="5460A03F" w14:textId="754616C4" w:rsidR="00F355C6" w:rsidRPr="00F355C6" w:rsidRDefault="00F355C6" w:rsidP="00F355C6">
      <w:pPr>
        <w:spacing w:after="0" w:line="20" w:lineRule="atLeast"/>
        <w:jc w:val="both"/>
        <w:rPr>
          <w:rFonts w:ascii="Arial" w:hAnsi="Arial" w:cs="Arial"/>
          <w:color w:val="000000"/>
          <w:lang w:val="en-GB"/>
        </w:rPr>
      </w:pPr>
      <w:r w:rsidRPr="00F355C6">
        <w:rPr>
          <w:rFonts w:ascii="Arial" w:hAnsi="Arial" w:cs="Arial"/>
          <w:i/>
          <w:iCs/>
          <w:color w:val="000000"/>
          <w:sz w:val="24"/>
          <w:szCs w:val="24"/>
          <w:lang w:val="en-US"/>
        </w:rPr>
        <w:t>Inflation continues to decline but is still expected to remain too high for too long</w:t>
      </w:r>
      <w:r>
        <w:rPr>
          <w:rFonts w:ascii="Arial" w:hAnsi="Arial" w:cs="Arial"/>
          <w:i/>
          <w:iCs/>
          <w:color w:val="000000"/>
          <w:sz w:val="24"/>
          <w:szCs w:val="24"/>
          <w:lang w:val="en-US"/>
        </w:rPr>
        <w:t>.</w:t>
      </w:r>
    </w:p>
    <w:p w14:paraId="19F0834E" w14:textId="77777777" w:rsidR="00F355C6" w:rsidRPr="00F355C6" w:rsidRDefault="00F355C6" w:rsidP="00F355C6">
      <w:pPr>
        <w:spacing w:after="0" w:line="20" w:lineRule="atLeast"/>
        <w:jc w:val="both"/>
        <w:rPr>
          <w:rFonts w:ascii="Arial" w:hAnsi="Arial" w:cs="Arial"/>
          <w:color w:val="000000"/>
          <w:lang w:val="en-GB"/>
        </w:rPr>
      </w:pPr>
      <w:r w:rsidRPr="00F355C6">
        <w:rPr>
          <w:rFonts w:ascii="Arial" w:hAnsi="Arial" w:cs="Arial"/>
          <w:color w:val="000000"/>
          <w:sz w:val="24"/>
          <w:szCs w:val="24"/>
          <w:lang w:val="en-US"/>
        </w:rPr>
        <w:t> </w:t>
      </w:r>
    </w:p>
    <w:p w14:paraId="3AEA08D3" w14:textId="377C01C9" w:rsidR="00F355C6" w:rsidRPr="00F355C6" w:rsidRDefault="00F355C6" w:rsidP="00F355C6">
      <w:pPr>
        <w:numPr>
          <w:ilvl w:val="0"/>
          <w:numId w:val="73"/>
        </w:numPr>
        <w:spacing w:after="0" w:line="20" w:lineRule="atLeast"/>
        <w:jc w:val="both"/>
        <w:rPr>
          <w:rFonts w:ascii="Arial" w:eastAsia="Times New Roman" w:hAnsi="Arial" w:cs="Arial"/>
          <w:color w:val="000000"/>
          <w:sz w:val="24"/>
          <w:szCs w:val="24"/>
        </w:rPr>
      </w:pPr>
      <w:r w:rsidRPr="00F355C6">
        <w:rPr>
          <w:rFonts w:ascii="Arial" w:eastAsia="Times New Roman" w:hAnsi="Arial" w:cs="Arial"/>
          <w:color w:val="000000"/>
          <w:sz w:val="24"/>
          <w:szCs w:val="24"/>
        </w:rPr>
        <w:t xml:space="preserve">Con riferimento all’ipotesi di accelerazione del QT, la Lagarde ha sottolineato che non è stato discusso </w:t>
      </w:r>
      <w:r>
        <w:rPr>
          <w:rFonts w:ascii="Arial" w:eastAsia="Times New Roman" w:hAnsi="Arial" w:cs="Arial"/>
          <w:color w:val="000000"/>
          <w:sz w:val="24"/>
          <w:szCs w:val="24"/>
        </w:rPr>
        <w:t xml:space="preserve">delle </w:t>
      </w:r>
      <w:r w:rsidRPr="00F355C6">
        <w:rPr>
          <w:rFonts w:ascii="Arial" w:eastAsia="Times New Roman" w:hAnsi="Arial" w:cs="Arial"/>
          <w:color w:val="000000"/>
          <w:sz w:val="24"/>
          <w:szCs w:val="24"/>
        </w:rPr>
        <w:t>vendite di titoli dal programma APP e neanche dei reinvestimenti del piano PEPP</w:t>
      </w:r>
      <w:r>
        <w:rPr>
          <w:rFonts w:ascii="Arial" w:eastAsia="Times New Roman" w:hAnsi="Arial" w:cs="Arial"/>
          <w:color w:val="000000"/>
          <w:sz w:val="24"/>
          <w:szCs w:val="24"/>
        </w:rPr>
        <w:t>.</w:t>
      </w:r>
    </w:p>
    <w:p w14:paraId="145563BE" w14:textId="69B83CBE" w:rsidR="00F355C6" w:rsidRPr="00F355C6" w:rsidRDefault="00F355C6" w:rsidP="00DC2F11">
      <w:pPr>
        <w:numPr>
          <w:ilvl w:val="0"/>
          <w:numId w:val="73"/>
        </w:numPr>
        <w:spacing w:after="0" w:line="20" w:lineRule="atLeast"/>
        <w:jc w:val="both"/>
        <w:rPr>
          <w:rFonts w:ascii="Arial" w:hAnsi="Arial" w:cs="Arial"/>
          <w:color w:val="000000"/>
        </w:rPr>
      </w:pPr>
      <w:r w:rsidRPr="00F355C6">
        <w:rPr>
          <w:rFonts w:ascii="Arial" w:hAnsi="Arial" w:cs="Arial"/>
          <w:color w:val="000000"/>
          <w:sz w:val="24"/>
          <w:szCs w:val="24"/>
        </w:rPr>
        <w:t>Infine</w:t>
      </w:r>
      <w:r w:rsidRPr="00F355C6">
        <w:rPr>
          <w:rFonts w:ascii="Arial" w:hAnsi="Arial" w:cs="Arial"/>
          <w:color w:val="000000"/>
          <w:sz w:val="24"/>
          <w:szCs w:val="24"/>
        </w:rPr>
        <w:t>,</w:t>
      </w:r>
      <w:r w:rsidRPr="00F355C6">
        <w:rPr>
          <w:rFonts w:ascii="Arial" w:hAnsi="Arial" w:cs="Arial"/>
          <w:color w:val="000000"/>
          <w:sz w:val="24"/>
          <w:szCs w:val="24"/>
        </w:rPr>
        <w:t xml:space="preserve"> alla domanda se i tassi BCE abbiano raggiunto un picco e su quanto tempo i tassi saranno tenuti fermi ai livelli attuali, la Lagarde ha dichiarato che l’approccio BCE continua ad essere data dependent</w:t>
      </w:r>
      <w:r w:rsidRPr="00F355C6">
        <w:rPr>
          <w:rFonts w:ascii="Arial" w:hAnsi="Arial" w:cs="Arial"/>
          <w:color w:val="000000"/>
          <w:sz w:val="24"/>
          <w:szCs w:val="24"/>
        </w:rPr>
        <w:t>.</w:t>
      </w:r>
    </w:p>
    <w:p w14:paraId="2AE03795" w14:textId="686C1222" w:rsidR="00F355C6" w:rsidRPr="00F355C6" w:rsidRDefault="00F355C6" w:rsidP="00F355C6">
      <w:pPr>
        <w:numPr>
          <w:ilvl w:val="0"/>
          <w:numId w:val="74"/>
        </w:numPr>
        <w:spacing w:after="0" w:line="20" w:lineRule="atLeast"/>
        <w:jc w:val="both"/>
        <w:rPr>
          <w:rFonts w:ascii="Arial" w:hAnsi="Arial" w:cs="Arial"/>
          <w:color w:val="000000"/>
        </w:rPr>
      </w:pPr>
      <w:r w:rsidRPr="00F355C6">
        <w:rPr>
          <w:rFonts w:ascii="Arial" w:hAnsi="Arial" w:cs="Arial"/>
          <w:color w:val="000000"/>
          <w:sz w:val="24"/>
          <w:szCs w:val="24"/>
        </w:rPr>
        <w:t>Il rialzo dei tassi apparentemente suona come una vittoria dei falchi ma di fatto il prezzo chiesto in cambio dalle colombe appare più alto del rialzo “ve</w:t>
      </w:r>
      <w:r>
        <w:rPr>
          <w:rFonts w:ascii="Arial" w:hAnsi="Arial" w:cs="Arial"/>
          <w:color w:val="000000"/>
          <w:sz w:val="24"/>
          <w:szCs w:val="24"/>
        </w:rPr>
        <w:t>n</w:t>
      </w:r>
      <w:r w:rsidRPr="00F355C6">
        <w:rPr>
          <w:rFonts w:ascii="Arial" w:hAnsi="Arial" w:cs="Arial"/>
          <w:color w:val="000000"/>
          <w:sz w:val="24"/>
          <w:szCs w:val="24"/>
        </w:rPr>
        <w:t xml:space="preserve">duto ai falchi”. </w:t>
      </w:r>
    </w:p>
    <w:p w14:paraId="76C11482" w14:textId="511238B0" w:rsidR="00F355C6" w:rsidRPr="00F355C6" w:rsidRDefault="00F355C6" w:rsidP="00F355C6">
      <w:pPr>
        <w:numPr>
          <w:ilvl w:val="0"/>
          <w:numId w:val="74"/>
        </w:numPr>
        <w:spacing w:after="0" w:line="20" w:lineRule="atLeast"/>
        <w:jc w:val="both"/>
        <w:rPr>
          <w:rFonts w:ascii="Arial" w:hAnsi="Arial" w:cs="Arial"/>
          <w:color w:val="000000"/>
        </w:rPr>
      </w:pPr>
      <w:r w:rsidRPr="00F355C6">
        <w:rPr>
          <w:rFonts w:ascii="Arial" w:hAnsi="Arial" w:cs="Arial"/>
          <w:color w:val="000000"/>
          <w:sz w:val="24"/>
          <w:szCs w:val="24"/>
        </w:rPr>
        <w:t>La frase contenente la guidance prima richiamata (e richiamata, letta e scandita più volte dalla Lagarde) fa esplicitamente riferimento al fatto che il livello raggiunto dai tassi, se mantenuto per un periodo sufficientemente lungo, consente di raggiungere il target di inflazione. A ciò si aggiunga la revisione al ribasso dell’inflazione 2025 (da 2,2 a 2,1), ossia molto vicina al target.</w:t>
      </w:r>
    </w:p>
    <w:p w14:paraId="683CC712" w14:textId="0F16DE47" w:rsidR="00F355C6" w:rsidRPr="00F355C6" w:rsidRDefault="00F355C6" w:rsidP="00F355C6">
      <w:pPr>
        <w:numPr>
          <w:ilvl w:val="0"/>
          <w:numId w:val="74"/>
        </w:numPr>
        <w:spacing w:after="0" w:line="20" w:lineRule="atLeast"/>
        <w:jc w:val="both"/>
        <w:rPr>
          <w:rFonts w:ascii="Arial" w:hAnsi="Arial" w:cs="Arial"/>
          <w:color w:val="000000"/>
        </w:rPr>
      </w:pPr>
      <w:r w:rsidRPr="00F355C6">
        <w:rPr>
          <w:rFonts w:ascii="Arial" w:hAnsi="Arial" w:cs="Arial"/>
          <w:color w:val="000000"/>
          <w:sz w:val="24"/>
          <w:szCs w:val="24"/>
        </w:rPr>
        <w:t>Tutti questi fattori, in un contesto di marcato calo della crescita, rappresentano fattori di garanzia per le colombe</w:t>
      </w:r>
      <w:r>
        <w:rPr>
          <w:rFonts w:ascii="Arial" w:hAnsi="Arial" w:cs="Arial"/>
          <w:color w:val="000000"/>
          <w:sz w:val="24"/>
          <w:szCs w:val="24"/>
        </w:rPr>
        <w:t>,</w:t>
      </w:r>
      <w:r w:rsidRPr="00F355C6">
        <w:rPr>
          <w:rFonts w:ascii="Arial" w:hAnsi="Arial" w:cs="Arial"/>
          <w:color w:val="000000"/>
          <w:sz w:val="24"/>
          <w:szCs w:val="24"/>
        </w:rPr>
        <w:t xml:space="preserve"> con il rialzo di oggi il lavoro della Bce è arrivato al capolinea</w:t>
      </w:r>
      <w:r>
        <w:rPr>
          <w:rFonts w:ascii="Arial" w:hAnsi="Arial" w:cs="Arial"/>
          <w:color w:val="000000"/>
          <w:sz w:val="24"/>
          <w:szCs w:val="24"/>
        </w:rPr>
        <w:t>.</w:t>
      </w:r>
    </w:p>
    <w:p w14:paraId="7EADE383" w14:textId="541CE8BF" w:rsidR="00F355C6" w:rsidRPr="00F355C6" w:rsidRDefault="00F355C6" w:rsidP="00F355C6">
      <w:pPr>
        <w:numPr>
          <w:ilvl w:val="0"/>
          <w:numId w:val="74"/>
        </w:numPr>
        <w:spacing w:after="0" w:line="20" w:lineRule="atLeast"/>
        <w:jc w:val="both"/>
        <w:rPr>
          <w:rFonts w:ascii="Arial" w:hAnsi="Arial" w:cs="Arial"/>
          <w:color w:val="000000"/>
        </w:rPr>
      </w:pPr>
      <w:r w:rsidRPr="00F355C6">
        <w:rPr>
          <w:rFonts w:ascii="Arial" w:hAnsi="Arial" w:cs="Arial"/>
          <w:color w:val="000000"/>
          <w:sz w:val="24"/>
          <w:szCs w:val="24"/>
        </w:rPr>
        <w:lastRenderedPageBreak/>
        <w:t>Utilizzando una metafora, è come se un proprietario di casa sommerso da offerte di acquisto, fosse entrato in agenzia con l’idea di non vendere la casa ma ne fosse uscito vendendola (contrariamente alle sue intenzioni) ad un prezzo ben più alto di quello di mercato</w:t>
      </w:r>
      <w:r>
        <w:rPr>
          <w:rFonts w:ascii="Arial" w:hAnsi="Arial" w:cs="Arial"/>
          <w:color w:val="000000"/>
          <w:sz w:val="24"/>
          <w:szCs w:val="24"/>
        </w:rPr>
        <w:t>.</w:t>
      </w:r>
    </w:p>
    <w:p w14:paraId="6CAF1DBD" w14:textId="77777777" w:rsidR="00F355C6" w:rsidRPr="00F355C6" w:rsidRDefault="00F355C6" w:rsidP="00F355C6">
      <w:pPr>
        <w:spacing w:after="0" w:line="20" w:lineRule="atLeast"/>
        <w:ind w:left="720"/>
        <w:jc w:val="both"/>
        <w:rPr>
          <w:rFonts w:ascii="Arial" w:hAnsi="Arial" w:cs="Arial"/>
          <w:color w:val="000000"/>
        </w:rPr>
      </w:pPr>
    </w:p>
    <w:p w14:paraId="6FFE20F5" w14:textId="5EC203E9" w:rsidR="00F355C6" w:rsidRPr="00F355C6" w:rsidRDefault="00F355C6" w:rsidP="00F355C6">
      <w:pPr>
        <w:spacing w:after="0" w:line="20" w:lineRule="atLeast"/>
        <w:jc w:val="both"/>
        <w:rPr>
          <w:rFonts w:ascii="Arial" w:hAnsi="Arial" w:cs="Arial"/>
          <w:color w:val="000000"/>
        </w:rPr>
      </w:pPr>
      <w:r w:rsidRPr="00F355C6">
        <w:rPr>
          <w:rFonts w:ascii="Arial" w:hAnsi="Arial" w:cs="Arial"/>
          <w:color w:val="000000"/>
          <w:sz w:val="24"/>
          <w:szCs w:val="24"/>
        </w:rPr>
        <w:t>In sintesi,</w:t>
      </w:r>
      <w:r w:rsidRPr="00F355C6">
        <w:rPr>
          <w:rFonts w:ascii="Arial" w:hAnsi="Arial" w:cs="Arial"/>
          <w:color w:val="000000"/>
          <w:sz w:val="24"/>
          <w:szCs w:val="24"/>
        </w:rPr>
        <w:t xml:space="preserve"> </w:t>
      </w:r>
      <w:r w:rsidRPr="00F355C6">
        <w:rPr>
          <w:rFonts w:ascii="Arial" w:hAnsi="Arial" w:cs="Arial"/>
          <w:b/>
          <w:bCs/>
          <w:color w:val="000000"/>
          <w:sz w:val="24"/>
          <w:szCs w:val="24"/>
        </w:rPr>
        <w:t>un rialzo da falchi con un messaggio (la guidance insieme al ribasso stime di inflazione 2025) esplicito da colomba</w:t>
      </w:r>
      <w:r>
        <w:rPr>
          <w:rFonts w:ascii="Arial" w:hAnsi="Arial" w:cs="Arial"/>
          <w:b/>
          <w:bCs/>
          <w:color w:val="000000"/>
          <w:sz w:val="24"/>
          <w:szCs w:val="24"/>
        </w:rPr>
        <w:t>.</w:t>
      </w:r>
    </w:p>
    <w:p w14:paraId="03434753" w14:textId="77777777" w:rsidR="00F355C6" w:rsidRPr="00F355C6" w:rsidRDefault="00F355C6" w:rsidP="00F355C6">
      <w:pPr>
        <w:spacing w:after="0" w:line="20" w:lineRule="atLeast"/>
        <w:jc w:val="both"/>
        <w:rPr>
          <w:rFonts w:ascii="Arial" w:hAnsi="Arial" w:cs="Arial"/>
          <w:color w:val="000000"/>
        </w:rPr>
      </w:pPr>
      <w:r w:rsidRPr="00F355C6">
        <w:rPr>
          <w:rFonts w:ascii="Arial" w:hAnsi="Arial" w:cs="Arial"/>
          <w:color w:val="000000"/>
          <w:sz w:val="24"/>
          <w:szCs w:val="24"/>
        </w:rPr>
        <w:t> </w:t>
      </w:r>
    </w:p>
    <w:p w14:paraId="4713F96B" w14:textId="1ABAA3E2" w:rsidR="00F355C6" w:rsidRPr="00F355C6" w:rsidRDefault="00F355C6" w:rsidP="00F355C6">
      <w:pPr>
        <w:spacing w:after="0" w:line="20" w:lineRule="atLeast"/>
        <w:jc w:val="both"/>
        <w:rPr>
          <w:rFonts w:ascii="Arial" w:hAnsi="Arial" w:cs="Arial"/>
          <w:color w:val="000000"/>
        </w:rPr>
      </w:pPr>
      <w:r w:rsidRPr="00F355C6">
        <w:rPr>
          <w:rFonts w:ascii="Arial" w:hAnsi="Arial" w:cs="Arial"/>
          <w:color w:val="000000"/>
          <w:sz w:val="24"/>
          <w:szCs w:val="24"/>
        </w:rPr>
        <w:t>REAZIONE MERCATI</w:t>
      </w:r>
      <w:r>
        <w:rPr>
          <w:rFonts w:ascii="Arial" w:hAnsi="Arial" w:cs="Arial"/>
          <w:color w:val="000000"/>
          <w:sz w:val="24"/>
          <w:szCs w:val="24"/>
        </w:rPr>
        <w:t>:</w:t>
      </w:r>
    </w:p>
    <w:p w14:paraId="6454558A" w14:textId="77777777" w:rsidR="00F355C6" w:rsidRPr="00F355C6" w:rsidRDefault="00F355C6" w:rsidP="00F355C6">
      <w:pPr>
        <w:numPr>
          <w:ilvl w:val="0"/>
          <w:numId w:val="75"/>
        </w:numPr>
        <w:spacing w:after="0" w:line="20" w:lineRule="atLeast"/>
        <w:jc w:val="both"/>
        <w:rPr>
          <w:rFonts w:ascii="Arial" w:eastAsia="Times New Roman" w:hAnsi="Arial" w:cs="Arial"/>
          <w:color w:val="000000"/>
          <w:sz w:val="24"/>
          <w:szCs w:val="24"/>
        </w:rPr>
      </w:pPr>
      <w:r w:rsidRPr="00F355C6">
        <w:rPr>
          <w:rFonts w:ascii="Arial" w:eastAsia="Times New Roman" w:hAnsi="Arial" w:cs="Arial"/>
          <w:color w:val="000000"/>
          <w:sz w:val="24"/>
          <w:szCs w:val="24"/>
        </w:rPr>
        <w:t>Il rialzo di oggi consente agli operatori di ribilanciare il peso attribuito al focus sui fattori macro, aumentano quello del rallentamento della crescita a svantaggio dell’inflazione. </w:t>
      </w:r>
    </w:p>
    <w:p w14:paraId="12626D8C" w14:textId="052DD911" w:rsidR="00F355C6" w:rsidRPr="00F355C6" w:rsidRDefault="00F355C6" w:rsidP="00F355C6">
      <w:pPr>
        <w:numPr>
          <w:ilvl w:val="1"/>
          <w:numId w:val="75"/>
        </w:numPr>
        <w:spacing w:after="0" w:line="20" w:lineRule="atLeast"/>
        <w:jc w:val="both"/>
        <w:rPr>
          <w:rFonts w:ascii="Arial" w:eastAsia="Times New Roman" w:hAnsi="Arial" w:cs="Arial"/>
          <w:color w:val="000000"/>
          <w:sz w:val="24"/>
          <w:szCs w:val="24"/>
        </w:rPr>
      </w:pPr>
      <w:r w:rsidRPr="00F355C6">
        <w:rPr>
          <w:rFonts w:ascii="Arial" w:eastAsia="Times New Roman" w:hAnsi="Arial" w:cs="Arial"/>
          <w:color w:val="000000"/>
          <w:sz w:val="24"/>
          <w:szCs w:val="24"/>
        </w:rPr>
        <w:t xml:space="preserve">Il tutto si sintetizza con uno scenario che il rialzo di oggi sia anche l’ultimo del </w:t>
      </w:r>
      <w:r>
        <w:rPr>
          <w:rFonts w:ascii="Arial" w:eastAsia="Times New Roman" w:hAnsi="Arial" w:cs="Arial"/>
          <w:color w:val="000000"/>
          <w:sz w:val="24"/>
          <w:szCs w:val="24"/>
        </w:rPr>
        <w:t>l</w:t>
      </w:r>
      <w:r w:rsidRPr="00F355C6">
        <w:rPr>
          <w:rFonts w:ascii="Arial" w:eastAsia="Times New Roman" w:hAnsi="Arial" w:cs="Arial"/>
          <w:color w:val="000000"/>
          <w:sz w:val="24"/>
          <w:szCs w:val="24"/>
        </w:rPr>
        <w:t xml:space="preserve">ungo ciclo BCE. </w:t>
      </w:r>
    </w:p>
    <w:p w14:paraId="6511423D" w14:textId="4AED0AFC" w:rsidR="00F355C6" w:rsidRPr="00F355C6" w:rsidRDefault="00F355C6" w:rsidP="00F355C6">
      <w:pPr>
        <w:numPr>
          <w:ilvl w:val="0"/>
          <w:numId w:val="75"/>
        </w:numPr>
        <w:spacing w:after="0" w:line="20" w:lineRule="atLeast"/>
        <w:jc w:val="both"/>
        <w:rPr>
          <w:rFonts w:ascii="Arial" w:hAnsi="Arial" w:cs="Arial"/>
          <w:color w:val="000000"/>
        </w:rPr>
      </w:pPr>
      <w:r w:rsidRPr="00F355C6">
        <w:rPr>
          <w:rFonts w:ascii="Arial" w:hAnsi="Arial" w:cs="Arial"/>
          <w:color w:val="000000"/>
          <w:sz w:val="24"/>
          <w:szCs w:val="24"/>
        </w:rPr>
        <w:t>I tassi pertanto calano maggiormente in area euro e l’euro rompe al ribasso la soglia di 1,07 consentendo alle borse di festeggiare la potenziale fine della lunga fase di rialzo tassi.</w:t>
      </w:r>
    </w:p>
    <w:p w14:paraId="622708B5" w14:textId="02CB4D07" w:rsidR="00F355C6" w:rsidRPr="00F355C6" w:rsidRDefault="00F355C6" w:rsidP="00F355C6">
      <w:pPr>
        <w:numPr>
          <w:ilvl w:val="0"/>
          <w:numId w:val="75"/>
        </w:numPr>
        <w:spacing w:after="0" w:line="20" w:lineRule="atLeast"/>
        <w:jc w:val="both"/>
        <w:rPr>
          <w:rFonts w:ascii="Arial" w:hAnsi="Arial" w:cs="Arial"/>
          <w:color w:val="000000"/>
        </w:rPr>
      </w:pPr>
      <w:r w:rsidRPr="00F355C6">
        <w:rPr>
          <w:rFonts w:ascii="Arial" w:hAnsi="Arial" w:cs="Arial"/>
          <w:color w:val="000000"/>
          <w:sz w:val="24"/>
          <w:szCs w:val="24"/>
        </w:rPr>
        <w:t>Conseguenza ulteriore l’abbassamento delle attese dei tassi future Euribor 3 mesi dal 2025 in poi come da grafico allegato</w:t>
      </w:r>
      <w:r>
        <w:rPr>
          <w:rFonts w:ascii="Arial" w:hAnsi="Arial" w:cs="Arial"/>
          <w:color w:val="000000"/>
          <w:sz w:val="24"/>
          <w:szCs w:val="24"/>
        </w:rPr>
        <w:t>.</w:t>
      </w:r>
    </w:p>
    <w:p w14:paraId="0E85ECD6" w14:textId="77777777" w:rsidR="00F355C6" w:rsidRPr="00F355C6" w:rsidRDefault="00F355C6" w:rsidP="00F355C6">
      <w:pPr>
        <w:spacing w:after="0" w:line="20" w:lineRule="atLeast"/>
        <w:jc w:val="both"/>
        <w:rPr>
          <w:rFonts w:ascii="Arial" w:hAnsi="Arial" w:cs="Arial"/>
          <w:color w:val="000000"/>
        </w:rPr>
      </w:pPr>
    </w:p>
    <w:p w14:paraId="42DB827E" w14:textId="6D7AED0A" w:rsidR="00F355C6" w:rsidRPr="00F355C6" w:rsidRDefault="00F355C6" w:rsidP="00F355C6">
      <w:pPr>
        <w:spacing w:after="0" w:line="20" w:lineRule="atLeast"/>
        <w:jc w:val="center"/>
        <w:rPr>
          <w:rFonts w:ascii="Arial" w:eastAsia="Times New Roman" w:hAnsi="Arial" w:cs="Arial"/>
          <w:color w:val="000000"/>
          <w:sz w:val="24"/>
          <w:szCs w:val="24"/>
        </w:rPr>
      </w:pPr>
      <w:r w:rsidRPr="00F355C6">
        <w:rPr>
          <w:rFonts w:ascii="Arial" w:eastAsia="Times New Roman" w:hAnsi="Arial" w:cs="Arial"/>
          <w:noProof/>
          <w:color w:val="000000"/>
          <w:sz w:val="24"/>
          <w:szCs w:val="24"/>
        </w:rPr>
        <w:drawing>
          <wp:inline distT="0" distB="0" distL="0" distR="0" wp14:anchorId="14EB9062" wp14:editId="1B1AB102">
            <wp:extent cx="4461346" cy="5006340"/>
            <wp:effectExtent l="0" t="0" r="0" b="3810"/>
            <wp:docPr id="6943982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69053" cy="5014988"/>
                    </a:xfrm>
                    <a:prstGeom prst="rect">
                      <a:avLst/>
                    </a:prstGeom>
                    <a:noFill/>
                    <a:ln>
                      <a:noFill/>
                    </a:ln>
                  </pic:spPr>
                </pic:pic>
              </a:graphicData>
            </a:graphic>
          </wp:inline>
        </w:drawing>
      </w:r>
    </w:p>
    <w:p w14:paraId="7A29F0D0" w14:textId="77777777" w:rsidR="00F355C6" w:rsidRPr="00F355C6" w:rsidRDefault="00F355C6" w:rsidP="00F355C6">
      <w:pPr>
        <w:pStyle w:val="NormaleWeb"/>
        <w:spacing w:line="20" w:lineRule="atLeast"/>
        <w:jc w:val="both"/>
        <w:rPr>
          <w:rFonts w:ascii="Arial" w:hAnsi="Arial" w:cs="Arial"/>
          <w:color w:val="000000"/>
        </w:rPr>
      </w:pPr>
    </w:p>
    <w:p w14:paraId="360861FC" w14:textId="77777777" w:rsidR="00F355C6" w:rsidRPr="00F355C6" w:rsidRDefault="00F355C6" w:rsidP="00F355C6">
      <w:pPr>
        <w:pStyle w:val="NormaleWeb"/>
        <w:spacing w:line="20" w:lineRule="atLeast"/>
        <w:jc w:val="both"/>
        <w:rPr>
          <w:rFonts w:ascii="Arial" w:hAnsi="Arial" w:cs="Arial"/>
          <w:color w:val="000000"/>
        </w:rPr>
      </w:pPr>
    </w:p>
    <w:p w14:paraId="3E1820E2" w14:textId="77777777" w:rsidR="00C32DFD" w:rsidRPr="00F355C6" w:rsidRDefault="00C32DFD" w:rsidP="00F355C6">
      <w:pPr>
        <w:tabs>
          <w:tab w:val="left" w:pos="426"/>
        </w:tabs>
        <w:spacing w:after="0" w:line="20" w:lineRule="atLeast"/>
        <w:ind w:right="-1"/>
        <w:jc w:val="both"/>
        <w:rPr>
          <w:rFonts w:ascii="Arial" w:hAnsi="Arial" w:cs="Arial"/>
          <w:b/>
          <w:bCs/>
          <w:i/>
          <w:iCs/>
          <w:spacing w:val="-2"/>
          <w:sz w:val="18"/>
          <w:szCs w:val="18"/>
          <w:u w:val="single"/>
        </w:rPr>
      </w:pPr>
    </w:p>
    <w:p w14:paraId="5C48FA2F" w14:textId="77777777" w:rsidR="00C32DFD" w:rsidRPr="00F355C6" w:rsidRDefault="00C32DFD" w:rsidP="00F355C6">
      <w:pPr>
        <w:tabs>
          <w:tab w:val="left" w:pos="426"/>
        </w:tabs>
        <w:spacing w:after="0" w:line="20" w:lineRule="atLeast"/>
        <w:ind w:right="-1"/>
        <w:jc w:val="both"/>
        <w:rPr>
          <w:rFonts w:ascii="Arial" w:hAnsi="Arial" w:cs="Arial"/>
          <w:b/>
          <w:bCs/>
          <w:i/>
          <w:iCs/>
          <w:spacing w:val="-2"/>
          <w:sz w:val="18"/>
          <w:szCs w:val="18"/>
          <w:u w:val="single"/>
        </w:rPr>
      </w:pPr>
    </w:p>
    <w:p w14:paraId="44F71473" w14:textId="77777777" w:rsidR="00C32DFD" w:rsidRPr="00F355C6" w:rsidRDefault="00C32DFD" w:rsidP="00F355C6">
      <w:pPr>
        <w:tabs>
          <w:tab w:val="left" w:pos="426"/>
        </w:tabs>
        <w:spacing w:after="0" w:line="20" w:lineRule="atLeast"/>
        <w:ind w:right="-1"/>
        <w:jc w:val="both"/>
        <w:rPr>
          <w:rFonts w:ascii="Arial" w:hAnsi="Arial" w:cs="Arial"/>
          <w:b/>
          <w:bCs/>
          <w:i/>
          <w:iCs/>
          <w:spacing w:val="-2"/>
          <w:sz w:val="18"/>
          <w:szCs w:val="18"/>
          <w:u w:val="single"/>
        </w:rPr>
      </w:pPr>
    </w:p>
    <w:p w14:paraId="7FCD3608" w14:textId="76B2D089" w:rsidR="00BC43BE" w:rsidRPr="00F355C6" w:rsidRDefault="00BC43BE" w:rsidP="00F355C6">
      <w:pPr>
        <w:tabs>
          <w:tab w:val="left" w:pos="426"/>
        </w:tabs>
        <w:spacing w:after="0" w:line="20" w:lineRule="atLeast"/>
        <w:ind w:right="-1"/>
        <w:jc w:val="both"/>
        <w:rPr>
          <w:rFonts w:ascii="Arial" w:hAnsi="Arial" w:cs="Arial"/>
          <w:b/>
          <w:bCs/>
          <w:i/>
          <w:iCs/>
          <w:spacing w:val="-2"/>
          <w:sz w:val="18"/>
          <w:szCs w:val="18"/>
          <w:u w:val="single"/>
        </w:rPr>
      </w:pPr>
      <w:r w:rsidRPr="00F355C6">
        <w:rPr>
          <w:rFonts w:ascii="Arial" w:hAnsi="Arial" w:cs="Arial"/>
          <w:b/>
          <w:bCs/>
          <w:i/>
          <w:iCs/>
          <w:spacing w:val="-2"/>
          <w:sz w:val="18"/>
          <w:szCs w:val="18"/>
          <w:u w:val="single"/>
        </w:rPr>
        <w:t xml:space="preserve">INTERMONTE </w:t>
      </w:r>
    </w:p>
    <w:p w14:paraId="7E9EC2DE" w14:textId="77777777" w:rsidR="00BC43BE" w:rsidRPr="00F355C6" w:rsidRDefault="00BC43BE" w:rsidP="00F355C6">
      <w:pPr>
        <w:pStyle w:val="Paragrafoelenco"/>
        <w:spacing w:after="0" w:line="20" w:lineRule="atLeast"/>
        <w:ind w:left="0"/>
        <w:jc w:val="both"/>
        <w:rPr>
          <w:rFonts w:ascii="Arial" w:hAnsi="Arial" w:cs="Arial"/>
          <w:color w:val="000000"/>
          <w:sz w:val="18"/>
          <w:szCs w:val="18"/>
        </w:rPr>
      </w:pPr>
      <w:r w:rsidRPr="00F355C6">
        <w:rPr>
          <w:rFonts w:ascii="Arial" w:hAnsi="Arial" w:cs="Arial"/>
          <w:color w:val="000000"/>
          <w:sz w:val="18"/>
          <w:szCs w:val="18"/>
        </w:rPr>
        <w:t>Intermonte è una Investment bank indipendente leader in Italia e punto di riferimento per gli investitori istituzionali italiani e internazionali nel segmento delle mid &amp; small caps. Quotata sul mercato Euronext Growth Milan di Borsa Italiana, presenta un modello di business diversificato su quattro linee di attività, “Investment Banking”, “Sales &amp; Trading”, Global Markets” e “Digital Division &amp; Advisory”. L’Investment Banking offre servizi rivolti a imprese quotate e non quotate in operazioni straordinarie, incluse operazioni di Equity Capital Markets, M&amp;A e Debt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Division &amp; Advisory” è attiva nel risparmio gestito e consulenza agli investimenti. Websim è specializzata in produzione di contenuti finanziari destinati a investitori retail. T.I.E. - The Intermonte Eye - è l’area riservata a consulenti finanziari e private banker.</w:t>
      </w:r>
    </w:p>
    <w:p w14:paraId="2BA6C97E" w14:textId="77777777" w:rsidR="00BC43BE" w:rsidRPr="00F355C6" w:rsidRDefault="00BC43BE" w:rsidP="00F355C6">
      <w:pPr>
        <w:pStyle w:val="Paragrafoelenco"/>
        <w:spacing w:after="0" w:line="20" w:lineRule="atLeast"/>
        <w:ind w:left="0"/>
        <w:jc w:val="both"/>
        <w:rPr>
          <w:rFonts w:ascii="Arial" w:hAnsi="Arial" w:cs="Arial"/>
          <w:b/>
          <w:i/>
          <w:sz w:val="18"/>
          <w:szCs w:val="18"/>
        </w:rPr>
      </w:pPr>
    </w:p>
    <w:p w14:paraId="388CB094" w14:textId="77777777" w:rsidR="00BC43BE" w:rsidRPr="00F355C6" w:rsidRDefault="00BC43BE" w:rsidP="00F355C6">
      <w:pPr>
        <w:pStyle w:val="Paragrafoelenco"/>
        <w:spacing w:after="0" w:line="20" w:lineRule="atLeast"/>
        <w:ind w:left="0"/>
        <w:jc w:val="both"/>
        <w:rPr>
          <w:rFonts w:ascii="Arial" w:hAnsi="Arial" w:cs="Arial"/>
          <w:b/>
          <w:i/>
          <w:sz w:val="18"/>
          <w:szCs w:val="18"/>
        </w:rPr>
      </w:pPr>
    </w:p>
    <w:p w14:paraId="085EF463" w14:textId="77777777" w:rsidR="00BC43BE" w:rsidRPr="00F355C6" w:rsidRDefault="00BC43BE" w:rsidP="00F355C6">
      <w:pPr>
        <w:pStyle w:val="Paragrafoelenco"/>
        <w:spacing w:after="0" w:line="20" w:lineRule="atLeast"/>
        <w:ind w:left="0"/>
        <w:jc w:val="both"/>
        <w:rPr>
          <w:rFonts w:ascii="Arial" w:hAnsi="Arial" w:cs="Arial"/>
          <w:b/>
          <w:i/>
          <w:sz w:val="18"/>
          <w:szCs w:val="18"/>
        </w:rPr>
      </w:pPr>
      <w:r w:rsidRPr="00F355C6">
        <w:rPr>
          <w:rFonts w:ascii="Arial" w:hAnsi="Arial" w:cs="Arial"/>
          <w:b/>
          <w:i/>
          <w:sz w:val="18"/>
          <w:szCs w:val="18"/>
        </w:rPr>
        <w:t xml:space="preserve">Contatti per la stampa: </w:t>
      </w:r>
    </w:p>
    <w:p w14:paraId="3DD22C8B" w14:textId="77777777" w:rsidR="00BC43BE" w:rsidRPr="00F355C6" w:rsidRDefault="00BC43BE" w:rsidP="00F355C6">
      <w:pPr>
        <w:pStyle w:val="Paragrafoelenco"/>
        <w:spacing w:after="0" w:line="20" w:lineRule="atLeast"/>
        <w:ind w:left="0"/>
        <w:jc w:val="both"/>
        <w:rPr>
          <w:rFonts w:ascii="Arial" w:hAnsi="Arial" w:cs="Arial"/>
          <w:b/>
          <w:i/>
          <w:sz w:val="18"/>
          <w:szCs w:val="18"/>
        </w:rPr>
      </w:pPr>
      <w:r w:rsidRPr="00F355C6">
        <w:rPr>
          <w:rFonts w:ascii="Arial" w:hAnsi="Arial" w:cs="Arial"/>
          <w:b/>
          <w:i/>
          <w:sz w:val="18"/>
          <w:szCs w:val="18"/>
        </w:rPr>
        <w:t>BC Communication</w:t>
      </w:r>
    </w:p>
    <w:p w14:paraId="43039B46" w14:textId="77777777" w:rsidR="00BC43BE" w:rsidRPr="00F355C6" w:rsidRDefault="00BC43BE" w:rsidP="00F355C6">
      <w:pPr>
        <w:pStyle w:val="Paragrafoelenco"/>
        <w:spacing w:after="0" w:line="20" w:lineRule="atLeast"/>
        <w:ind w:left="0"/>
        <w:jc w:val="both"/>
        <w:rPr>
          <w:rFonts w:ascii="Arial" w:hAnsi="Arial" w:cs="Arial"/>
          <w:b/>
          <w:i/>
          <w:sz w:val="18"/>
          <w:szCs w:val="18"/>
        </w:rPr>
      </w:pPr>
      <w:r w:rsidRPr="00F355C6">
        <w:rPr>
          <w:rFonts w:ascii="Arial" w:hAnsi="Arial" w:cs="Arial"/>
          <w:b/>
          <w:i/>
          <w:sz w:val="18"/>
          <w:szCs w:val="18"/>
        </w:rPr>
        <w:t xml:space="preserve">Beatrice Cagnoni </w:t>
      </w:r>
      <w:r w:rsidRPr="00F355C6">
        <w:rPr>
          <w:rFonts w:ascii="Arial" w:hAnsi="Arial" w:cs="Arial"/>
          <w:bCs/>
          <w:i/>
          <w:sz w:val="18"/>
          <w:szCs w:val="18"/>
        </w:rPr>
        <w:t xml:space="preserve">– </w:t>
      </w:r>
      <w:hyperlink r:id="rId12" w:history="1">
        <w:r w:rsidRPr="00F355C6">
          <w:rPr>
            <w:rStyle w:val="Collegamentoipertestuale"/>
            <w:rFonts w:ascii="Arial" w:hAnsi="Arial" w:cs="Arial"/>
            <w:i/>
            <w:sz w:val="18"/>
            <w:szCs w:val="18"/>
          </w:rPr>
          <w:t>beatrice.cagnoni@bc-communication.it</w:t>
        </w:r>
      </w:hyperlink>
      <w:r w:rsidRPr="00F355C6">
        <w:rPr>
          <w:rStyle w:val="Collegamentoipertestuale"/>
          <w:rFonts w:ascii="Arial" w:hAnsi="Arial" w:cs="Arial"/>
          <w:i/>
          <w:sz w:val="18"/>
          <w:szCs w:val="18"/>
          <w:u w:val="none"/>
        </w:rPr>
        <w:t xml:space="preserve"> </w:t>
      </w:r>
      <w:r w:rsidRPr="00F355C6">
        <w:rPr>
          <w:rFonts w:ascii="Arial" w:hAnsi="Arial" w:cs="Arial"/>
          <w:bCs/>
          <w:i/>
          <w:sz w:val="18"/>
          <w:szCs w:val="18"/>
        </w:rPr>
        <w:t xml:space="preserve">– </w:t>
      </w:r>
      <w:r w:rsidRPr="00F355C6">
        <w:rPr>
          <w:rFonts w:ascii="Arial" w:hAnsi="Arial" w:cs="Arial"/>
          <w:b/>
          <w:i/>
          <w:sz w:val="18"/>
          <w:szCs w:val="18"/>
        </w:rPr>
        <w:t>+39 335 5635111</w:t>
      </w:r>
    </w:p>
    <w:p w14:paraId="7F81618D" w14:textId="0C768423" w:rsidR="00A76468" w:rsidRPr="00F355C6" w:rsidRDefault="00BC43BE" w:rsidP="00F355C6">
      <w:pPr>
        <w:pStyle w:val="Paragrafoelenco"/>
        <w:spacing w:after="0" w:line="20" w:lineRule="atLeast"/>
        <w:ind w:left="0"/>
        <w:jc w:val="both"/>
        <w:rPr>
          <w:rFonts w:ascii="Arial" w:hAnsi="Arial" w:cs="Arial"/>
          <w:b/>
          <w:i/>
          <w:sz w:val="18"/>
          <w:szCs w:val="18"/>
        </w:rPr>
      </w:pPr>
      <w:r w:rsidRPr="00F355C6">
        <w:rPr>
          <w:rFonts w:ascii="Arial" w:hAnsi="Arial" w:cs="Arial"/>
          <w:b/>
          <w:i/>
          <w:sz w:val="18"/>
          <w:szCs w:val="18"/>
        </w:rPr>
        <w:t xml:space="preserve">Federica Guerrini </w:t>
      </w:r>
      <w:r w:rsidRPr="00F355C6">
        <w:rPr>
          <w:rFonts w:ascii="Arial" w:hAnsi="Arial" w:cs="Arial"/>
          <w:bCs/>
          <w:i/>
          <w:sz w:val="18"/>
          <w:szCs w:val="18"/>
        </w:rPr>
        <w:t xml:space="preserve">– </w:t>
      </w:r>
      <w:hyperlink r:id="rId13" w:history="1">
        <w:r w:rsidRPr="00F355C6">
          <w:rPr>
            <w:rStyle w:val="Collegamentoipertestuale"/>
            <w:rFonts w:ascii="Arial" w:hAnsi="Arial" w:cs="Arial"/>
            <w:bCs/>
            <w:i/>
            <w:sz w:val="18"/>
            <w:szCs w:val="18"/>
          </w:rPr>
          <w:t>federica.guerrini@bc-communication.it</w:t>
        </w:r>
      </w:hyperlink>
      <w:r w:rsidRPr="00F355C6">
        <w:rPr>
          <w:rFonts w:ascii="Arial" w:hAnsi="Arial" w:cs="Arial"/>
          <w:bCs/>
          <w:i/>
          <w:sz w:val="18"/>
          <w:szCs w:val="18"/>
        </w:rPr>
        <w:t xml:space="preserve"> - </w:t>
      </w:r>
      <w:r w:rsidRPr="00F355C6">
        <w:rPr>
          <w:rFonts w:ascii="Arial" w:hAnsi="Arial" w:cs="Arial"/>
          <w:b/>
          <w:i/>
          <w:sz w:val="18"/>
          <w:szCs w:val="18"/>
        </w:rPr>
        <w:t>+39 340 7500862</w:t>
      </w:r>
    </w:p>
    <w:sectPr w:rsidR="00A76468" w:rsidRPr="00F355C6" w:rsidSect="00BC43BE">
      <w:footerReference w:type="default" r:id="rId14"/>
      <w:headerReference w:type="first" r:id="rId15"/>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B90A" w14:textId="77777777" w:rsidR="002C0BB3" w:rsidRDefault="002C0BB3" w:rsidP="00652E76">
      <w:pPr>
        <w:spacing w:after="0" w:line="240" w:lineRule="auto"/>
      </w:pPr>
      <w:r>
        <w:separator/>
      </w:r>
    </w:p>
  </w:endnote>
  <w:endnote w:type="continuationSeparator" w:id="0">
    <w:p w14:paraId="510370AF" w14:textId="77777777" w:rsidR="002C0BB3" w:rsidRDefault="002C0BB3"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3C12" w14:textId="77777777" w:rsidR="002C0BB3" w:rsidRDefault="002C0BB3" w:rsidP="00652E76">
      <w:pPr>
        <w:spacing w:after="0" w:line="240" w:lineRule="auto"/>
      </w:pPr>
      <w:r>
        <w:separator/>
      </w:r>
    </w:p>
  </w:footnote>
  <w:footnote w:type="continuationSeparator" w:id="0">
    <w:p w14:paraId="2C23CF7F" w14:textId="77777777" w:rsidR="002C0BB3" w:rsidRDefault="002C0BB3"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CF225D"/>
    <w:multiLevelType w:val="multilevel"/>
    <w:tmpl w:val="F3DA9A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C27083"/>
    <w:multiLevelType w:val="multilevel"/>
    <w:tmpl w:val="235AA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DF6983"/>
    <w:multiLevelType w:val="multilevel"/>
    <w:tmpl w:val="45A8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03C16"/>
    <w:multiLevelType w:val="multilevel"/>
    <w:tmpl w:val="92FC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824444"/>
    <w:multiLevelType w:val="multilevel"/>
    <w:tmpl w:val="6F9AC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873761"/>
    <w:multiLevelType w:val="multilevel"/>
    <w:tmpl w:val="8332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B442DF"/>
    <w:multiLevelType w:val="multilevel"/>
    <w:tmpl w:val="5FCC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752799"/>
    <w:multiLevelType w:val="multilevel"/>
    <w:tmpl w:val="8746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B94D78"/>
    <w:multiLevelType w:val="multilevel"/>
    <w:tmpl w:val="95F4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055F88"/>
    <w:multiLevelType w:val="multilevel"/>
    <w:tmpl w:val="42E8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6D7074"/>
    <w:multiLevelType w:val="multilevel"/>
    <w:tmpl w:val="A37A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942DED"/>
    <w:multiLevelType w:val="multilevel"/>
    <w:tmpl w:val="2220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0F2D37"/>
    <w:multiLevelType w:val="multilevel"/>
    <w:tmpl w:val="BB46E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E915A0"/>
    <w:multiLevelType w:val="multilevel"/>
    <w:tmpl w:val="AA38D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271356"/>
    <w:multiLevelType w:val="multilevel"/>
    <w:tmpl w:val="DEC0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EE582E"/>
    <w:multiLevelType w:val="multilevel"/>
    <w:tmpl w:val="3170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285B46"/>
    <w:multiLevelType w:val="multilevel"/>
    <w:tmpl w:val="8B64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FC1EC0"/>
    <w:multiLevelType w:val="multilevel"/>
    <w:tmpl w:val="B4C46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EC3C67"/>
    <w:multiLevelType w:val="multilevel"/>
    <w:tmpl w:val="01905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5503198"/>
    <w:multiLevelType w:val="multilevel"/>
    <w:tmpl w:val="C450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9B0441"/>
    <w:multiLevelType w:val="multilevel"/>
    <w:tmpl w:val="A366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E84C0A"/>
    <w:multiLevelType w:val="multilevel"/>
    <w:tmpl w:val="DEA6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E91291"/>
    <w:multiLevelType w:val="multilevel"/>
    <w:tmpl w:val="F200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C73580"/>
    <w:multiLevelType w:val="multilevel"/>
    <w:tmpl w:val="4E66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0D7853"/>
    <w:multiLevelType w:val="multilevel"/>
    <w:tmpl w:val="D39EE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535714"/>
    <w:multiLevelType w:val="multilevel"/>
    <w:tmpl w:val="E9E24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CB30B2"/>
    <w:multiLevelType w:val="multilevel"/>
    <w:tmpl w:val="9EF80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BE37F3"/>
    <w:multiLevelType w:val="multilevel"/>
    <w:tmpl w:val="2AFC4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403FD4"/>
    <w:multiLevelType w:val="multilevel"/>
    <w:tmpl w:val="B72EE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69662E"/>
    <w:multiLevelType w:val="multilevel"/>
    <w:tmpl w:val="66D4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B24E8C"/>
    <w:multiLevelType w:val="multilevel"/>
    <w:tmpl w:val="4152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D254D2"/>
    <w:multiLevelType w:val="multilevel"/>
    <w:tmpl w:val="87D6B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AE6156"/>
    <w:multiLevelType w:val="multilevel"/>
    <w:tmpl w:val="BFA4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6C3BA4"/>
    <w:multiLevelType w:val="multilevel"/>
    <w:tmpl w:val="8CAAE8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11"/>
  </w:num>
  <w:num w:numId="7" w16cid:durableId="75442133">
    <w:abstractNumId w:val="57"/>
  </w:num>
  <w:num w:numId="8" w16cid:durableId="1502354731">
    <w:abstractNumId w:val="49"/>
  </w:num>
  <w:num w:numId="9" w16cid:durableId="1159007046">
    <w:abstractNumId w:val="70"/>
  </w:num>
  <w:num w:numId="10" w16cid:durableId="1071583816">
    <w:abstractNumId w:val="20"/>
  </w:num>
  <w:num w:numId="11" w16cid:durableId="1773238840">
    <w:abstractNumId w:val="61"/>
  </w:num>
  <w:num w:numId="12" w16cid:durableId="1475416074">
    <w:abstractNumId w:val="35"/>
  </w:num>
  <w:num w:numId="13" w16cid:durableId="1911310375">
    <w:abstractNumId w:val="29"/>
  </w:num>
  <w:num w:numId="14" w16cid:durableId="562133050">
    <w:abstractNumId w:val="40"/>
  </w:num>
  <w:num w:numId="15" w16cid:durableId="911350417">
    <w:abstractNumId w:val="68"/>
  </w:num>
  <w:num w:numId="16" w16cid:durableId="211770006">
    <w:abstractNumId w:val="28"/>
  </w:num>
  <w:num w:numId="17" w16cid:durableId="1675844259">
    <w:abstractNumId w:val="47"/>
  </w:num>
  <w:num w:numId="18" w16cid:durableId="1945729841">
    <w:abstractNumId w:val="26"/>
  </w:num>
  <w:num w:numId="19" w16cid:durableId="1849246288">
    <w:abstractNumId w:val="38"/>
  </w:num>
  <w:num w:numId="20" w16cid:durableId="1664627395">
    <w:abstractNumId w:val="55"/>
  </w:num>
  <w:num w:numId="21" w16cid:durableId="1930195021">
    <w:abstractNumId w:val="27"/>
  </w:num>
  <w:num w:numId="22" w16cid:durableId="1230382549">
    <w:abstractNumId w:val="33"/>
  </w:num>
  <w:num w:numId="23" w16cid:durableId="1602834213">
    <w:abstractNumId w:val="39"/>
  </w:num>
  <w:num w:numId="24" w16cid:durableId="236979604">
    <w:abstractNumId w:val="42"/>
  </w:num>
  <w:num w:numId="25" w16cid:durableId="1730954519">
    <w:abstractNumId w:val="30"/>
  </w:num>
  <w:num w:numId="26" w16cid:durableId="832911448">
    <w:abstractNumId w:val="46"/>
  </w:num>
  <w:num w:numId="27" w16cid:durableId="1350520802">
    <w:abstractNumId w:val="66"/>
  </w:num>
  <w:num w:numId="28" w16cid:durableId="2033845447">
    <w:abstractNumId w:val="9"/>
  </w:num>
  <w:num w:numId="29" w16cid:durableId="294414855">
    <w:abstractNumId w:val="51"/>
  </w:num>
  <w:num w:numId="30" w16cid:durableId="556012639">
    <w:abstractNumId w:val="71"/>
  </w:num>
  <w:num w:numId="31" w16cid:durableId="1600408554">
    <w:abstractNumId w:val="52"/>
  </w:num>
  <w:num w:numId="32" w16cid:durableId="1904828800">
    <w:abstractNumId w:val="7"/>
  </w:num>
  <w:num w:numId="33" w16cid:durableId="348222447">
    <w:abstractNumId w:val="74"/>
  </w:num>
  <w:num w:numId="34" w16cid:durableId="1788115590">
    <w:abstractNumId w:val="32"/>
  </w:num>
  <w:num w:numId="35" w16cid:durableId="354310954">
    <w:abstractNumId w:val="62"/>
  </w:num>
  <w:num w:numId="36" w16cid:durableId="135339046">
    <w:abstractNumId w:val="72"/>
  </w:num>
  <w:num w:numId="37" w16cid:durableId="1060129259">
    <w:abstractNumId w:val="18"/>
  </w:num>
  <w:num w:numId="38" w16cid:durableId="441917527">
    <w:abstractNumId w:val="15"/>
  </w:num>
  <w:num w:numId="39" w16cid:durableId="454492761">
    <w:abstractNumId w:val="54"/>
  </w:num>
  <w:num w:numId="40" w16cid:durableId="1477141141">
    <w:abstractNumId w:val="54"/>
  </w:num>
  <w:num w:numId="41" w16cid:durableId="1286542535">
    <w:abstractNumId w:val="23"/>
  </w:num>
  <w:num w:numId="42" w16cid:durableId="907417395">
    <w:abstractNumId w:val="67"/>
  </w:num>
  <w:num w:numId="43" w16cid:durableId="237640234">
    <w:abstractNumId w:val="64"/>
  </w:num>
  <w:num w:numId="44" w16cid:durableId="780763063">
    <w:abstractNumId w:val="44"/>
  </w:num>
  <w:num w:numId="45" w16cid:durableId="233198967">
    <w:abstractNumId w:val="8"/>
  </w:num>
  <w:num w:numId="46" w16cid:durableId="1793862398">
    <w:abstractNumId w:val="75"/>
  </w:num>
  <w:num w:numId="47" w16cid:durableId="726416046">
    <w:abstractNumId w:val="48"/>
  </w:num>
  <w:num w:numId="48" w16cid:durableId="1861629224">
    <w:abstractNumId w:val="16"/>
  </w:num>
  <w:num w:numId="49" w16cid:durableId="781802156">
    <w:abstractNumId w:val="24"/>
  </w:num>
  <w:num w:numId="50" w16cid:durableId="347610504">
    <w:abstractNumId w:val="25"/>
  </w:num>
  <w:num w:numId="51" w16cid:durableId="1675958090">
    <w:abstractNumId w:val="19"/>
  </w:num>
  <w:num w:numId="52" w16cid:durableId="1726296821">
    <w:abstractNumId w:val="60"/>
  </w:num>
  <w:num w:numId="53" w16cid:durableId="105128339">
    <w:abstractNumId w:val="22"/>
  </w:num>
  <w:num w:numId="54" w16cid:durableId="777528200">
    <w:abstractNumId w:val="36"/>
  </w:num>
  <w:num w:numId="55" w16cid:durableId="1927035647">
    <w:abstractNumId w:val="41"/>
  </w:num>
  <w:num w:numId="56" w16cid:durableId="391542200">
    <w:abstractNumId w:val="31"/>
  </w:num>
  <w:num w:numId="57" w16cid:durableId="1677686559">
    <w:abstractNumId w:val="73"/>
  </w:num>
  <w:num w:numId="58" w16cid:durableId="1813137580">
    <w:abstractNumId w:val="12"/>
  </w:num>
  <w:num w:numId="59" w16cid:durableId="1215392438">
    <w:abstractNumId w:val="53"/>
  </w:num>
  <w:num w:numId="60" w16cid:durableId="1760060308">
    <w:abstractNumId w:val="45"/>
  </w:num>
  <w:num w:numId="61" w16cid:durableId="598103438">
    <w:abstractNumId w:val="10"/>
  </w:num>
  <w:num w:numId="62" w16cid:durableId="1232740122">
    <w:abstractNumId w:val="13"/>
  </w:num>
  <w:num w:numId="63" w16cid:durableId="1887641720">
    <w:abstractNumId w:val="50"/>
  </w:num>
  <w:num w:numId="64" w16cid:durableId="2004428683">
    <w:abstractNumId w:val="59"/>
  </w:num>
  <w:num w:numId="65" w16cid:durableId="979647563">
    <w:abstractNumId w:val="56"/>
  </w:num>
  <w:num w:numId="66" w16cid:durableId="1721977859">
    <w:abstractNumId w:val="58"/>
  </w:num>
  <w:num w:numId="67" w16cid:durableId="987435692">
    <w:abstractNumId w:val="37"/>
  </w:num>
  <w:num w:numId="68" w16cid:durableId="637999260">
    <w:abstractNumId w:val="34"/>
  </w:num>
  <w:num w:numId="69" w16cid:durableId="635987111">
    <w:abstractNumId w:val="69"/>
  </w:num>
  <w:num w:numId="70" w16cid:durableId="209542150">
    <w:abstractNumId w:val="43"/>
  </w:num>
  <w:num w:numId="71" w16cid:durableId="1474106300">
    <w:abstractNumId w:val="63"/>
    <w:lvlOverride w:ilvl="0"/>
    <w:lvlOverride w:ilvl="1"/>
    <w:lvlOverride w:ilvl="2"/>
    <w:lvlOverride w:ilvl="3"/>
    <w:lvlOverride w:ilvl="4"/>
    <w:lvlOverride w:ilvl="5"/>
    <w:lvlOverride w:ilvl="6"/>
    <w:lvlOverride w:ilvl="7"/>
    <w:lvlOverride w:ilvl="8"/>
  </w:num>
  <w:num w:numId="72" w16cid:durableId="1982686861">
    <w:abstractNumId w:val="17"/>
    <w:lvlOverride w:ilvl="0"/>
    <w:lvlOverride w:ilvl="1"/>
    <w:lvlOverride w:ilvl="2"/>
    <w:lvlOverride w:ilvl="3"/>
    <w:lvlOverride w:ilvl="4"/>
    <w:lvlOverride w:ilvl="5"/>
    <w:lvlOverride w:ilvl="6"/>
    <w:lvlOverride w:ilvl="7"/>
    <w:lvlOverride w:ilvl="8"/>
  </w:num>
  <w:num w:numId="73" w16cid:durableId="1491676812">
    <w:abstractNumId w:val="14"/>
    <w:lvlOverride w:ilvl="0"/>
    <w:lvlOverride w:ilvl="1"/>
    <w:lvlOverride w:ilvl="2"/>
    <w:lvlOverride w:ilvl="3"/>
    <w:lvlOverride w:ilvl="4"/>
    <w:lvlOverride w:ilvl="5"/>
    <w:lvlOverride w:ilvl="6"/>
    <w:lvlOverride w:ilvl="7"/>
    <w:lvlOverride w:ilvl="8"/>
  </w:num>
  <w:num w:numId="74" w16cid:durableId="683940922">
    <w:abstractNumId w:val="65"/>
    <w:lvlOverride w:ilvl="0"/>
    <w:lvlOverride w:ilvl="1"/>
    <w:lvlOverride w:ilvl="2"/>
    <w:lvlOverride w:ilvl="3"/>
    <w:lvlOverride w:ilvl="4"/>
    <w:lvlOverride w:ilvl="5"/>
    <w:lvlOverride w:ilvl="6"/>
    <w:lvlOverride w:ilvl="7"/>
    <w:lvlOverride w:ilvl="8"/>
  </w:num>
  <w:num w:numId="75" w16cid:durableId="1818185603">
    <w:abstractNumId w:val="2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17E"/>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3537"/>
    <w:rsid w:val="001A4887"/>
    <w:rsid w:val="001A4A32"/>
    <w:rsid w:val="001A559E"/>
    <w:rsid w:val="001A5F18"/>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05F8"/>
    <w:rsid w:val="0021277C"/>
    <w:rsid w:val="00214796"/>
    <w:rsid w:val="00215699"/>
    <w:rsid w:val="00216645"/>
    <w:rsid w:val="00217006"/>
    <w:rsid w:val="00221AAE"/>
    <w:rsid w:val="00221C58"/>
    <w:rsid w:val="002220FF"/>
    <w:rsid w:val="002224EE"/>
    <w:rsid w:val="00225A08"/>
    <w:rsid w:val="002300BF"/>
    <w:rsid w:val="002322C9"/>
    <w:rsid w:val="00234867"/>
    <w:rsid w:val="00235263"/>
    <w:rsid w:val="00235885"/>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95AB1"/>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0BB3"/>
    <w:rsid w:val="002C13EC"/>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906"/>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2543"/>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5756F"/>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1E1"/>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50B"/>
    <w:rsid w:val="00432688"/>
    <w:rsid w:val="00432AF7"/>
    <w:rsid w:val="00433C71"/>
    <w:rsid w:val="00434C01"/>
    <w:rsid w:val="00434D91"/>
    <w:rsid w:val="00434FFA"/>
    <w:rsid w:val="00436428"/>
    <w:rsid w:val="0044110E"/>
    <w:rsid w:val="00441446"/>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53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555"/>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4AE"/>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1F0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1AB"/>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B47"/>
    <w:rsid w:val="00A01F38"/>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2B61"/>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609A"/>
    <w:rsid w:val="00BB7699"/>
    <w:rsid w:val="00BC0682"/>
    <w:rsid w:val="00BC0D35"/>
    <w:rsid w:val="00BC43BE"/>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2DFD"/>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A6C7E"/>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AF3"/>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302"/>
    <w:rsid w:val="00CF4701"/>
    <w:rsid w:val="00CF558D"/>
    <w:rsid w:val="00CF74E7"/>
    <w:rsid w:val="00CF7B28"/>
    <w:rsid w:val="00CF7DA4"/>
    <w:rsid w:val="00D00FCD"/>
    <w:rsid w:val="00D01984"/>
    <w:rsid w:val="00D02367"/>
    <w:rsid w:val="00D02490"/>
    <w:rsid w:val="00D0263D"/>
    <w:rsid w:val="00D02EDB"/>
    <w:rsid w:val="00D05CB3"/>
    <w:rsid w:val="00D05F0A"/>
    <w:rsid w:val="00D10F52"/>
    <w:rsid w:val="00D149AC"/>
    <w:rsid w:val="00D14A1D"/>
    <w:rsid w:val="00D17A36"/>
    <w:rsid w:val="00D2007C"/>
    <w:rsid w:val="00D208BB"/>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64"/>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4DA"/>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5C6"/>
    <w:rsid w:val="00F35774"/>
    <w:rsid w:val="00F37F20"/>
    <w:rsid w:val="00F402FA"/>
    <w:rsid w:val="00F40911"/>
    <w:rsid w:val="00F40981"/>
    <w:rsid w:val="00F40A74"/>
    <w:rsid w:val="00F41BE1"/>
    <w:rsid w:val="00F44542"/>
    <w:rsid w:val="00F44CD8"/>
    <w:rsid w:val="00F455D0"/>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965C0"/>
    <w:rsid w:val="00FA020B"/>
    <w:rsid w:val="00FA22E1"/>
    <w:rsid w:val="00FA2D9D"/>
    <w:rsid w:val="00FA2FFB"/>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3AA2"/>
    <w:rsid w:val="00FD5F3F"/>
    <w:rsid w:val="00FD7F90"/>
    <w:rsid w:val="00FE1D3A"/>
    <w:rsid w:val="00FE2392"/>
    <w:rsid w:val="00FE3063"/>
    <w:rsid w:val="00FE3EE2"/>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 w:type="character" w:customStyle="1" w:styleId="contentpasted0">
    <w:name w:val="contentpasted0"/>
    <w:basedOn w:val="Carpredefinitoparagrafo"/>
    <w:rsid w:val="00F9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29231334">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296179501">
      <w:bodyDiv w:val="1"/>
      <w:marLeft w:val="0"/>
      <w:marRight w:val="0"/>
      <w:marTop w:val="0"/>
      <w:marBottom w:val="0"/>
      <w:divBdr>
        <w:top w:val="none" w:sz="0" w:space="0" w:color="auto"/>
        <w:left w:val="none" w:sz="0" w:space="0" w:color="auto"/>
        <w:bottom w:val="none" w:sz="0" w:space="0" w:color="auto"/>
        <w:right w:val="none" w:sz="0" w:space="0" w:color="auto"/>
      </w:divBdr>
    </w:div>
    <w:div w:id="321660072">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07198195">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313572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2172">
      <w:bodyDiv w:val="1"/>
      <w:marLeft w:val="0"/>
      <w:marRight w:val="0"/>
      <w:marTop w:val="0"/>
      <w:marBottom w:val="0"/>
      <w:divBdr>
        <w:top w:val="none" w:sz="0" w:space="0" w:color="auto"/>
        <w:left w:val="none" w:sz="0" w:space="0" w:color="auto"/>
        <w:bottom w:val="none" w:sz="0" w:space="0" w:color="auto"/>
        <w:right w:val="none" w:sz="0" w:space="0" w:color="auto"/>
      </w:divBdr>
    </w:div>
    <w:div w:id="1568761675">
      <w:bodyDiv w:val="1"/>
      <w:marLeft w:val="0"/>
      <w:marRight w:val="0"/>
      <w:marTop w:val="0"/>
      <w:marBottom w:val="0"/>
      <w:divBdr>
        <w:top w:val="none" w:sz="0" w:space="0" w:color="auto"/>
        <w:left w:val="none" w:sz="0" w:space="0" w:color="auto"/>
        <w:bottom w:val="none" w:sz="0" w:space="0" w:color="auto"/>
        <w:right w:val="none" w:sz="0" w:space="0" w:color="auto"/>
      </w:divBdr>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59792954">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75215989">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054034921">
      <w:bodyDiv w:val="1"/>
      <w:marLeft w:val="0"/>
      <w:marRight w:val="0"/>
      <w:marTop w:val="0"/>
      <w:marBottom w:val="0"/>
      <w:divBdr>
        <w:top w:val="none" w:sz="0" w:space="0" w:color="auto"/>
        <w:left w:val="none" w:sz="0" w:space="0" w:color="auto"/>
        <w:bottom w:val="none" w:sz="0" w:space="0" w:color="auto"/>
        <w:right w:val="none" w:sz="0" w:space="0" w:color="auto"/>
      </w:divBdr>
    </w:div>
    <w:div w:id="2100371502">
      <w:bodyDiv w:val="1"/>
      <w:marLeft w:val="0"/>
      <w:marRight w:val="0"/>
      <w:marTop w:val="0"/>
      <w:marBottom w:val="0"/>
      <w:divBdr>
        <w:top w:val="none" w:sz="0" w:space="0" w:color="auto"/>
        <w:left w:val="none" w:sz="0" w:space="0" w:color="auto"/>
        <w:bottom w:val="none" w:sz="0" w:space="0" w:color="auto"/>
        <w:right w:val="none" w:sz="0" w:space="0" w:color="auto"/>
      </w:divBdr>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derica.guerrini@bc-communicati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rice.cagnoni@bc-communicatio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01d39311-e105-4aa1-ae30-742dcc80916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c3ed2fc0-e365-4139-9761-a59c6a9b7af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791</Words>
  <Characters>4509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Info BC Communication</cp:lastModifiedBy>
  <cp:revision>4</cp:revision>
  <cp:lastPrinted>2023-03-23T08:36:00Z</cp:lastPrinted>
  <dcterms:created xsi:type="dcterms:W3CDTF">2023-09-11T15:45:00Z</dcterms:created>
  <dcterms:modified xsi:type="dcterms:W3CDTF">2023-09-14T14:22:00Z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