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B747" w14:textId="64E7E435" w:rsidR="00FB72C7" w:rsidRPr="003B79C7" w:rsidRDefault="00D336B2" w:rsidP="00FB72C7">
      <w:pPr>
        <w:rPr>
          <w:rFonts w:ascii="Calibri" w:hAnsi="Calibri" w:cs="Calibri"/>
          <w:b/>
          <w:bCs/>
          <w:kern w:val="0"/>
          <w:sz w:val="22"/>
          <w:szCs w:val="22"/>
          <w:lang w:val="it-IT"/>
        </w:rPr>
      </w:pPr>
      <w:r w:rsidRPr="003B79C7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 xml:space="preserve">T. Rowe Price - </w:t>
      </w:r>
      <w:r w:rsidR="009910FE" w:rsidRPr="003B79C7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 xml:space="preserve">Mercati emergenti: </w:t>
      </w:r>
      <w:r w:rsidRPr="003B79C7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>allentamento dei tassi in arrivo</w:t>
      </w:r>
    </w:p>
    <w:p w14:paraId="49F87A1F" w14:textId="77777777" w:rsidR="00F979F9" w:rsidRDefault="00F979F9" w:rsidP="00FB72C7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</w:rPr>
      </w:pPr>
    </w:p>
    <w:p w14:paraId="25586A77" w14:textId="40319A47" w:rsidR="00FB72C7" w:rsidRPr="003B79C7" w:rsidRDefault="00FB72C7" w:rsidP="00FB72C7">
      <w:pPr>
        <w:autoSpaceDE w:val="0"/>
        <w:autoSpaceDN w:val="0"/>
        <w:adjustRightInd w:val="0"/>
        <w:rPr>
          <w:rFonts w:ascii="Calibri" w:hAnsi="Calibri" w:cs="Calibri"/>
          <w:b/>
          <w:bCs/>
          <w:kern w:val="0"/>
          <w:sz w:val="22"/>
          <w:szCs w:val="22"/>
        </w:rPr>
      </w:pPr>
      <w:r w:rsidRPr="003B79C7">
        <w:rPr>
          <w:rFonts w:ascii="Calibri" w:hAnsi="Calibri" w:cs="Calibri"/>
          <w:kern w:val="0"/>
          <w:sz w:val="22"/>
          <w:szCs w:val="22"/>
        </w:rPr>
        <w:t>A cura di</w:t>
      </w:r>
      <w:r w:rsidRPr="003B79C7">
        <w:rPr>
          <w:rFonts w:ascii="Calibri" w:hAnsi="Calibri" w:cs="Calibri"/>
          <w:b/>
          <w:bCs/>
          <w:kern w:val="0"/>
          <w:sz w:val="22"/>
          <w:szCs w:val="22"/>
        </w:rPr>
        <w:t xml:space="preserve"> Chris Kushlis, Chief of China and Emerging Markets Macro Strategy, T. Rowe Price</w:t>
      </w:r>
    </w:p>
    <w:p w14:paraId="6FF708D0" w14:textId="77777777" w:rsidR="00FB72C7" w:rsidRPr="003B79C7" w:rsidRDefault="00FB72C7" w:rsidP="00FB72C7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</w:rPr>
      </w:pPr>
    </w:p>
    <w:p w14:paraId="04115AFD" w14:textId="0B336A9E" w:rsidR="00FB72C7" w:rsidRPr="003B79C7" w:rsidRDefault="00C67047" w:rsidP="00FB72C7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it-IT"/>
        </w:rPr>
      </w:pPr>
      <w:r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Dopo una solida performance nel primo semestre, </w:t>
      </w:r>
      <w:r w:rsidR="000113F9" w:rsidRPr="003B79C7">
        <w:rPr>
          <w:rFonts w:ascii="Calibri" w:hAnsi="Calibri" w:cs="Calibri"/>
          <w:kern w:val="0"/>
          <w:sz w:val="22"/>
          <w:szCs w:val="22"/>
          <w:lang w:val="it-IT"/>
        </w:rPr>
        <w:t>per i mercati emergenti s</w:t>
      </w:r>
      <w:r w:rsidRPr="003B79C7">
        <w:rPr>
          <w:rFonts w:ascii="Calibri" w:hAnsi="Calibri" w:cs="Calibri"/>
          <w:kern w:val="0"/>
          <w:sz w:val="22"/>
          <w:szCs w:val="22"/>
          <w:lang w:val="it-IT"/>
        </w:rPr>
        <w:t>i prospetta</w:t>
      </w:r>
      <w:r w:rsidR="000113F9"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 una conclusione dell’anno simile ai mesi precedenti</w:t>
      </w:r>
      <w:r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, ma sarà importante tenere d’occhio la Cina e capire se il rallentamento del </w:t>
      </w:r>
      <w:r w:rsidR="000113F9" w:rsidRPr="003B79C7">
        <w:rPr>
          <w:rFonts w:ascii="Calibri" w:hAnsi="Calibri" w:cs="Calibri"/>
          <w:kern w:val="0"/>
          <w:sz w:val="22"/>
          <w:szCs w:val="22"/>
          <w:lang w:val="it-IT"/>
        </w:rPr>
        <w:t>Dragon</w:t>
      </w:r>
      <w:r w:rsidR="00242C0A" w:rsidRPr="003B79C7">
        <w:rPr>
          <w:rFonts w:ascii="Calibri" w:hAnsi="Calibri" w:cs="Calibri"/>
          <w:kern w:val="0"/>
          <w:sz w:val="22"/>
          <w:szCs w:val="22"/>
          <w:lang w:val="it-IT"/>
        </w:rPr>
        <w:t>e</w:t>
      </w:r>
      <w:r w:rsidR="000113F9"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 </w:t>
      </w:r>
      <w:r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trascinerà il resto degli </w:t>
      </w:r>
      <w:r w:rsidR="000113F9"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emergenti </w:t>
      </w:r>
      <w:r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e peserà sul sentiment. Per il momento, vediamo una certa resistenza sul fronte della crescita, mentre l’inflazione è scesa rapidamente. Sul fronte della politica monetaria, </w:t>
      </w:r>
      <w:r w:rsidRPr="00000570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 xml:space="preserve">diversi </w:t>
      </w:r>
      <w:r w:rsidR="000113F9" w:rsidRPr="00000570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>p</w:t>
      </w:r>
      <w:r w:rsidRPr="00000570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>aesi sono posizionati per avviare presto un ciclo di riduzione dei tassi d’interesse</w:t>
      </w:r>
      <w:r w:rsidR="000113F9" w:rsidRPr="00000570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 xml:space="preserve">, </w:t>
      </w:r>
      <w:r w:rsidRPr="00000570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>anticipando i loro omologhi dei mercati sviluppati</w:t>
      </w:r>
      <w:r w:rsidR="000113F9" w:rsidRPr="003B79C7">
        <w:rPr>
          <w:rFonts w:ascii="Calibri" w:hAnsi="Calibri" w:cs="Calibri"/>
          <w:kern w:val="0"/>
          <w:sz w:val="22"/>
          <w:szCs w:val="22"/>
          <w:lang w:val="it-IT"/>
        </w:rPr>
        <w:t>.</w:t>
      </w:r>
      <w:r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 </w:t>
      </w:r>
      <w:r w:rsidR="000113F9" w:rsidRPr="003B79C7">
        <w:rPr>
          <w:rFonts w:ascii="Calibri" w:hAnsi="Calibri" w:cs="Calibri"/>
          <w:kern w:val="0"/>
          <w:sz w:val="22"/>
          <w:szCs w:val="22"/>
          <w:lang w:val="it-IT"/>
        </w:rPr>
        <w:t>Questo</w:t>
      </w:r>
      <w:r w:rsidR="00242C0A"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 </w:t>
      </w:r>
      <w:r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è un segnale incoraggiante </w:t>
      </w:r>
      <w:r w:rsidR="000113F9" w:rsidRPr="003B79C7">
        <w:rPr>
          <w:rFonts w:ascii="Calibri" w:hAnsi="Calibri" w:cs="Calibri"/>
          <w:kern w:val="0"/>
          <w:sz w:val="22"/>
          <w:szCs w:val="22"/>
          <w:lang w:val="it-IT"/>
        </w:rPr>
        <w:t>visto</w:t>
      </w:r>
      <w:r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 che gli </w:t>
      </w:r>
      <w:r w:rsidR="000113F9"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emergenti </w:t>
      </w:r>
      <w:r w:rsidRPr="003B79C7">
        <w:rPr>
          <w:rFonts w:ascii="Calibri" w:hAnsi="Calibri" w:cs="Calibri"/>
          <w:kern w:val="0"/>
          <w:sz w:val="22"/>
          <w:szCs w:val="22"/>
          <w:lang w:val="it-IT"/>
        </w:rPr>
        <w:t>stanno maturando come asset class.</w:t>
      </w:r>
    </w:p>
    <w:p w14:paraId="2F369201" w14:textId="77777777" w:rsidR="00FB72C7" w:rsidRPr="003B79C7" w:rsidRDefault="00FB72C7" w:rsidP="00FB72C7">
      <w:pPr>
        <w:autoSpaceDE w:val="0"/>
        <w:autoSpaceDN w:val="0"/>
        <w:adjustRightInd w:val="0"/>
        <w:rPr>
          <w:rFonts w:ascii="Calibri" w:hAnsi="Calibri" w:cs="Calibri"/>
          <w:b/>
          <w:bCs/>
          <w:kern w:val="0"/>
          <w:sz w:val="22"/>
          <w:szCs w:val="22"/>
          <w:lang w:val="it-IT"/>
        </w:rPr>
      </w:pPr>
    </w:p>
    <w:p w14:paraId="145A3F56" w14:textId="3517539B" w:rsidR="00C67047" w:rsidRPr="00000570" w:rsidRDefault="00686D02" w:rsidP="00FB72C7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u w:val="single"/>
          <w:lang w:val="it-IT"/>
        </w:rPr>
      </w:pPr>
      <w:r w:rsidRPr="00000570">
        <w:rPr>
          <w:rFonts w:ascii="Calibri" w:hAnsi="Calibri" w:cs="Calibri"/>
          <w:kern w:val="0"/>
          <w:sz w:val="22"/>
          <w:szCs w:val="22"/>
          <w:u w:val="single"/>
          <w:lang w:val="it-IT"/>
        </w:rPr>
        <w:t>Inizia un nuovo c</w:t>
      </w:r>
      <w:r w:rsidR="00C67047" w:rsidRPr="00000570">
        <w:rPr>
          <w:rFonts w:ascii="Calibri" w:hAnsi="Calibri" w:cs="Calibri"/>
          <w:kern w:val="0"/>
          <w:sz w:val="22"/>
          <w:szCs w:val="22"/>
          <w:u w:val="single"/>
          <w:lang w:val="it-IT"/>
        </w:rPr>
        <w:t>iclo di politica monetaria</w:t>
      </w:r>
    </w:p>
    <w:p w14:paraId="0CE89FB4" w14:textId="044556BF" w:rsidR="00766350" w:rsidRDefault="00766350" w:rsidP="00766350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it-IT"/>
        </w:rPr>
      </w:pPr>
      <w:r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Con i progressi sostanziali compiuti nella riduzione dell’inflazione, </w:t>
      </w:r>
      <w:r w:rsidRPr="00000570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 xml:space="preserve">le banche centrali dei </w:t>
      </w:r>
      <w:r w:rsidR="00E223EF" w:rsidRPr="00000570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>p</w:t>
      </w:r>
      <w:r w:rsidRPr="00000570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 xml:space="preserve">aesi emergenti </w:t>
      </w:r>
      <w:r w:rsidR="00E223EF" w:rsidRPr="00000570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>sono in procinto di</w:t>
      </w:r>
      <w:r w:rsidRPr="00000570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 xml:space="preserve"> allentare la pressione</w:t>
      </w:r>
      <w:r w:rsidR="00E223EF" w:rsidRPr="00000570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 xml:space="preserve"> monetaria</w:t>
      </w:r>
      <w:r w:rsidRPr="003B79C7">
        <w:rPr>
          <w:rFonts w:ascii="Calibri" w:hAnsi="Calibri" w:cs="Calibri"/>
          <w:kern w:val="0"/>
          <w:sz w:val="22"/>
          <w:szCs w:val="22"/>
          <w:lang w:val="it-IT"/>
        </w:rPr>
        <w:t>, guidando la svolta nel ciclo dei tassi d’interesse. Non solo hanno iniziato ad alzare i tassi prima dei mercati sviluppati, ma li hanno anche aumentati. Quest</w:t>
      </w:r>
      <w:r w:rsidR="00E223EF" w:rsidRPr="003B79C7">
        <w:rPr>
          <w:rFonts w:ascii="Calibri" w:hAnsi="Calibri" w:cs="Calibri"/>
          <w:kern w:val="0"/>
          <w:sz w:val="22"/>
          <w:szCs w:val="22"/>
          <w:lang w:val="it-IT"/>
        </w:rPr>
        <w:t>a strategia ha</w:t>
      </w:r>
      <w:r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 crea</w:t>
      </w:r>
      <w:r w:rsidR="00E223EF" w:rsidRPr="003B79C7">
        <w:rPr>
          <w:rFonts w:ascii="Calibri" w:hAnsi="Calibri" w:cs="Calibri"/>
          <w:kern w:val="0"/>
          <w:sz w:val="22"/>
          <w:szCs w:val="22"/>
          <w:lang w:val="it-IT"/>
        </w:rPr>
        <w:t>to</w:t>
      </w:r>
      <w:r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 un cuscinetto per gli </w:t>
      </w:r>
      <w:r w:rsidR="00E223EF"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emergenti </w:t>
      </w:r>
      <w:r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per iniziare a tagliare, anche se è improbabile che la maggior parte dei mercati sviluppati si trovi presto in questa posizione. Tuttavia, </w:t>
      </w:r>
      <w:r w:rsidR="00E223EF"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non si sa </w:t>
      </w:r>
      <w:r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quanto le banche centrali </w:t>
      </w:r>
      <w:r w:rsidR="00E223EF" w:rsidRPr="003B79C7">
        <w:rPr>
          <w:rFonts w:ascii="Calibri" w:hAnsi="Calibri" w:cs="Calibri"/>
          <w:kern w:val="0"/>
          <w:sz w:val="22"/>
          <w:szCs w:val="22"/>
          <w:lang w:val="it-IT"/>
        </w:rPr>
        <w:t>emergenti</w:t>
      </w:r>
      <w:r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 possano spingersi in questo ciclo.</w:t>
      </w:r>
    </w:p>
    <w:p w14:paraId="75679412" w14:textId="77777777" w:rsidR="00B53C9C" w:rsidRPr="003B79C7" w:rsidRDefault="00B53C9C" w:rsidP="00766350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it-IT"/>
        </w:rPr>
      </w:pPr>
    </w:p>
    <w:p w14:paraId="53436680" w14:textId="77777777" w:rsidR="00766350" w:rsidRPr="003B79C7" w:rsidRDefault="00766350" w:rsidP="00766350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it-IT"/>
        </w:rPr>
      </w:pPr>
      <w:r w:rsidRPr="00000570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>È possibile che i tassi non tornino ai livelli precedenti al rialzo, poiché le condizioni sono diverse</w:t>
      </w:r>
      <w:r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. </w:t>
      </w:r>
    </w:p>
    <w:p w14:paraId="5BC0197C" w14:textId="44504165" w:rsidR="00766350" w:rsidRDefault="00766350" w:rsidP="00766350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it-IT"/>
        </w:rPr>
      </w:pPr>
      <w:r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Le banche centrali </w:t>
      </w:r>
      <w:r w:rsidR="00E223EF" w:rsidRPr="003B79C7">
        <w:rPr>
          <w:rFonts w:ascii="Calibri" w:hAnsi="Calibri" w:cs="Calibri"/>
          <w:kern w:val="0"/>
          <w:sz w:val="22"/>
          <w:szCs w:val="22"/>
          <w:lang w:val="it-IT"/>
        </w:rPr>
        <w:t>delle nazioni</w:t>
      </w:r>
      <w:r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 emergenti </w:t>
      </w:r>
      <w:r w:rsidR="00686D02"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dovranno </w:t>
      </w:r>
      <w:r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anche tenere conto della stabilità valutaria durante i tagli. </w:t>
      </w:r>
      <w:r w:rsidRPr="00000570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>L’attuale forza del dollaro e l’aumento dei tassi statunitensi rappresentano un potenziale ostacolo</w:t>
      </w:r>
      <w:r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, in particolare per i </w:t>
      </w:r>
      <w:r w:rsidR="00686D02" w:rsidRPr="003B79C7">
        <w:rPr>
          <w:rFonts w:ascii="Calibri" w:hAnsi="Calibri" w:cs="Calibri"/>
          <w:kern w:val="0"/>
          <w:sz w:val="22"/>
          <w:szCs w:val="22"/>
          <w:lang w:val="it-IT"/>
        </w:rPr>
        <w:t>p</w:t>
      </w:r>
      <w:r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aesi a basso tasso di interesse che non dispongono di un cuscinetto di carry sufficiente. </w:t>
      </w:r>
    </w:p>
    <w:p w14:paraId="1D8704BE" w14:textId="77777777" w:rsidR="00B53C9C" w:rsidRPr="003B79C7" w:rsidRDefault="00B53C9C" w:rsidP="00766350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it-IT"/>
        </w:rPr>
      </w:pPr>
    </w:p>
    <w:p w14:paraId="03ED8159" w14:textId="4F58190D" w:rsidR="00FB72C7" w:rsidRPr="003B79C7" w:rsidRDefault="00766350" w:rsidP="00FB72C7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it-IT"/>
        </w:rPr>
      </w:pPr>
      <w:r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Il Cile ha già avviato il suo ciclo di allentamento e ci aspettiamo che altri </w:t>
      </w:r>
      <w:r w:rsidR="00686D02" w:rsidRPr="003B79C7">
        <w:rPr>
          <w:rFonts w:ascii="Calibri" w:hAnsi="Calibri" w:cs="Calibri"/>
          <w:kern w:val="0"/>
          <w:sz w:val="22"/>
          <w:szCs w:val="22"/>
          <w:lang w:val="it-IT"/>
        </w:rPr>
        <w:t>p</w:t>
      </w:r>
      <w:r w:rsidRPr="003B79C7">
        <w:rPr>
          <w:rFonts w:ascii="Calibri" w:hAnsi="Calibri" w:cs="Calibri"/>
          <w:kern w:val="0"/>
          <w:sz w:val="22"/>
          <w:szCs w:val="22"/>
          <w:lang w:val="it-IT"/>
        </w:rPr>
        <w:t>aesi latinoamericani si uniscano a loro nei prossimi mesi. Nell’Europa centrale e orientale, l’Ungheria ha iniziato il ciclo di allentamento e prevediamo che la Repubblica Ceca seguirà presto il suo esempio. La regione asiatica è in controtendenza: è probabile che i tagli inizieranno nel 2024. I problemi di inflazione non sono generalmente così profondi, quindi le banche centrali non hanno avuto bisogno di aumentare</w:t>
      </w:r>
      <w:r w:rsidR="00686D02"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 i tassi</w:t>
      </w:r>
      <w:r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 </w:t>
      </w:r>
      <w:r w:rsidR="00B53C9C">
        <w:rPr>
          <w:rFonts w:ascii="Calibri" w:hAnsi="Calibri" w:cs="Calibri"/>
          <w:kern w:val="0"/>
          <w:sz w:val="22"/>
          <w:szCs w:val="22"/>
          <w:lang w:val="it-IT"/>
        </w:rPr>
        <w:t>in modo così significativo</w:t>
      </w:r>
      <w:r w:rsidRPr="003B79C7">
        <w:rPr>
          <w:rFonts w:ascii="Calibri" w:hAnsi="Calibri" w:cs="Calibri"/>
          <w:kern w:val="0"/>
          <w:sz w:val="22"/>
          <w:szCs w:val="22"/>
          <w:lang w:val="it-IT"/>
        </w:rPr>
        <w:t>.</w:t>
      </w:r>
    </w:p>
    <w:p w14:paraId="52D47813" w14:textId="77777777" w:rsidR="00DF090D" w:rsidRPr="00000570" w:rsidRDefault="00DF090D" w:rsidP="00FB72C7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u w:val="single"/>
          <w:lang w:val="it-IT"/>
        </w:rPr>
      </w:pPr>
      <w:r w:rsidRPr="00000570">
        <w:rPr>
          <w:rFonts w:ascii="Calibri" w:hAnsi="Calibri" w:cs="Calibri"/>
          <w:kern w:val="0"/>
          <w:sz w:val="22"/>
          <w:szCs w:val="22"/>
          <w:u w:val="single"/>
          <w:lang w:val="it-IT"/>
        </w:rPr>
        <w:t xml:space="preserve">Rallentamento della Cina: pesa il settore immobiliare </w:t>
      </w:r>
    </w:p>
    <w:p w14:paraId="6383F7F6" w14:textId="31DEE885" w:rsidR="00A34752" w:rsidRDefault="00A34752" w:rsidP="00A34752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it-IT"/>
        </w:rPr>
      </w:pPr>
      <w:r w:rsidRPr="00000570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>L’economia cinese sta rallentando a un ritmo più rapido del previsto</w:t>
      </w:r>
      <w:r w:rsidRPr="003B79C7">
        <w:rPr>
          <w:rFonts w:ascii="Calibri" w:hAnsi="Calibri" w:cs="Calibri"/>
          <w:kern w:val="0"/>
          <w:sz w:val="22"/>
          <w:szCs w:val="22"/>
          <w:lang w:val="it-IT"/>
        </w:rPr>
        <w:t>. Una serie di sviluppi negativi riguardanti i settori immobiliare e fiduciario potrebbero minare la fiducia nella seconda economia mondiale e portare a un</w:t>
      </w:r>
      <w:r w:rsidR="00000570">
        <w:rPr>
          <w:rFonts w:ascii="Calibri" w:hAnsi="Calibri" w:cs="Calibri"/>
          <w:kern w:val="0"/>
          <w:sz w:val="22"/>
          <w:szCs w:val="22"/>
          <w:lang w:val="it-IT"/>
        </w:rPr>
        <w:t xml:space="preserve"> </w:t>
      </w:r>
      <w:r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ulteriore </w:t>
      </w:r>
      <w:r w:rsidR="00825273" w:rsidRPr="003B79C7">
        <w:rPr>
          <w:rFonts w:ascii="Calibri" w:hAnsi="Calibri" w:cs="Calibri"/>
          <w:kern w:val="0"/>
          <w:sz w:val="22"/>
          <w:szCs w:val="22"/>
          <w:lang w:val="it-IT"/>
        </w:rPr>
        <w:t>indebolimento</w:t>
      </w:r>
      <w:r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. I rischi di ribasso stanno aumentando, minacciando di creare </w:t>
      </w:r>
      <w:r w:rsidR="002F44EA" w:rsidRPr="003B79C7">
        <w:rPr>
          <w:rFonts w:ascii="Calibri" w:hAnsi="Calibri" w:cs="Calibri"/>
          <w:kern w:val="0"/>
          <w:sz w:val="22"/>
          <w:szCs w:val="22"/>
          <w:lang w:val="it-IT"/>
        </w:rPr>
        <w:t>feedback</w:t>
      </w:r>
      <w:r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 negativi. </w:t>
      </w:r>
    </w:p>
    <w:p w14:paraId="46D144F7" w14:textId="77777777" w:rsidR="00B53C9C" w:rsidRPr="003B79C7" w:rsidRDefault="00B53C9C" w:rsidP="00A34752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it-IT"/>
        </w:rPr>
      </w:pPr>
    </w:p>
    <w:p w14:paraId="58CC799F" w14:textId="531E12EC" w:rsidR="00A34752" w:rsidRDefault="00A34752" w:rsidP="00A34752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it-IT"/>
        </w:rPr>
      </w:pPr>
      <w:r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Per sostenere l’economia, </w:t>
      </w:r>
      <w:r w:rsidRPr="00000570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>la Banca Popolare Cinese ha iniziato ad allentare la politica monetaria, una tendenza che ci aspettiamo continui ne</w:t>
      </w:r>
      <w:r w:rsidR="003D1D6A" w:rsidRPr="00000570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 xml:space="preserve">i prossimi </w:t>
      </w:r>
      <w:r w:rsidRPr="00000570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>mesi</w:t>
      </w:r>
      <w:r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. Ma con una domanda di credito bassa, il meccanismo di transizione monetaria potrebbe essere debole, quindi resta da vedere quanto saranno efficaci le misure di allentamento. </w:t>
      </w:r>
    </w:p>
    <w:p w14:paraId="6E229AD7" w14:textId="77777777" w:rsidR="00B53C9C" w:rsidRPr="003B79C7" w:rsidRDefault="00B53C9C" w:rsidP="00A34752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it-IT"/>
        </w:rPr>
      </w:pPr>
    </w:p>
    <w:p w14:paraId="3762C020" w14:textId="4E1610F7" w:rsidR="00A34752" w:rsidRDefault="00A34752" w:rsidP="00A34752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it-IT"/>
        </w:rPr>
      </w:pPr>
      <w:r w:rsidRPr="003B79C7">
        <w:rPr>
          <w:rFonts w:ascii="Calibri" w:hAnsi="Calibri" w:cs="Calibri"/>
          <w:kern w:val="0"/>
          <w:sz w:val="22"/>
          <w:szCs w:val="22"/>
          <w:lang w:val="it-IT"/>
        </w:rPr>
        <w:t>Sul fronte fiscale, la risposta delle autorità è stata incrementale. Se questo approccio continuerà, ci vorrà del tempo per ravvivare la fiducia delle famiglie e delle imprese. Finora sembra esserci un’avversione per i tipi di stimolo su larga scala che le autorità hanno attuato in passato, a causa del rischio di un aumento del rapporto debito/P</w:t>
      </w:r>
      <w:r w:rsidR="00CA2D5A" w:rsidRPr="003B79C7">
        <w:rPr>
          <w:rFonts w:ascii="Calibri" w:hAnsi="Calibri" w:cs="Calibri"/>
          <w:kern w:val="0"/>
          <w:sz w:val="22"/>
          <w:szCs w:val="22"/>
          <w:lang w:val="it-IT"/>
        </w:rPr>
        <w:t>il</w:t>
      </w:r>
      <w:r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. </w:t>
      </w:r>
    </w:p>
    <w:p w14:paraId="45FE23AA" w14:textId="77777777" w:rsidR="00B53C9C" w:rsidRPr="003B79C7" w:rsidRDefault="00B53C9C" w:rsidP="00A34752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it-IT"/>
        </w:rPr>
      </w:pPr>
    </w:p>
    <w:p w14:paraId="62714CA9" w14:textId="13ABEFFA" w:rsidR="00A34752" w:rsidRPr="003B79C7" w:rsidRDefault="00A34752" w:rsidP="00A34752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it-IT"/>
        </w:rPr>
      </w:pPr>
      <w:r w:rsidRPr="003B79C7">
        <w:rPr>
          <w:rFonts w:ascii="Calibri" w:hAnsi="Calibri" w:cs="Calibri"/>
          <w:kern w:val="0"/>
          <w:sz w:val="22"/>
          <w:szCs w:val="22"/>
          <w:lang w:val="it-IT"/>
        </w:rPr>
        <w:t>Riteniamo che</w:t>
      </w:r>
      <w:r w:rsidR="002F44EA"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 </w:t>
      </w:r>
      <w:r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le autorità vorranno premunirsi contro i rischi di </w:t>
      </w:r>
      <w:r w:rsidR="002F44EA" w:rsidRPr="003B79C7">
        <w:rPr>
          <w:rFonts w:ascii="Calibri" w:hAnsi="Calibri" w:cs="Calibri"/>
          <w:kern w:val="0"/>
          <w:sz w:val="22"/>
          <w:szCs w:val="22"/>
          <w:lang w:val="it-IT"/>
        </w:rPr>
        <w:t>feedback</w:t>
      </w:r>
      <w:r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 negativi</w:t>
      </w:r>
      <w:r w:rsidR="002F44EA"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 per evitare</w:t>
      </w:r>
      <w:r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 che si trasformino in una crisi finanziaria più grave o che trascinino l’economia in recessione. La politica fiscale dovrà probabilmente essere la leva principale per gestire questi risch</w:t>
      </w:r>
      <w:r w:rsidR="002F44EA" w:rsidRPr="003B79C7">
        <w:rPr>
          <w:rFonts w:ascii="Calibri" w:hAnsi="Calibri" w:cs="Calibri"/>
          <w:kern w:val="0"/>
          <w:sz w:val="22"/>
          <w:szCs w:val="22"/>
          <w:lang w:val="it-IT"/>
        </w:rPr>
        <w:t>i.</w:t>
      </w:r>
      <w:r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 </w:t>
      </w:r>
    </w:p>
    <w:p w14:paraId="3C0F92FC" w14:textId="77777777" w:rsidR="00FB72C7" w:rsidRPr="003B79C7" w:rsidRDefault="00FB72C7" w:rsidP="00FB72C7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it-IT"/>
        </w:rPr>
      </w:pPr>
    </w:p>
    <w:p w14:paraId="3439DD2F" w14:textId="7C9063FB" w:rsidR="00A34752" w:rsidRPr="00000570" w:rsidRDefault="002F44EA" w:rsidP="00FB72C7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u w:val="single"/>
          <w:lang w:val="it-IT"/>
        </w:rPr>
      </w:pPr>
      <w:r w:rsidRPr="00000570">
        <w:rPr>
          <w:rFonts w:ascii="Calibri" w:hAnsi="Calibri" w:cs="Calibri"/>
          <w:kern w:val="0"/>
          <w:sz w:val="22"/>
          <w:szCs w:val="22"/>
          <w:u w:val="single"/>
          <w:lang w:val="it-IT"/>
        </w:rPr>
        <w:t>Tre fattori della futura crescita economica</w:t>
      </w:r>
      <w:r w:rsidR="003B79C7" w:rsidRPr="00000570">
        <w:rPr>
          <w:rFonts w:ascii="Calibri" w:hAnsi="Calibri" w:cs="Calibri"/>
          <w:kern w:val="0"/>
          <w:sz w:val="22"/>
          <w:szCs w:val="22"/>
          <w:u w:val="single"/>
          <w:lang w:val="it-IT"/>
        </w:rPr>
        <w:t xml:space="preserve"> </w:t>
      </w:r>
    </w:p>
    <w:p w14:paraId="5DD2D2F2" w14:textId="450C7397" w:rsidR="00667202" w:rsidRDefault="00667202" w:rsidP="00667202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it-IT"/>
        </w:rPr>
      </w:pPr>
      <w:r w:rsidRPr="00000570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>Finora la crescita de</w:t>
      </w:r>
      <w:r w:rsidR="00B53C9C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>i Paesi</w:t>
      </w:r>
      <w:r w:rsidRPr="00000570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 xml:space="preserve"> </w:t>
      </w:r>
      <w:r w:rsidR="002F44EA" w:rsidRPr="00000570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 xml:space="preserve">emergenti </w:t>
      </w:r>
      <w:r w:rsidRPr="00000570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>ha mostrato una certa resistenza a fronte di un notevole rallentamento del ciclo manifatturiero globale e dell’economia cinese</w:t>
      </w:r>
      <w:r w:rsidRPr="003B79C7">
        <w:rPr>
          <w:rFonts w:ascii="Calibri" w:hAnsi="Calibri" w:cs="Calibri"/>
          <w:kern w:val="0"/>
          <w:sz w:val="22"/>
          <w:szCs w:val="22"/>
          <w:lang w:val="it-IT"/>
        </w:rPr>
        <w:t>. Come per i mercati sviluppati, la parte non manifatturiera d</w:t>
      </w:r>
      <w:r w:rsidR="002F44EA" w:rsidRPr="003B79C7">
        <w:rPr>
          <w:rFonts w:ascii="Calibri" w:hAnsi="Calibri" w:cs="Calibri"/>
          <w:kern w:val="0"/>
          <w:sz w:val="22"/>
          <w:szCs w:val="22"/>
          <w:lang w:val="it-IT"/>
        </w:rPr>
        <w:t>i queste</w:t>
      </w:r>
      <w:r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 economie ha retto meglio, mentre il rallentamento della Cina non si è ancora tradotto in una flessione più profonda dei prezzi delle materie prime. Questo dato è incoraggiante per gli </w:t>
      </w:r>
      <w:r w:rsidR="002F44EA" w:rsidRPr="003B79C7">
        <w:rPr>
          <w:rFonts w:ascii="Calibri" w:hAnsi="Calibri" w:cs="Calibri"/>
          <w:kern w:val="0"/>
          <w:sz w:val="22"/>
          <w:szCs w:val="22"/>
          <w:lang w:val="it-IT"/>
        </w:rPr>
        <w:t>emergenti</w:t>
      </w:r>
      <w:r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, ma è importante notare che la qualità della crescita è eterogenea e c’è una certa dispersione geografica.  </w:t>
      </w:r>
    </w:p>
    <w:p w14:paraId="0FD5F247" w14:textId="77777777" w:rsidR="00B53C9C" w:rsidRPr="003B79C7" w:rsidRDefault="00B53C9C" w:rsidP="00667202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it-IT"/>
        </w:rPr>
      </w:pPr>
    </w:p>
    <w:p w14:paraId="7BF37B9B" w14:textId="6F333994" w:rsidR="00667202" w:rsidRPr="003B79C7" w:rsidRDefault="00667202" w:rsidP="00667202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it-IT"/>
        </w:rPr>
      </w:pPr>
      <w:r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In generale, </w:t>
      </w:r>
      <w:r w:rsidRPr="00000570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>i servizi sono rimasti resistenti come i mercati sviluppati</w:t>
      </w:r>
      <w:r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. Ciò indica una rotazione negli </w:t>
      </w:r>
      <w:r w:rsidR="002F44EA"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emergenti </w:t>
      </w:r>
      <w:r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dal consumo di beni a quello di servizi. </w:t>
      </w:r>
    </w:p>
    <w:p w14:paraId="46D9E684" w14:textId="79071ABB" w:rsidR="00667202" w:rsidRPr="003B79C7" w:rsidRDefault="00667202" w:rsidP="00667202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it-IT"/>
        </w:rPr>
      </w:pPr>
      <w:r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In futuro, </w:t>
      </w:r>
      <w:r w:rsidRPr="00000570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>la tenuta della crescita</w:t>
      </w:r>
      <w:r w:rsidR="00B53C9C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 xml:space="preserve"> di questi Paesi</w:t>
      </w:r>
      <w:r w:rsidRPr="00000570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 xml:space="preserve"> dipenderà probabilmente da tre fattori</w:t>
      </w:r>
      <w:r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. In primo luogo, dal fatto che i prezzi delle materie prime rimangano stabili di fronte all’indebolimento del ciclo industriale. In secondo luogo, dalla tensione tra il rallentamento del settore manifatturiero e la tenuta del mercato dei servizi e del lavoro. In terzo luogo, dal fatto che la Cina riesca a </w:t>
      </w:r>
      <w:r w:rsidR="002F44EA" w:rsidRPr="003B79C7">
        <w:rPr>
          <w:rFonts w:ascii="Calibri" w:hAnsi="Calibri" w:cs="Calibri"/>
          <w:kern w:val="0"/>
          <w:sz w:val="22"/>
          <w:szCs w:val="22"/>
          <w:lang w:val="it-IT"/>
        </w:rPr>
        <w:t>stabilizzare</w:t>
      </w:r>
      <w:r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 la propria economia e non trasformarsi in un vero e proprio freno alla crescita.  </w:t>
      </w:r>
    </w:p>
    <w:p w14:paraId="0B5C83DB" w14:textId="77777777" w:rsidR="00FB72C7" w:rsidRPr="003B79C7" w:rsidRDefault="00FB72C7" w:rsidP="00FB72C7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it-IT"/>
        </w:rPr>
      </w:pPr>
    </w:p>
    <w:p w14:paraId="6233ECD2" w14:textId="20996016" w:rsidR="00667202" w:rsidRPr="00000570" w:rsidRDefault="008759F1" w:rsidP="00FB72C7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u w:val="single"/>
          <w:lang w:val="it-IT"/>
        </w:rPr>
      </w:pPr>
      <w:r w:rsidRPr="00000570">
        <w:rPr>
          <w:rFonts w:ascii="Calibri" w:hAnsi="Calibri" w:cs="Calibri"/>
          <w:kern w:val="0"/>
          <w:sz w:val="22"/>
          <w:szCs w:val="22"/>
          <w:u w:val="single"/>
          <w:lang w:val="it-IT"/>
        </w:rPr>
        <w:t>L’andamento dell’inflazione</w:t>
      </w:r>
    </w:p>
    <w:p w14:paraId="3B0B3322" w14:textId="11C00B3C" w:rsidR="004D3654" w:rsidRPr="003B79C7" w:rsidRDefault="008759F1" w:rsidP="004D3654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it-IT"/>
        </w:rPr>
      </w:pPr>
      <w:r w:rsidRPr="00000570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>Negli emergenti l</w:t>
      </w:r>
      <w:r w:rsidR="004D3654" w:rsidRPr="00000570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>’inflazione è scesa rapidamente dopo gli shock strutturali della pandemia e d</w:t>
      </w:r>
      <w:r w:rsidRPr="00000570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>a</w:t>
      </w:r>
      <w:r w:rsidR="004D3654" w:rsidRPr="00000570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>ll’invasione dell’Ucraina da parte della Russia</w:t>
      </w:r>
      <w:r w:rsidR="004D3654"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. Per il futuro, </w:t>
      </w:r>
      <w:r w:rsidRPr="003B79C7">
        <w:rPr>
          <w:rFonts w:ascii="Calibri" w:hAnsi="Calibri" w:cs="Calibri"/>
          <w:kern w:val="0"/>
          <w:sz w:val="22"/>
          <w:szCs w:val="22"/>
          <w:lang w:val="it-IT"/>
        </w:rPr>
        <w:t>analizziamo</w:t>
      </w:r>
      <w:r w:rsidR="004D3654"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 i prezzi dei generi alimentari a causa dei rischi di rialzo posti da El Niño e dalla fine dell’accordo sul grano tra Russia e Ucraina. Anche se siamo vigili su quest’ultimo aspetto, ci aspettiamo che l’impatto sia modesto rispetto allo shock dei prezzi causato lo scorso anno dallo scoppio della guerra. </w:t>
      </w:r>
    </w:p>
    <w:p w14:paraId="457BDB0E" w14:textId="01422CC2" w:rsidR="004D3654" w:rsidRPr="003B79C7" w:rsidRDefault="004D3654" w:rsidP="004D3654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it-IT"/>
        </w:rPr>
      </w:pPr>
      <w:r w:rsidRPr="003B79C7">
        <w:rPr>
          <w:rFonts w:ascii="Calibri" w:hAnsi="Calibri" w:cs="Calibri"/>
          <w:kern w:val="0"/>
          <w:sz w:val="22"/>
          <w:szCs w:val="22"/>
          <w:lang w:val="it-IT"/>
        </w:rPr>
        <w:t>Nel complesso,</w:t>
      </w:r>
      <w:r w:rsidRPr="00000570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 xml:space="preserve"> riteniamo che i rischi di rialzo segnalino un punto di inflessione nella tendenza alla disinflazione alimentare</w:t>
      </w:r>
      <w:r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. Questo potrebbe a sua volta rallentare il ritmo dei tagli dei tassi qualora i rischi si concretizzassero in sorprese al rialzo dell’inflazione, anche se questo non è il nostro scenario di base. Dato che i </w:t>
      </w:r>
      <w:r w:rsidR="008759F1" w:rsidRPr="003B79C7">
        <w:rPr>
          <w:rFonts w:ascii="Calibri" w:hAnsi="Calibri" w:cs="Calibri"/>
          <w:kern w:val="0"/>
          <w:sz w:val="22"/>
          <w:szCs w:val="22"/>
          <w:lang w:val="it-IT"/>
        </w:rPr>
        <w:t>p</w:t>
      </w:r>
      <w:r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aesi emergenti stanno uscendo da un periodo di politica monetaria restrittiva e la crescita è intorno, o leggermente al di sotto, del trend in una serie di </w:t>
      </w:r>
      <w:r w:rsidR="008759F1" w:rsidRPr="003B79C7">
        <w:rPr>
          <w:rFonts w:ascii="Calibri" w:hAnsi="Calibri" w:cs="Calibri"/>
          <w:kern w:val="0"/>
          <w:sz w:val="22"/>
          <w:szCs w:val="22"/>
          <w:lang w:val="it-IT"/>
        </w:rPr>
        <w:t>p</w:t>
      </w:r>
      <w:r w:rsidRPr="003B79C7">
        <w:rPr>
          <w:rFonts w:ascii="Calibri" w:hAnsi="Calibri" w:cs="Calibri"/>
          <w:kern w:val="0"/>
          <w:sz w:val="22"/>
          <w:szCs w:val="22"/>
          <w:lang w:val="it-IT"/>
        </w:rPr>
        <w:t>aesi, i rischi di effetti di secondo impatto sull’inflazione derivanti da shock dei prezzi alimentari dovrebbero essere contenuti.</w:t>
      </w:r>
    </w:p>
    <w:p w14:paraId="04826B21" w14:textId="77777777" w:rsidR="00FB72C7" w:rsidRPr="003B79C7" w:rsidRDefault="00FB72C7" w:rsidP="00FB72C7">
      <w:pPr>
        <w:autoSpaceDE w:val="0"/>
        <w:autoSpaceDN w:val="0"/>
        <w:adjustRightInd w:val="0"/>
        <w:rPr>
          <w:rFonts w:ascii="Calibri" w:hAnsi="Calibri" w:cs="Calibri"/>
          <w:b/>
          <w:bCs/>
          <w:kern w:val="0"/>
          <w:sz w:val="22"/>
          <w:szCs w:val="22"/>
          <w:lang w:val="it-IT"/>
        </w:rPr>
      </w:pPr>
    </w:p>
    <w:p w14:paraId="2FCB148A" w14:textId="62BBC83F" w:rsidR="004D3654" w:rsidRPr="00000570" w:rsidRDefault="004D3654" w:rsidP="00FB72C7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u w:val="single"/>
          <w:lang w:val="it-IT"/>
        </w:rPr>
      </w:pPr>
      <w:r w:rsidRPr="00000570">
        <w:rPr>
          <w:rFonts w:ascii="Calibri" w:hAnsi="Calibri" w:cs="Calibri"/>
          <w:kern w:val="0"/>
          <w:sz w:val="22"/>
          <w:szCs w:val="22"/>
          <w:u w:val="single"/>
          <w:lang w:val="it-IT"/>
        </w:rPr>
        <w:t>Tassi, credito e valute</w:t>
      </w:r>
    </w:p>
    <w:p w14:paraId="3762E39F" w14:textId="7402C72A" w:rsidR="009E2ECF" w:rsidRPr="003B79C7" w:rsidRDefault="008759F1" w:rsidP="009E2ECF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it-IT"/>
        </w:rPr>
      </w:pPr>
      <w:r w:rsidRPr="00000570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>I</w:t>
      </w:r>
      <w:r w:rsidR="009E2ECF" w:rsidRPr="00000570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 xml:space="preserve">l contesto di disinflazione e l’avvio di cicli di riduzione dei tassi da parte delle banche centrali sono costruttivi per i tassi locali </w:t>
      </w:r>
      <w:r w:rsidRPr="00000570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>degli emergenti</w:t>
      </w:r>
      <w:r w:rsidR="009E2ECF"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. </w:t>
      </w:r>
      <w:r w:rsidRPr="003B79C7">
        <w:rPr>
          <w:rFonts w:ascii="Calibri" w:hAnsi="Calibri" w:cs="Calibri"/>
          <w:kern w:val="0"/>
          <w:sz w:val="22"/>
          <w:szCs w:val="22"/>
          <w:lang w:val="it-IT"/>
        </w:rPr>
        <w:t>L</w:t>
      </w:r>
      <w:r w:rsidR="009E2ECF" w:rsidRPr="003B79C7">
        <w:rPr>
          <w:rFonts w:ascii="Calibri" w:hAnsi="Calibri" w:cs="Calibri"/>
          <w:kern w:val="0"/>
          <w:sz w:val="22"/>
          <w:szCs w:val="22"/>
          <w:lang w:val="it-IT"/>
        </w:rPr>
        <w:t>a nostra analisi mostra che le posizioni lunghe sui tassi locali tendono storicamente a generare rendimenti positivi durante i cicli di riduzione.</w:t>
      </w:r>
    </w:p>
    <w:p w14:paraId="67C317DC" w14:textId="299F9710" w:rsidR="009E2ECF" w:rsidRPr="003B79C7" w:rsidRDefault="009E2ECF" w:rsidP="009E2ECF">
      <w:pPr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it-IT"/>
        </w:rPr>
      </w:pPr>
      <w:r w:rsidRPr="00000570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 xml:space="preserve">Nell’ambito degli </w:t>
      </w:r>
      <w:r w:rsidR="008759F1" w:rsidRPr="00000570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 xml:space="preserve">emergenti </w:t>
      </w:r>
      <w:r w:rsidRPr="00000570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>esterni, siamo incoraggiati dalla bassa volatilità e dalla resilienza</w:t>
      </w:r>
      <w:r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 che stiamo osservando nel segmento di mercato di alta qualità.</w:t>
      </w:r>
    </w:p>
    <w:p w14:paraId="42774F9A" w14:textId="3B02DDE9" w:rsidR="009E2ECF" w:rsidRPr="00000570" w:rsidRDefault="009E2ECF" w:rsidP="009E2ECF">
      <w:pPr>
        <w:autoSpaceDE w:val="0"/>
        <w:autoSpaceDN w:val="0"/>
        <w:adjustRightInd w:val="0"/>
        <w:rPr>
          <w:rFonts w:ascii="Calibri" w:hAnsi="Calibri" w:cs="Calibri"/>
          <w:b/>
          <w:bCs/>
          <w:kern w:val="0"/>
          <w:sz w:val="22"/>
          <w:szCs w:val="22"/>
          <w:lang w:val="it-IT"/>
        </w:rPr>
      </w:pPr>
      <w:r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Tuttavia, dopo un periodo di forte crescita, le valutazioni in questo settore sono limitate, il che spinge alcuni </w:t>
      </w:r>
      <w:r w:rsidR="008759F1"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investitori </w:t>
      </w:r>
      <w:r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a inseguire le parti più in difficoltà del mercato, dove la ricerca fondamentale e la selezione dei titoli sono essenziali. In generale, al momento vediamo più valore nello spazio societario </w:t>
      </w:r>
      <w:r w:rsidR="008759F1"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emergente </w:t>
      </w:r>
      <w:r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rispetto al debito estero </w:t>
      </w:r>
      <w:r w:rsidR="008759F1" w:rsidRPr="003B79C7">
        <w:rPr>
          <w:rFonts w:ascii="Calibri" w:hAnsi="Calibri" w:cs="Calibri"/>
          <w:kern w:val="0"/>
          <w:sz w:val="22"/>
          <w:szCs w:val="22"/>
          <w:lang w:val="it-IT"/>
        </w:rPr>
        <w:t>emergente</w:t>
      </w:r>
      <w:r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. Per quanto riguarda le valute </w:t>
      </w:r>
      <w:r w:rsidR="008759F1" w:rsidRPr="003B79C7">
        <w:rPr>
          <w:rFonts w:ascii="Calibri" w:hAnsi="Calibri" w:cs="Calibri"/>
          <w:kern w:val="0"/>
          <w:sz w:val="22"/>
          <w:szCs w:val="22"/>
          <w:lang w:val="it-IT"/>
        </w:rPr>
        <w:t>di questi paesi</w:t>
      </w:r>
      <w:r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, il nostro entusiasmo è diminuito in quanto il differenziale dei tassi d’interesse sembra destinato a indebolirsi, dato che le banche centrali </w:t>
      </w:r>
      <w:r w:rsidR="008759F1"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emergenti </w:t>
      </w:r>
      <w:r w:rsidRPr="003B79C7">
        <w:rPr>
          <w:rFonts w:ascii="Calibri" w:hAnsi="Calibri" w:cs="Calibri"/>
          <w:kern w:val="0"/>
          <w:sz w:val="22"/>
          <w:szCs w:val="22"/>
          <w:lang w:val="it-IT"/>
        </w:rPr>
        <w:t xml:space="preserve">iniziano a tagliare i tassi d’interesse prima dei mercati sviluppati. </w:t>
      </w:r>
      <w:r w:rsidRPr="00000570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 xml:space="preserve">Anche se riteniamo che si possano ancora realizzare guadagni interessanti, sarà importante scegliere con attenzione i </w:t>
      </w:r>
      <w:r w:rsidR="003B4011" w:rsidRPr="00000570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 xml:space="preserve">momenti </w:t>
      </w:r>
      <w:r w:rsidRPr="00000570">
        <w:rPr>
          <w:rFonts w:ascii="Calibri" w:hAnsi="Calibri" w:cs="Calibri"/>
          <w:b/>
          <w:bCs/>
          <w:kern w:val="0"/>
          <w:sz w:val="22"/>
          <w:szCs w:val="22"/>
          <w:lang w:val="it-IT"/>
        </w:rPr>
        <w:t xml:space="preserve">in cui farlo. </w:t>
      </w:r>
    </w:p>
    <w:p w14:paraId="3327E600" w14:textId="74929B76" w:rsidR="00FB72C7" w:rsidRPr="00D336B2" w:rsidRDefault="00FB72C7" w:rsidP="009E2ECF">
      <w:pPr>
        <w:autoSpaceDE w:val="0"/>
        <w:autoSpaceDN w:val="0"/>
        <w:adjustRightInd w:val="0"/>
        <w:rPr>
          <w:rFonts w:ascii="Calibri Light" w:hAnsi="Calibri Light" w:cs="Calibri Light"/>
          <w:kern w:val="0"/>
          <w:sz w:val="22"/>
          <w:szCs w:val="22"/>
          <w:lang w:val="it-IT"/>
        </w:rPr>
      </w:pPr>
    </w:p>
    <w:sectPr w:rsidR="00FB72C7" w:rsidRPr="00D33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2E"/>
    <w:rsid w:val="00000570"/>
    <w:rsid w:val="000113F9"/>
    <w:rsid w:val="001F1E0E"/>
    <w:rsid w:val="00212737"/>
    <w:rsid w:val="00242C0A"/>
    <w:rsid w:val="002F44EA"/>
    <w:rsid w:val="003B4011"/>
    <w:rsid w:val="003B79C7"/>
    <w:rsid w:val="003D1D6A"/>
    <w:rsid w:val="004D01C5"/>
    <w:rsid w:val="004D3654"/>
    <w:rsid w:val="00667202"/>
    <w:rsid w:val="00686D02"/>
    <w:rsid w:val="006E49B2"/>
    <w:rsid w:val="00766350"/>
    <w:rsid w:val="00825273"/>
    <w:rsid w:val="008759F1"/>
    <w:rsid w:val="008A3AA7"/>
    <w:rsid w:val="009910FE"/>
    <w:rsid w:val="009E2ECF"/>
    <w:rsid w:val="00A01FA9"/>
    <w:rsid w:val="00A34752"/>
    <w:rsid w:val="00A72A2E"/>
    <w:rsid w:val="00A87916"/>
    <w:rsid w:val="00B53C9C"/>
    <w:rsid w:val="00BC4C71"/>
    <w:rsid w:val="00C67047"/>
    <w:rsid w:val="00CA2D5A"/>
    <w:rsid w:val="00D336B2"/>
    <w:rsid w:val="00DE0E72"/>
    <w:rsid w:val="00DF090D"/>
    <w:rsid w:val="00E223EF"/>
    <w:rsid w:val="00F979F9"/>
    <w:rsid w:val="00FB204D"/>
    <w:rsid w:val="00FB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F943"/>
  <w15:chartTrackingRefBased/>
  <w15:docId w15:val="{492D0260-3C02-9F4B-88A9-F971B4C9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72A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72A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2A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72A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72A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72A2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72A2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72A2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72A2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72A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72A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72A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72A2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72A2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72A2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72A2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72A2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72A2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72A2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72A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72A2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72A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72A2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72A2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72A2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72A2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72A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72A2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72A2E"/>
    <w:rPr>
      <w:b/>
      <w:bCs/>
      <w:smallCaps/>
      <w:color w:val="0F4761" w:themeColor="accent1" w:themeShade="BF"/>
      <w:spacing w:val="5"/>
    </w:rPr>
  </w:style>
  <w:style w:type="paragraph" w:styleId="Revisione">
    <w:name w:val="Revision"/>
    <w:hidden/>
    <w:uiPriority w:val="99"/>
    <w:semiHidden/>
    <w:rsid w:val="00D33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1108</Words>
  <Characters>6322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Sarah Tuggey</dc:creator>
  <cp:keywords/>
  <dc:description/>
  <cp:lastModifiedBy>Diana Ferla</cp:lastModifiedBy>
  <cp:revision>27</cp:revision>
  <dcterms:created xsi:type="dcterms:W3CDTF">2023-09-13T08:19:00Z</dcterms:created>
  <dcterms:modified xsi:type="dcterms:W3CDTF">2023-09-19T07:39:00Z</dcterms:modified>
</cp:coreProperties>
</file>