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44BB" w14:textId="484B1175" w:rsidR="008D3AA9" w:rsidRPr="0079074F" w:rsidRDefault="0084573D" w:rsidP="00406ECF">
      <w:pPr>
        <w:contextualSpacing/>
        <w:rPr>
          <w:rFonts w:ascii="Calibri" w:eastAsia="Times New Roman" w:hAnsi="Calibri" w:cs="Calibri"/>
          <w:b/>
          <w:bCs/>
          <w:kern w:val="36"/>
          <w:sz w:val="22"/>
          <w:szCs w:val="22"/>
          <w:lang w:val="it-IT" w:eastAsia="en-GB"/>
          <w14:ligatures w14:val="none"/>
        </w:rPr>
      </w:pPr>
      <w:r w:rsidRPr="0079074F">
        <w:rPr>
          <w:rFonts w:ascii="Calibri" w:eastAsia="Times New Roman" w:hAnsi="Calibri" w:cs="Calibri"/>
          <w:b/>
          <w:bCs/>
          <w:kern w:val="0"/>
          <w:sz w:val="22"/>
          <w:szCs w:val="22"/>
          <w:lang w:val="it-IT" w:eastAsia="en-GB"/>
          <w14:ligatures w14:val="none"/>
        </w:rPr>
        <w:t>Schroders</w:t>
      </w:r>
      <w:r w:rsidRPr="0079074F">
        <w:rPr>
          <w:rFonts w:ascii="Calibri" w:eastAsia="Times New Roman" w:hAnsi="Calibri" w:cs="Calibri"/>
          <w:b/>
          <w:bCs/>
          <w:kern w:val="36"/>
          <w:sz w:val="22"/>
          <w:szCs w:val="22"/>
          <w:lang w:val="it-IT" w:eastAsia="en-GB"/>
          <w14:ligatures w14:val="none"/>
        </w:rPr>
        <w:t xml:space="preserve"> </w:t>
      </w:r>
      <w:r>
        <w:rPr>
          <w:rFonts w:ascii="Calibri" w:eastAsia="Times New Roman" w:hAnsi="Calibri" w:cs="Calibri"/>
          <w:b/>
          <w:bCs/>
          <w:kern w:val="36"/>
          <w:sz w:val="22"/>
          <w:szCs w:val="22"/>
          <w:lang w:val="it-IT" w:eastAsia="en-GB"/>
          <w14:ligatures w14:val="none"/>
        </w:rPr>
        <w:t xml:space="preserve">– </w:t>
      </w:r>
      <w:r w:rsidR="00255D69" w:rsidRPr="0079074F">
        <w:rPr>
          <w:rFonts w:ascii="Calibri" w:eastAsia="Times New Roman" w:hAnsi="Calibri" w:cs="Calibri"/>
          <w:b/>
          <w:bCs/>
          <w:kern w:val="36"/>
          <w:sz w:val="22"/>
          <w:szCs w:val="22"/>
          <w:lang w:val="it-IT" w:eastAsia="en-GB"/>
          <w14:ligatures w14:val="none"/>
        </w:rPr>
        <w:t>India</w:t>
      </w:r>
      <w:r>
        <w:rPr>
          <w:rFonts w:ascii="Calibri" w:eastAsia="Times New Roman" w:hAnsi="Calibri" w:cs="Calibri"/>
          <w:b/>
          <w:bCs/>
          <w:kern w:val="36"/>
          <w:sz w:val="22"/>
          <w:szCs w:val="22"/>
          <w:lang w:val="it-IT" w:eastAsia="en-GB"/>
          <w14:ligatures w14:val="none"/>
        </w:rPr>
        <w:t>,</w:t>
      </w:r>
      <w:r w:rsidR="00255D69" w:rsidRPr="0079074F">
        <w:rPr>
          <w:rFonts w:ascii="Calibri" w:eastAsia="Times New Roman" w:hAnsi="Calibri" w:cs="Calibri"/>
          <w:b/>
          <w:bCs/>
          <w:kern w:val="36"/>
          <w:sz w:val="22"/>
          <w:szCs w:val="22"/>
          <w:lang w:val="it-IT" w:eastAsia="en-GB"/>
          <w14:ligatures w14:val="none"/>
        </w:rPr>
        <w:t xml:space="preserve"> c</w:t>
      </w:r>
      <w:r w:rsidR="008D3AA9" w:rsidRPr="0079074F">
        <w:rPr>
          <w:rFonts w:ascii="Calibri" w:eastAsia="Times New Roman" w:hAnsi="Calibri" w:cs="Calibri"/>
          <w:b/>
          <w:bCs/>
          <w:kern w:val="36"/>
          <w:sz w:val="22"/>
          <w:szCs w:val="22"/>
          <w:lang w:val="it-IT" w:eastAsia="en-GB"/>
          <w14:ligatures w14:val="none"/>
        </w:rPr>
        <w:t xml:space="preserve">ome la tecnologia sta trasformando </w:t>
      </w:r>
      <w:r w:rsidR="00255D69" w:rsidRPr="0079074F">
        <w:rPr>
          <w:rFonts w:ascii="Calibri" w:eastAsia="Times New Roman" w:hAnsi="Calibri" w:cs="Calibri"/>
          <w:b/>
          <w:bCs/>
          <w:kern w:val="36"/>
          <w:sz w:val="22"/>
          <w:szCs w:val="22"/>
          <w:lang w:val="it-IT" w:eastAsia="en-GB"/>
          <w14:ligatures w14:val="none"/>
        </w:rPr>
        <w:t>il mercato dei capitali</w:t>
      </w:r>
    </w:p>
    <w:p w14:paraId="58F0CC06" w14:textId="77777777" w:rsidR="0079074F" w:rsidRDefault="0079074F" w:rsidP="00406ECF">
      <w:pPr>
        <w:contextualSpacing/>
        <w:rPr>
          <w:rFonts w:ascii="Calibri" w:eastAsia="Times New Roman" w:hAnsi="Calibri" w:cs="Calibri"/>
          <w:b/>
          <w:bCs/>
          <w:kern w:val="36"/>
          <w:sz w:val="22"/>
          <w:szCs w:val="22"/>
          <w:lang w:val="it-IT" w:eastAsia="en-GB"/>
          <w14:ligatures w14:val="none"/>
        </w:rPr>
      </w:pPr>
    </w:p>
    <w:p w14:paraId="4B2CABB2" w14:textId="3FDE946C" w:rsidR="002060F7" w:rsidRPr="0079074F" w:rsidRDefault="002060F7" w:rsidP="00406ECF">
      <w:pPr>
        <w:contextualSpacing/>
        <w:rPr>
          <w:rFonts w:ascii="Calibri" w:eastAsia="Times New Roman" w:hAnsi="Calibri" w:cs="Calibri"/>
          <w:b/>
          <w:bCs/>
          <w:kern w:val="0"/>
          <w:sz w:val="22"/>
          <w:szCs w:val="22"/>
          <w:lang w:val="it-IT" w:eastAsia="en-GB"/>
          <w14:ligatures w14:val="none"/>
        </w:rPr>
      </w:pPr>
      <w:r w:rsidRPr="0079074F">
        <w:rPr>
          <w:rFonts w:ascii="Calibri" w:hAnsi="Calibri" w:cs="Calibri"/>
          <w:sz w:val="22"/>
          <w:szCs w:val="22"/>
          <w:lang w:val="it-IT"/>
        </w:rPr>
        <w:t>A cura di</w:t>
      </w:r>
      <w:r w:rsidRPr="0079074F">
        <w:rPr>
          <w:rFonts w:ascii="Calibri" w:hAnsi="Calibri" w:cs="Calibri"/>
          <w:b/>
          <w:bCs/>
          <w:sz w:val="22"/>
          <w:szCs w:val="22"/>
          <w:lang w:val="it-IT"/>
        </w:rPr>
        <w:t xml:space="preserve"> </w:t>
      </w:r>
      <w:r w:rsidRPr="0079074F">
        <w:rPr>
          <w:rFonts w:ascii="Calibri" w:eastAsia="Times New Roman" w:hAnsi="Calibri" w:cs="Calibri"/>
          <w:b/>
          <w:bCs/>
          <w:kern w:val="0"/>
          <w:sz w:val="22"/>
          <w:szCs w:val="22"/>
          <w:lang w:val="it-IT" w:eastAsia="en-GB"/>
          <w14:ligatures w14:val="none"/>
        </w:rPr>
        <w:t>Jigar Gandhi, India Investment Specialist, Schroders</w:t>
      </w:r>
    </w:p>
    <w:p w14:paraId="2D36C519" w14:textId="77777777" w:rsidR="002060F7" w:rsidRPr="0079074F" w:rsidRDefault="002060F7" w:rsidP="00406ECF">
      <w:pPr>
        <w:contextualSpacing/>
        <w:rPr>
          <w:rFonts w:ascii="Calibri" w:eastAsia="Times New Roman" w:hAnsi="Calibri" w:cs="Calibri"/>
          <w:b/>
          <w:bCs/>
          <w:kern w:val="0"/>
          <w:sz w:val="22"/>
          <w:szCs w:val="22"/>
          <w:lang w:val="it-IT" w:eastAsia="en-GB"/>
          <w14:ligatures w14:val="none"/>
        </w:rPr>
      </w:pPr>
    </w:p>
    <w:p w14:paraId="0060BA19" w14:textId="295C9FB0" w:rsidR="00225AB4" w:rsidRPr="0079074F" w:rsidRDefault="00225AB4" w:rsidP="00406ECF">
      <w:pPr>
        <w:contextualSpacing/>
        <w:outlineLvl w:val="1"/>
        <w:rPr>
          <w:rFonts w:ascii="Calibri" w:eastAsia="Times New Roman" w:hAnsi="Calibri" w:cs="Calibri"/>
          <w:color w:val="000000"/>
          <w:kern w:val="0"/>
          <w:sz w:val="22"/>
          <w:szCs w:val="22"/>
          <w:lang w:val="it-IT" w:eastAsia="en-GB"/>
          <w14:ligatures w14:val="none"/>
        </w:rPr>
      </w:pPr>
      <w:r w:rsidRPr="0079074F">
        <w:rPr>
          <w:rFonts w:ascii="Calibri" w:eastAsia="Times New Roman" w:hAnsi="Calibri" w:cs="Calibri"/>
          <w:color w:val="000000"/>
          <w:kern w:val="0"/>
          <w:sz w:val="22"/>
          <w:szCs w:val="22"/>
          <w:lang w:val="it-IT" w:eastAsia="en-GB"/>
          <w14:ligatures w14:val="none"/>
        </w:rPr>
        <w:t xml:space="preserve">L’India sta utilizzando la tecnologia per trasformare la sua economia, </w:t>
      </w:r>
      <w:r w:rsidR="0004172C">
        <w:rPr>
          <w:rFonts w:ascii="Calibri" w:eastAsia="Times New Roman" w:hAnsi="Calibri" w:cs="Calibri"/>
          <w:color w:val="000000"/>
          <w:kern w:val="0"/>
          <w:sz w:val="22"/>
          <w:szCs w:val="22"/>
          <w:lang w:val="it-IT" w:eastAsia="en-GB"/>
          <w14:ligatures w14:val="none"/>
        </w:rPr>
        <w:t>potenziando</w:t>
      </w:r>
      <w:r w:rsidR="0004172C" w:rsidRPr="0079074F">
        <w:rPr>
          <w:rFonts w:ascii="Calibri" w:eastAsia="Times New Roman" w:hAnsi="Calibri" w:cs="Calibri"/>
          <w:color w:val="000000"/>
          <w:kern w:val="0"/>
          <w:sz w:val="22"/>
          <w:szCs w:val="22"/>
          <w:lang w:val="it-IT" w:eastAsia="en-GB"/>
          <w14:ligatures w14:val="none"/>
        </w:rPr>
        <w:t xml:space="preserve"> </w:t>
      </w:r>
      <w:r w:rsidRPr="0079074F">
        <w:rPr>
          <w:rFonts w:ascii="Calibri" w:eastAsia="Times New Roman" w:hAnsi="Calibri" w:cs="Calibri"/>
          <w:color w:val="000000"/>
          <w:kern w:val="0"/>
          <w:sz w:val="22"/>
          <w:szCs w:val="22"/>
          <w:lang w:val="it-IT" w:eastAsia="en-GB"/>
          <w14:ligatures w14:val="none"/>
        </w:rPr>
        <w:t>la sua capacità di</w:t>
      </w:r>
      <w:r w:rsidR="0004172C">
        <w:rPr>
          <w:rFonts w:ascii="Calibri" w:eastAsia="Times New Roman" w:hAnsi="Calibri" w:cs="Calibri"/>
          <w:color w:val="000000"/>
          <w:kern w:val="0"/>
          <w:sz w:val="22"/>
          <w:szCs w:val="22"/>
          <w:lang w:val="it-IT" w:eastAsia="en-GB"/>
          <w14:ligatures w14:val="none"/>
        </w:rPr>
        <w:t xml:space="preserve"> </w:t>
      </w:r>
      <w:r w:rsidRPr="0079074F">
        <w:rPr>
          <w:rFonts w:ascii="Calibri" w:eastAsia="Times New Roman" w:hAnsi="Calibri" w:cs="Calibri"/>
          <w:color w:val="000000"/>
          <w:kern w:val="0"/>
          <w:sz w:val="22"/>
          <w:szCs w:val="22"/>
          <w:lang w:val="it-IT" w:eastAsia="en-GB"/>
          <w14:ligatures w14:val="none"/>
        </w:rPr>
        <w:t>crescere più velocemente di altre grandi economie. L’uso della tecnologia ha anche un impatto positivo sulla società</w:t>
      </w:r>
      <w:r w:rsidR="0004172C">
        <w:rPr>
          <w:rFonts w:ascii="Calibri" w:eastAsia="Times New Roman" w:hAnsi="Calibri" w:cs="Calibri"/>
          <w:color w:val="000000"/>
          <w:kern w:val="0"/>
          <w:sz w:val="22"/>
          <w:szCs w:val="22"/>
          <w:lang w:val="it-IT" w:eastAsia="en-GB"/>
          <w14:ligatures w14:val="none"/>
        </w:rPr>
        <w:t xml:space="preserve"> e sul </w:t>
      </w:r>
      <w:r w:rsidRPr="0079074F">
        <w:rPr>
          <w:rFonts w:ascii="Calibri" w:eastAsia="Times New Roman" w:hAnsi="Calibri" w:cs="Calibri"/>
          <w:color w:val="000000"/>
          <w:kern w:val="0"/>
          <w:sz w:val="22"/>
          <w:szCs w:val="22"/>
          <w:lang w:val="it-IT" w:eastAsia="en-GB"/>
          <w14:ligatures w14:val="none"/>
        </w:rPr>
        <w:t>funzionamento dei mercati dei capitali</w:t>
      </w:r>
      <w:r w:rsidR="0004172C">
        <w:rPr>
          <w:rFonts w:ascii="Calibri" w:eastAsia="Times New Roman" w:hAnsi="Calibri" w:cs="Calibri"/>
          <w:color w:val="000000"/>
          <w:kern w:val="0"/>
          <w:sz w:val="22"/>
          <w:szCs w:val="22"/>
          <w:lang w:val="it-IT" w:eastAsia="en-GB"/>
          <w14:ligatures w14:val="none"/>
        </w:rPr>
        <w:t>.</w:t>
      </w:r>
    </w:p>
    <w:p w14:paraId="166A0C1E" w14:textId="77777777" w:rsidR="00406ECF" w:rsidRDefault="00406ECF" w:rsidP="00406ECF">
      <w:pPr>
        <w:contextualSpacing/>
        <w:outlineLvl w:val="1"/>
        <w:rPr>
          <w:rFonts w:ascii="Calibri" w:eastAsia="Times New Roman" w:hAnsi="Calibri" w:cs="Calibri"/>
          <w:b/>
          <w:bCs/>
          <w:kern w:val="0"/>
          <w:sz w:val="22"/>
          <w:szCs w:val="22"/>
          <w:u w:val="single"/>
          <w:lang w:val="it-IT" w:eastAsia="en-GB"/>
          <w14:ligatures w14:val="none"/>
        </w:rPr>
      </w:pPr>
    </w:p>
    <w:p w14:paraId="5D4B6E08" w14:textId="1DF9E244" w:rsidR="002060F7" w:rsidRPr="0079074F" w:rsidRDefault="00225AB4" w:rsidP="00406ECF">
      <w:pPr>
        <w:contextualSpacing/>
        <w:outlineLvl w:val="1"/>
        <w:rPr>
          <w:rFonts w:ascii="Calibri" w:eastAsia="Times New Roman" w:hAnsi="Calibri" w:cs="Calibri"/>
          <w:b/>
          <w:bCs/>
          <w:kern w:val="0"/>
          <w:sz w:val="22"/>
          <w:szCs w:val="22"/>
          <w:u w:val="single"/>
          <w:lang w:val="it-IT" w:eastAsia="en-GB"/>
          <w14:ligatures w14:val="none"/>
        </w:rPr>
      </w:pPr>
      <w:r w:rsidRPr="0079074F">
        <w:rPr>
          <w:rFonts w:ascii="Calibri" w:eastAsia="Times New Roman" w:hAnsi="Calibri" w:cs="Calibri"/>
          <w:b/>
          <w:bCs/>
          <w:kern w:val="0"/>
          <w:sz w:val="22"/>
          <w:szCs w:val="22"/>
          <w:u w:val="single"/>
          <w:lang w:val="it-IT" w:eastAsia="en-GB"/>
          <w14:ligatures w14:val="none"/>
        </w:rPr>
        <w:t>Il settore bancario: la chiave per l’inclusione finanziaria</w:t>
      </w:r>
    </w:p>
    <w:p w14:paraId="653F20B6" w14:textId="3DDE85A0" w:rsidR="00255D69" w:rsidRDefault="00557B29" w:rsidP="00406ECF">
      <w:pPr>
        <w:contextualSpacing/>
        <w:rPr>
          <w:rFonts w:ascii="Calibri" w:eastAsia="Times New Roman" w:hAnsi="Calibri" w:cs="Calibri"/>
          <w:color w:val="000000"/>
          <w:kern w:val="0"/>
          <w:sz w:val="22"/>
          <w:szCs w:val="22"/>
          <w:lang w:val="it-IT" w:eastAsia="en-GB"/>
          <w14:ligatures w14:val="none"/>
        </w:rPr>
      </w:pPr>
      <w:r w:rsidRPr="0079074F">
        <w:rPr>
          <w:rFonts w:ascii="Calibri" w:eastAsia="Times New Roman" w:hAnsi="Calibri" w:cs="Calibri"/>
          <w:color w:val="000000"/>
          <w:kern w:val="0"/>
          <w:sz w:val="22"/>
          <w:szCs w:val="22"/>
          <w:lang w:val="it-IT" w:eastAsia="en-GB"/>
          <w14:ligatures w14:val="none"/>
        </w:rPr>
        <w:t>Nel 2008, solo un indiano su 25 aveva un’identificazione formale e uno su quattro aveva un conto in banca. Il sistema di identità biometrica unico dell’India, Aadhaar, lanciato nel 2010, è stato il primo sistema digitale progettato con lo scopo specifico di autenticare l’identità individuale. Oggi più di 1,2 miliardi di indiani hanno un’identità digitale unica e il sistema viene utilizzato per autenticare l'identità di oltre 1,6 miliardi di transazioni al mese</w:t>
      </w:r>
      <w:r w:rsidR="00255D69" w:rsidRPr="0079074F">
        <w:rPr>
          <w:rFonts w:ascii="Calibri" w:eastAsia="Times New Roman" w:hAnsi="Calibri" w:cs="Calibri"/>
          <w:color w:val="000000"/>
          <w:kern w:val="0"/>
          <w:sz w:val="22"/>
          <w:szCs w:val="22"/>
          <w:lang w:val="it-IT" w:eastAsia="en-GB"/>
          <w14:ligatures w14:val="none"/>
        </w:rPr>
        <w:t xml:space="preserve">. </w:t>
      </w:r>
      <w:r w:rsidRPr="0079074F">
        <w:rPr>
          <w:rFonts w:ascii="Calibri" w:eastAsia="Times New Roman" w:hAnsi="Calibri" w:cs="Calibri"/>
          <w:color w:val="000000"/>
          <w:kern w:val="0"/>
          <w:sz w:val="22"/>
          <w:szCs w:val="22"/>
          <w:lang w:val="it-IT" w:eastAsia="en-GB"/>
          <w14:ligatures w14:val="none"/>
        </w:rPr>
        <w:t xml:space="preserve">La velocità di adozione di Aadhaar, insieme ad altre iniziative governative, ha portato anche a un forte aumento del numero di conti bancari. Secondo la Banca dei Regolamenti Internazionali (BRI), </w:t>
      </w:r>
      <w:r w:rsidRPr="0079074F">
        <w:rPr>
          <w:rFonts w:ascii="Calibri" w:eastAsia="Times New Roman" w:hAnsi="Calibri" w:cs="Calibri"/>
          <w:b/>
          <w:bCs/>
          <w:color w:val="000000"/>
          <w:kern w:val="0"/>
          <w:sz w:val="22"/>
          <w:szCs w:val="22"/>
          <w:lang w:val="it-IT" w:eastAsia="en-GB"/>
          <w14:ligatures w14:val="none"/>
        </w:rPr>
        <w:t>più di 470 milioni di adulti indiani hanno aperto un conto bancario tra il 2011 e il 2017</w:t>
      </w:r>
      <w:r w:rsidRPr="0079074F">
        <w:rPr>
          <w:rFonts w:ascii="Calibri" w:eastAsia="Times New Roman" w:hAnsi="Calibri" w:cs="Calibri"/>
          <w:color w:val="000000"/>
          <w:kern w:val="0"/>
          <w:sz w:val="22"/>
          <w:szCs w:val="22"/>
          <w:lang w:val="it-IT" w:eastAsia="en-GB"/>
          <w14:ligatures w14:val="none"/>
        </w:rPr>
        <w:t xml:space="preserve">. </w:t>
      </w:r>
    </w:p>
    <w:p w14:paraId="593004A7" w14:textId="77777777" w:rsidR="00406ECF" w:rsidRPr="0079074F" w:rsidRDefault="00406ECF" w:rsidP="00406ECF">
      <w:pPr>
        <w:contextualSpacing/>
        <w:rPr>
          <w:rFonts w:ascii="Calibri" w:eastAsia="Times New Roman" w:hAnsi="Calibri" w:cs="Calibri"/>
          <w:color w:val="000000"/>
          <w:kern w:val="0"/>
          <w:sz w:val="22"/>
          <w:szCs w:val="22"/>
          <w:lang w:val="it-IT" w:eastAsia="en-GB"/>
          <w14:ligatures w14:val="none"/>
        </w:rPr>
      </w:pPr>
    </w:p>
    <w:p w14:paraId="5E67D271" w14:textId="302E6ECE" w:rsidR="00557B29" w:rsidRDefault="00557B29" w:rsidP="00406ECF">
      <w:pPr>
        <w:contextualSpacing/>
        <w:rPr>
          <w:rFonts w:ascii="Calibri" w:eastAsia="Times New Roman" w:hAnsi="Calibri" w:cs="Calibri"/>
          <w:color w:val="000000"/>
          <w:kern w:val="0"/>
          <w:sz w:val="22"/>
          <w:szCs w:val="22"/>
          <w:lang w:val="it-IT" w:eastAsia="en-GB"/>
          <w14:ligatures w14:val="none"/>
        </w:rPr>
      </w:pPr>
      <w:r w:rsidRPr="0079074F">
        <w:rPr>
          <w:rFonts w:ascii="Calibri" w:eastAsia="Times New Roman" w:hAnsi="Calibri" w:cs="Calibri"/>
          <w:color w:val="000000"/>
          <w:kern w:val="0"/>
          <w:sz w:val="22"/>
          <w:szCs w:val="22"/>
          <w:lang w:val="it-IT" w:eastAsia="en-GB"/>
          <w14:ligatures w14:val="none"/>
        </w:rPr>
        <w:t xml:space="preserve">Questo aumento è stato accompagnato anche da un </w:t>
      </w:r>
      <w:r w:rsidRPr="0079074F">
        <w:rPr>
          <w:rFonts w:ascii="Calibri" w:eastAsia="Times New Roman" w:hAnsi="Calibri" w:cs="Calibri"/>
          <w:b/>
          <w:bCs/>
          <w:color w:val="000000"/>
          <w:kern w:val="0"/>
          <w:sz w:val="22"/>
          <w:szCs w:val="22"/>
          <w:lang w:val="it-IT" w:eastAsia="en-GB"/>
          <w14:ligatures w14:val="none"/>
        </w:rPr>
        <w:t>miglioramento dell’inclusione</w:t>
      </w:r>
      <w:r w:rsidRPr="0079074F">
        <w:rPr>
          <w:rFonts w:ascii="Calibri" w:eastAsia="Times New Roman" w:hAnsi="Calibri" w:cs="Calibri"/>
          <w:color w:val="000000"/>
          <w:kern w:val="0"/>
          <w:sz w:val="22"/>
          <w:szCs w:val="22"/>
          <w:lang w:val="it-IT" w:eastAsia="en-GB"/>
          <w14:ligatures w14:val="none"/>
        </w:rPr>
        <w:t>. Il divario di genere – la differenza tra le quote di uomini e donne con un conto bancario – è sceso dal 17% nel 2011 al 6% nel 2017; tra chi fa parte della forza lavoro e chi no, è sceso dal 18% al 9%; tra chi ha un’istruzione secondaria e chi no, dal 29% al 10%; e tra ricchi e poveri dal 14% al 5%. Tutti questi divari sono ora inferiori ai livelli mondiali.</w:t>
      </w:r>
      <w:r w:rsidR="00255D69" w:rsidRPr="0079074F">
        <w:rPr>
          <w:rFonts w:ascii="Calibri" w:eastAsia="Times New Roman" w:hAnsi="Calibri" w:cs="Calibri"/>
          <w:color w:val="000000"/>
          <w:kern w:val="0"/>
          <w:sz w:val="22"/>
          <w:szCs w:val="22"/>
          <w:lang w:val="it-IT" w:eastAsia="en-GB"/>
          <w14:ligatures w14:val="none"/>
        </w:rPr>
        <w:t xml:space="preserve"> </w:t>
      </w:r>
      <w:r w:rsidRPr="0079074F">
        <w:rPr>
          <w:rFonts w:ascii="Calibri" w:eastAsia="Times New Roman" w:hAnsi="Calibri" w:cs="Calibri"/>
          <w:color w:val="000000"/>
          <w:kern w:val="0"/>
          <w:sz w:val="22"/>
          <w:szCs w:val="22"/>
          <w:lang w:val="it-IT" w:eastAsia="en-GB"/>
          <w14:ligatures w14:val="none"/>
        </w:rPr>
        <w:t xml:space="preserve">La percentuale della popolazione indiana di età pari o superiore ai 15 anni con un conto bancario è balzata </w:t>
      </w:r>
      <w:r w:rsidR="00AB0D00" w:rsidRPr="0079074F">
        <w:rPr>
          <w:rFonts w:ascii="Calibri" w:eastAsia="Times New Roman" w:hAnsi="Calibri" w:cs="Calibri"/>
          <w:color w:val="000000"/>
          <w:kern w:val="0"/>
          <w:sz w:val="22"/>
          <w:szCs w:val="22"/>
          <w:lang w:val="it-IT" w:eastAsia="en-GB"/>
          <w14:ligatures w14:val="none"/>
        </w:rPr>
        <w:t xml:space="preserve">a </w:t>
      </w:r>
      <w:r w:rsidRPr="0079074F">
        <w:rPr>
          <w:rFonts w:ascii="Calibri" w:eastAsia="Times New Roman" w:hAnsi="Calibri" w:cs="Calibri"/>
          <w:color w:val="000000"/>
          <w:kern w:val="0"/>
          <w:sz w:val="22"/>
          <w:szCs w:val="22"/>
          <w:lang w:val="it-IT" w:eastAsia="en-GB"/>
          <w14:ligatures w14:val="none"/>
        </w:rPr>
        <w:t xml:space="preserve">quasi l’80% nel 2017. Secondo le stime della BRI, per raggiungere </w:t>
      </w:r>
      <w:r w:rsidR="00AB0D00" w:rsidRPr="0079074F">
        <w:rPr>
          <w:rFonts w:ascii="Calibri" w:eastAsia="Times New Roman" w:hAnsi="Calibri" w:cs="Calibri"/>
          <w:color w:val="000000"/>
          <w:kern w:val="0"/>
          <w:sz w:val="22"/>
          <w:szCs w:val="22"/>
          <w:lang w:val="it-IT" w:eastAsia="en-GB"/>
          <w14:ligatures w14:val="none"/>
        </w:rPr>
        <w:t>questa percentuale</w:t>
      </w:r>
      <w:r w:rsidRPr="0079074F">
        <w:rPr>
          <w:rFonts w:ascii="Calibri" w:eastAsia="Times New Roman" w:hAnsi="Calibri" w:cs="Calibri"/>
          <w:color w:val="000000"/>
          <w:kern w:val="0"/>
          <w:sz w:val="22"/>
          <w:szCs w:val="22"/>
          <w:lang w:val="it-IT" w:eastAsia="en-GB"/>
          <w14:ligatures w14:val="none"/>
        </w:rPr>
        <w:t xml:space="preserve"> affidandosi esclusivamente ai processi di crescita tradizionali, per l’India ci sarebbero voluti 47 anni. Con l’aiuto della tecnologia, il Paese ce l’ha fatta in sette.</w:t>
      </w:r>
    </w:p>
    <w:p w14:paraId="0FC0AEC2" w14:textId="77777777" w:rsidR="00406ECF" w:rsidRPr="0079074F" w:rsidRDefault="00406ECF" w:rsidP="00406ECF">
      <w:pPr>
        <w:contextualSpacing/>
        <w:rPr>
          <w:rFonts w:ascii="Calibri" w:eastAsia="Times New Roman" w:hAnsi="Calibri" w:cs="Calibri"/>
          <w:color w:val="000000"/>
          <w:kern w:val="0"/>
          <w:sz w:val="22"/>
          <w:szCs w:val="22"/>
          <w:lang w:val="it-IT" w:eastAsia="en-GB"/>
          <w14:ligatures w14:val="none"/>
        </w:rPr>
      </w:pPr>
    </w:p>
    <w:p w14:paraId="61779263" w14:textId="6166EA91" w:rsidR="006817C7" w:rsidRDefault="006817C7" w:rsidP="00406ECF">
      <w:pPr>
        <w:contextualSpacing/>
        <w:outlineLvl w:val="1"/>
        <w:rPr>
          <w:rFonts w:ascii="Calibri" w:eastAsia="Times New Roman" w:hAnsi="Calibri" w:cs="Calibri"/>
          <w:color w:val="000000"/>
          <w:kern w:val="0"/>
          <w:sz w:val="22"/>
          <w:szCs w:val="22"/>
          <w:lang w:val="it-IT" w:eastAsia="en-GB"/>
          <w14:ligatures w14:val="none"/>
        </w:rPr>
      </w:pPr>
      <w:r w:rsidRPr="0079074F">
        <w:rPr>
          <w:rFonts w:ascii="Calibri" w:eastAsia="Times New Roman" w:hAnsi="Calibri" w:cs="Calibri"/>
          <w:b/>
          <w:bCs/>
          <w:color w:val="000000"/>
          <w:kern w:val="0"/>
          <w:sz w:val="22"/>
          <w:szCs w:val="22"/>
          <w:lang w:val="it-IT" w:eastAsia="en-GB"/>
          <w14:ligatures w14:val="none"/>
        </w:rPr>
        <w:t>L’aumento del numero dei conti bancari ha portato a un’economia più formale e ha aumentato la necessità di rendere più fluidi i processi e la velocità dei pagamenti</w:t>
      </w:r>
      <w:r w:rsidRPr="0079074F">
        <w:rPr>
          <w:rFonts w:ascii="Calibri" w:eastAsia="Times New Roman" w:hAnsi="Calibri" w:cs="Calibri"/>
          <w:color w:val="000000"/>
          <w:kern w:val="0"/>
          <w:sz w:val="22"/>
          <w:szCs w:val="22"/>
          <w:lang w:val="it-IT" w:eastAsia="en-GB"/>
          <w14:ligatures w14:val="none"/>
        </w:rPr>
        <w:t>. L’emergere dei pagamenti digitali, in particolare dell’Interfaccia di pagamento unificata (UPI), dal 2016 ha aiutato l’India a raggiungere il più alto volume di pagamenti digitali al mondo</w:t>
      </w:r>
      <w:r w:rsidR="00AB0D00" w:rsidRPr="0079074F">
        <w:rPr>
          <w:rFonts w:ascii="Calibri" w:eastAsia="Times New Roman" w:hAnsi="Calibri" w:cs="Calibri"/>
          <w:color w:val="000000"/>
          <w:kern w:val="0"/>
          <w:sz w:val="22"/>
          <w:szCs w:val="22"/>
          <w:lang w:val="it-IT" w:eastAsia="en-GB"/>
          <w14:ligatures w14:val="none"/>
        </w:rPr>
        <w:t xml:space="preserve"> </w:t>
      </w:r>
      <w:r w:rsidRPr="0079074F">
        <w:rPr>
          <w:rFonts w:ascii="Calibri" w:eastAsia="Times New Roman" w:hAnsi="Calibri" w:cs="Calibri"/>
          <w:color w:val="000000"/>
          <w:kern w:val="0"/>
          <w:sz w:val="22"/>
          <w:szCs w:val="22"/>
          <w:lang w:val="it-IT" w:eastAsia="en-GB"/>
          <w14:ligatures w14:val="none"/>
        </w:rPr>
        <w:t>dal 2019</w:t>
      </w:r>
      <w:r w:rsidR="00AB0D00" w:rsidRPr="0079074F">
        <w:rPr>
          <w:rFonts w:ascii="Calibri" w:eastAsia="Times New Roman" w:hAnsi="Calibri" w:cs="Calibri"/>
          <w:color w:val="000000"/>
          <w:kern w:val="0"/>
          <w:sz w:val="22"/>
          <w:szCs w:val="22"/>
          <w:lang w:val="it-IT" w:eastAsia="en-GB"/>
          <w14:ligatures w14:val="none"/>
        </w:rPr>
        <w:t xml:space="preserve"> in poi</w:t>
      </w:r>
      <w:r w:rsidRPr="0079074F">
        <w:rPr>
          <w:rFonts w:ascii="Calibri" w:eastAsia="Times New Roman" w:hAnsi="Calibri" w:cs="Calibri"/>
          <w:color w:val="000000"/>
          <w:kern w:val="0"/>
          <w:sz w:val="22"/>
          <w:szCs w:val="22"/>
          <w:lang w:val="it-IT" w:eastAsia="en-GB"/>
          <w14:ligatures w14:val="none"/>
        </w:rPr>
        <w:t xml:space="preserve">. L’UPI ha trasformato l’India da un’economia incentrata sul contante a un’economia di pagamenti istantanei senza rivelare i dati bancari alla controparte. </w:t>
      </w:r>
    </w:p>
    <w:p w14:paraId="20F827AC" w14:textId="77777777" w:rsidR="00406ECF" w:rsidRPr="0079074F" w:rsidRDefault="00406ECF" w:rsidP="00406ECF">
      <w:pPr>
        <w:contextualSpacing/>
        <w:outlineLvl w:val="1"/>
        <w:rPr>
          <w:rFonts w:ascii="Calibri" w:eastAsia="Times New Roman" w:hAnsi="Calibri" w:cs="Calibri"/>
          <w:color w:val="000000"/>
          <w:kern w:val="0"/>
          <w:sz w:val="22"/>
          <w:szCs w:val="22"/>
          <w:lang w:val="it-IT" w:eastAsia="en-GB"/>
          <w14:ligatures w14:val="none"/>
        </w:rPr>
      </w:pPr>
    </w:p>
    <w:p w14:paraId="4556C99E" w14:textId="533B5DC4" w:rsidR="006817C7" w:rsidRPr="0079074F" w:rsidRDefault="00255D69" w:rsidP="00406ECF">
      <w:pPr>
        <w:contextualSpacing/>
        <w:rPr>
          <w:rFonts w:ascii="Calibri" w:eastAsia="Times New Roman" w:hAnsi="Calibri" w:cs="Calibri"/>
          <w:b/>
          <w:bCs/>
          <w:kern w:val="0"/>
          <w:sz w:val="22"/>
          <w:szCs w:val="22"/>
          <w:u w:val="single"/>
          <w:lang w:val="it-IT" w:eastAsia="en-GB"/>
          <w14:ligatures w14:val="none"/>
        </w:rPr>
      </w:pPr>
      <w:r w:rsidRPr="0079074F">
        <w:rPr>
          <w:rFonts w:ascii="Calibri" w:eastAsia="Times New Roman" w:hAnsi="Calibri" w:cs="Calibri"/>
          <w:b/>
          <w:bCs/>
          <w:kern w:val="0"/>
          <w:sz w:val="22"/>
          <w:szCs w:val="22"/>
          <w:u w:val="single"/>
          <w:lang w:val="it-IT" w:eastAsia="en-GB"/>
          <w14:ligatures w14:val="none"/>
        </w:rPr>
        <w:t>Imposte, l</w:t>
      </w:r>
      <w:r w:rsidR="006817C7" w:rsidRPr="0079074F">
        <w:rPr>
          <w:rFonts w:ascii="Calibri" w:eastAsia="Times New Roman" w:hAnsi="Calibri" w:cs="Calibri"/>
          <w:b/>
          <w:bCs/>
          <w:kern w:val="0"/>
          <w:sz w:val="22"/>
          <w:szCs w:val="22"/>
          <w:u w:val="single"/>
          <w:lang w:val="it-IT" w:eastAsia="en-GB"/>
          <w14:ligatures w14:val="none"/>
        </w:rPr>
        <w:t xml:space="preserve">ogistica e trasporti: un mercato unico </w:t>
      </w:r>
    </w:p>
    <w:p w14:paraId="02C1585D" w14:textId="27D6A127" w:rsidR="00D13D57" w:rsidRPr="0079074F" w:rsidRDefault="00D13D57" w:rsidP="00406ECF">
      <w:pPr>
        <w:contextualSpacing/>
        <w:outlineLvl w:val="1"/>
        <w:rPr>
          <w:rFonts w:ascii="Calibri" w:eastAsia="Times New Roman" w:hAnsi="Calibri" w:cs="Calibri"/>
          <w:color w:val="000000"/>
          <w:kern w:val="0"/>
          <w:sz w:val="22"/>
          <w:szCs w:val="22"/>
          <w:lang w:val="it-IT" w:eastAsia="en-GB"/>
          <w14:ligatures w14:val="none"/>
        </w:rPr>
      </w:pPr>
      <w:r w:rsidRPr="0079074F">
        <w:rPr>
          <w:rFonts w:ascii="Calibri" w:eastAsia="Times New Roman" w:hAnsi="Calibri" w:cs="Calibri"/>
          <w:color w:val="000000"/>
          <w:kern w:val="0"/>
          <w:sz w:val="22"/>
          <w:szCs w:val="22"/>
          <w:lang w:val="it-IT" w:eastAsia="en-GB"/>
          <w14:ligatures w14:val="none"/>
        </w:rPr>
        <w:t>L’India comprende 28 Stati e otto territori dell’Unione. Prima del 2017, il sistema di imposte indirette del Paese era guidato dagli Stati. Questo comportava numerose e macchinose dichiarazioni dei redditi per le aziende presenti sul territorio nazionale, con conseguente perdita di entrate. La Goods and Services Tax (GST) è un sistema di dichiarazione dei redditi online in cui il back-end garantisce il corretto accredito delle imposte.</w:t>
      </w:r>
      <w:r w:rsidR="00312598" w:rsidRPr="0079074F">
        <w:rPr>
          <w:rFonts w:ascii="Calibri" w:eastAsia="Times New Roman" w:hAnsi="Calibri" w:cs="Calibri"/>
          <w:color w:val="000000"/>
          <w:kern w:val="0"/>
          <w:sz w:val="22"/>
          <w:szCs w:val="22"/>
          <w:lang w:val="it-IT" w:eastAsia="en-GB"/>
          <w14:ligatures w14:val="none"/>
        </w:rPr>
        <w:t xml:space="preserve"> Il nuovo sistema</w:t>
      </w:r>
      <w:r w:rsidRPr="0079074F">
        <w:rPr>
          <w:rFonts w:ascii="Calibri" w:eastAsia="Times New Roman" w:hAnsi="Calibri" w:cs="Calibri"/>
          <w:color w:val="000000"/>
          <w:kern w:val="0"/>
          <w:sz w:val="22"/>
          <w:szCs w:val="22"/>
          <w:lang w:val="it-IT" w:eastAsia="en-GB"/>
          <w14:ligatures w14:val="none"/>
        </w:rPr>
        <w:t xml:space="preserve"> ha spostato la frequenza delle dichiarazioni fiscali da trimestrale a mensile, garantendo al governo un flusso di cassa prevedibile e stabile</w:t>
      </w:r>
      <w:r w:rsidR="00AB0D00" w:rsidRPr="0079074F">
        <w:rPr>
          <w:rFonts w:ascii="Calibri" w:eastAsia="Times New Roman" w:hAnsi="Calibri" w:cs="Calibri"/>
          <w:color w:val="000000"/>
          <w:kern w:val="0"/>
          <w:sz w:val="22"/>
          <w:szCs w:val="22"/>
          <w:lang w:val="it-IT" w:eastAsia="en-GB"/>
          <w14:ligatures w14:val="none"/>
        </w:rPr>
        <w:t>, e</w:t>
      </w:r>
      <w:r w:rsidRPr="0079074F">
        <w:rPr>
          <w:rFonts w:ascii="Calibri" w:eastAsia="Times New Roman" w:hAnsi="Calibri" w:cs="Calibri"/>
          <w:color w:val="000000"/>
          <w:kern w:val="0"/>
          <w:sz w:val="22"/>
          <w:szCs w:val="22"/>
          <w:lang w:val="it-IT" w:eastAsia="en-GB"/>
          <w14:ligatures w14:val="none"/>
        </w:rPr>
        <w:t xml:space="preserve"> ha contribuito ad alleggerire il carico di adempimenti fiscali. </w:t>
      </w:r>
      <w:r w:rsidR="00312598" w:rsidRPr="0079074F">
        <w:rPr>
          <w:rFonts w:ascii="Calibri" w:eastAsia="Times New Roman" w:hAnsi="Calibri" w:cs="Calibri"/>
          <w:color w:val="000000"/>
          <w:kern w:val="0"/>
          <w:sz w:val="22"/>
          <w:szCs w:val="22"/>
          <w:lang w:val="it-IT" w:eastAsia="en-GB"/>
          <w14:ligatures w14:val="none"/>
        </w:rPr>
        <w:t>Grazie alla tecnologia l</w:t>
      </w:r>
      <w:r w:rsidRPr="0079074F">
        <w:rPr>
          <w:rFonts w:ascii="Calibri" w:eastAsia="Times New Roman" w:hAnsi="Calibri" w:cs="Calibri"/>
          <w:color w:val="000000"/>
          <w:kern w:val="0"/>
          <w:sz w:val="22"/>
          <w:szCs w:val="22"/>
          <w:lang w:val="it-IT" w:eastAsia="en-GB"/>
          <w14:ligatures w14:val="none"/>
        </w:rPr>
        <w:t>a circolazione interstatale delle merci è migliorata in modo significativo. Il sistema precedente comportava ingorghi ai confini di Stato sulle autostrade nazionali,</w:t>
      </w:r>
      <w:r w:rsidR="00312598" w:rsidRPr="0079074F">
        <w:rPr>
          <w:rFonts w:ascii="Calibri" w:eastAsia="Times New Roman" w:hAnsi="Calibri" w:cs="Calibri"/>
          <w:color w:val="000000"/>
          <w:kern w:val="0"/>
          <w:sz w:val="22"/>
          <w:szCs w:val="22"/>
          <w:lang w:val="it-IT" w:eastAsia="en-GB"/>
          <w14:ligatures w14:val="none"/>
        </w:rPr>
        <w:t xml:space="preserve"> </w:t>
      </w:r>
      <w:r w:rsidRPr="0079074F">
        <w:rPr>
          <w:rFonts w:ascii="Calibri" w:eastAsia="Times New Roman" w:hAnsi="Calibri" w:cs="Calibri"/>
          <w:color w:val="000000"/>
          <w:kern w:val="0"/>
          <w:sz w:val="22"/>
          <w:szCs w:val="22"/>
          <w:lang w:val="it-IT" w:eastAsia="en-GB"/>
          <w14:ligatures w14:val="none"/>
        </w:rPr>
        <w:t>ritardando il trasferimento delle merci per giorni.</w:t>
      </w:r>
      <w:r w:rsidR="00255D69" w:rsidRPr="0079074F">
        <w:rPr>
          <w:rFonts w:ascii="Calibri" w:eastAsia="Times New Roman" w:hAnsi="Calibri" w:cs="Calibri"/>
          <w:color w:val="000000"/>
          <w:kern w:val="0"/>
          <w:sz w:val="22"/>
          <w:szCs w:val="22"/>
          <w:lang w:val="it-IT" w:eastAsia="en-GB"/>
          <w14:ligatures w14:val="none"/>
        </w:rPr>
        <w:t xml:space="preserve"> </w:t>
      </w:r>
      <w:r w:rsidRPr="0079074F">
        <w:rPr>
          <w:rFonts w:ascii="Calibri" w:eastAsia="Times New Roman" w:hAnsi="Calibri" w:cs="Calibri"/>
          <w:color w:val="000000"/>
          <w:kern w:val="0"/>
          <w:sz w:val="22"/>
          <w:szCs w:val="22"/>
          <w:lang w:val="it-IT" w:eastAsia="en-GB"/>
          <w14:ligatures w14:val="none"/>
        </w:rPr>
        <w:t xml:space="preserve">Anche le infrastrutture stradali e ferroviarie in India sono state notevolmente migliorate negli ultimi anni, evidenziando come la tecnologia possa essere utilizzata per le infrastrutture fisiche. </w:t>
      </w:r>
    </w:p>
    <w:p w14:paraId="610DA8A8" w14:textId="77777777" w:rsidR="00406ECF" w:rsidRDefault="00406ECF" w:rsidP="00406ECF">
      <w:pPr>
        <w:contextualSpacing/>
        <w:outlineLvl w:val="1"/>
        <w:rPr>
          <w:rFonts w:ascii="Calibri" w:eastAsia="Times New Roman" w:hAnsi="Calibri" w:cs="Calibri"/>
          <w:b/>
          <w:bCs/>
          <w:kern w:val="0"/>
          <w:sz w:val="22"/>
          <w:szCs w:val="22"/>
          <w:u w:val="single"/>
          <w:lang w:val="it-IT" w:eastAsia="en-GB"/>
          <w14:ligatures w14:val="none"/>
        </w:rPr>
      </w:pPr>
    </w:p>
    <w:p w14:paraId="2D8364F1" w14:textId="6B16B43E" w:rsidR="002060F7" w:rsidRPr="0079074F" w:rsidRDefault="00255D69" w:rsidP="00406ECF">
      <w:pPr>
        <w:contextualSpacing/>
        <w:outlineLvl w:val="1"/>
        <w:rPr>
          <w:rFonts w:ascii="Calibri" w:eastAsia="Times New Roman" w:hAnsi="Calibri" w:cs="Calibri"/>
          <w:b/>
          <w:bCs/>
          <w:kern w:val="0"/>
          <w:sz w:val="22"/>
          <w:szCs w:val="22"/>
          <w:u w:val="single"/>
          <w:lang w:val="it-IT" w:eastAsia="en-GB"/>
          <w14:ligatures w14:val="none"/>
        </w:rPr>
      </w:pPr>
      <w:r w:rsidRPr="0079074F">
        <w:rPr>
          <w:rFonts w:ascii="Calibri" w:eastAsia="Times New Roman" w:hAnsi="Calibri" w:cs="Calibri"/>
          <w:b/>
          <w:bCs/>
          <w:kern w:val="0"/>
          <w:sz w:val="22"/>
          <w:szCs w:val="22"/>
          <w:u w:val="single"/>
          <w:lang w:val="it-IT" w:eastAsia="en-GB"/>
          <w14:ligatures w14:val="none"/>
        </w:rPr>
        <w:t xml:space="preserve">I benefici per </w:t>
      </w:r>
      <w:r w:rsidR="00AB0D00" w:rsidRPr="0079074F">
        <w:rPr>
          <w:rFonts w:ascii="Calibri" w:eastAsia="Times New Roman" w:hAnsi="Calibri" w:cs="Calibri"/>
          <w:b/>
          <w:bCs/>
          <w:kern w:val="0"/>
          <w:sz w:val="22"/>
          <w:szCs w:val="22"/>
          <w:u w:val="single"/>
          <w:lang w:val="it-IT" w:eastAsia="en-GB"/>
          <w14:ligatures w14:val="none"/>
        </w:rPr>
        <w:t>la Borsa</w:t>
      </w:r>
    </w:p>
    <w:p w14:paraId="69BFAC0E" w14:textId="77777777" w:rsidR="008032A2" w:rsidRDefault="008032A2" w:rsidP="00406ECF">
      <w:pPr>
        <w:contextualSpacing/>
        <w:rPr>
          <w:rFonts w:ascii="Calibri" w:eastAsia="Times New Roman" w:hAnsi="Calibri" w:cs="Calibri"/>
          <w:color w:val="000000"/>
          <w:kern w:val="0"/>
          <w:sz w:val="22"/>
          <w:szCs w:val="22"/>
          <w:lang w:val="it-IT" w:eastAsia="en-GB"/>
          <w14:ligatures w14:val="none"/>
        </w:rPr>
      </w:pPr>
      <w:r w:rsidRPr="0079074F">
        <w:rPr>
          <w:rFonts w:ascii="Calibri" w:eastAsia="Times New Roman" w:hAnsi="Calibri" w:cs="Calibri"/>
          <w:color w:val="000000"/>
          <w:kern w:val="0"/>
          <w:sz w:val="22"/>
          <w:szCs w:val="22"/>
          <w:lang w:val="it-IT" w:eastAsia="en-GB"/>
          <w14:ligatures w14:val="none"/>
        </w:rPr>
        <w:t xml:space="preserve">I mercati azionari in India sono cresciuti di pari passo con l’economia. L’infrastruttura di mercato non è immune all’uso della tecnologia e </w:t>
      </w:r>
      <w:r w:rsidRPr="0079074F">
        <w:rPr>
          <w:rFonts w:ascii="Calibri" w:eastAsia="Times New Roman" w:hAnsi="Calibri" w:cs="Calibri"/>
          <w:b/>
          <w:bCs/>
          <w:color w:val="000000"/>
          <w:kern w:val="0"/>
          <w:sz w:val="22"/>
          <w:szCs w:val="22"/>
          <w:lang w:val="it-IT" w:eastAsia="en-GB"/>
          <w14:ligatures w14:val="none"/>
        </w:rPr>
        <w:t xml:space="preserve">sta cambiando il modo di investire degli indiani. Da tradizionali </w:t>
      </w:r>
      <w:r w:rsidRPr="0079074F">
        <w:rPr>
          <w:rFonts w:ascii="Calibri" w:eastAsia="Times New Roman" w:hAnsi="Calibri" w:cs="Calibri"/>
          <w:b/>
          <w:bCs/>
          <w:color w:val="000000"/>
          <w:kern w:val="0"/>
          <w:sz w:val="22"/>
          <w:szCs w:val="22"/>
          <w:lang w:val="it-IT" w:eastAsia="en-GB"/>
          <w14:ligatures w14:val="none"/>
        </w:rPr>
        <w:lastRenderedPageBreak/>
        <w:t>acquirenti di immobili, oro e depositi fissi,</w:t>
      </w:r>
      <w:r w:rsidRPr="0079074F">
        <w:rPr>
          <w:rFonts w:ascii="Calibri" w:eastAsia="Times New Roman" w:hAnsi="Calibri" w:cs="Calibri"/>
          <w:color w:val="000000"/>
          <w:kern w:val="0"/>
          <w:sz w:val="22"/>
          <w:szCs w:val="22"/>
          <w:lang w:val="it-IT" w:eastAsia="en-GB"/>
          <w14:ligatures w14:val="none"/>
        </w:rPr>
        <w:t xml:space="preserve"> </w:t>
      </w:r>
      <w:r w:rsidRPr="0079074F">
        <w:rPr>
          <w:rFonts w:ascii="Calibri" w:eastAsia="Times New Roman" w:hAnsi="Calibri" w:cs="Calibri"/>
          <w:b/>
          <w:bCs/>
          <w:color w:val="000000"/>
          <w:kern w:val="0"/>
          <w:sz w:val="22"/>
          <w:szCs w:val="22"/>
          <w:lang w:val="it-IT" w:eastAsia="en-GB"/>
          <w14:ligatures w14:val="none"/>
        </w:rPr>
        <w:t>gli indiani guardano sempre più alle azioni per i loro risparmi</w:t>
      </w:r>
      <w:r w:rsidRPr="0079074F">
        <w:rPr>
          <w:rFonts w:ascii="Calibri" w:eastAsia="Times New Roman" w:hAnsi="Calibri" w:cs="Calibri"/>
          <w:color w:val="000000"/>
          <w:kern w:val="0"/>
          <w:sz w:val="22"/>
          <w:szCs w:val="22"/>
          <w:lang w:val="it-IT" w:eastAsia="en-GB"/>
          <w14:ligatures w14:val="none"/>
        </w:rPr>
        <w:t>. I contributi mensili regolari, chiamati “Piani di investimento sistematici”, in fondi comuni di investimento orientati alle azioni hanno registrato un aumento costante dal 2016 e ora rappresentano quasi 2 miliardi di dollari al mese.</w:t>
      </w:r>
    </w:p>
    <w:p w14:paraId="3E164D83" w14:textId="77777777" w:rsidR="00406ECF" w:rsidRPr="0079074F" w:rsidRDefault="00406ECF" w:rsidP="00406ECF">
      <w:pPr>
        <w:contextualSpacing/>
        <w:rPr>
          <w:rFonts w:ascii="Calibri" w:eastAsia="Times New Roman" w:hAnsi="Calibri" w:cs="Calibri"/>
          <w:color w:val="000000"/>
          <w:kern w:val="0"/>
          <w:sz w:val="22"/>
          <w:szCs w:val="22"/>
          <w:lang w:val="it-IT" w:eastAsia="en-GB"/>
          <w14:ligatures w14:val="none"/>
        </w:rPr>
      </w:pPr>
    </w:p>
    <w:p w14:paraId="7938950F" w14:textId="02EDCB1A" w:rsidR="008032A2" w:rsidRDefault="008032A2" w:rsidP="00406ECF">
      <w:pPr>
        <w:contextualSpacing/>
        <w:rPr>
          <w:rFonts w:ascii="Calibri" w:eastAsia="Times New Roman" w:hAnsi="Calibri" w:cs="Calibri"/>
          <w:color w:val="000000"/>
          <w:kern w:val="0"/>
          <w:sz w:val="22"/>
          <w:szCs w:val="22"/>
          <w:lang w:val="it-IT" w:eastAsia="en-GB"/>
          <w14:ligatures w14:val="none"/>
        </w:rPr>
      </w:pPr>
      <w:r w:rsidRPr="0079074F">
        <w:rPr>
          <w:rFonts w:ascii="Calibri" w:eastAsia="Times New Roman" w:hAnsi="Calibri" w:cs="Calibri"/>
          <w:color w:val="000000"/>
          <w:kern w:val="0"/>
          <w:sz w:val="22"/>
          <w:szCs w:val="22"/>
          <w:lang w:val="it-IT" w:eastAsia="en-GB"/>
          <w14:ligatures w14:val="none"/>
        </w:rPr>
        <w:t xml:space="preserve">Il numero di investitori retail è in costante aumento grazie alla disponibilità di informazioni e di piattaforme online che offrono la possibilità di aprire un conto senza carta. I primi tre agenti di </w:t>
      </w:r>
      <w:r w:rsidR="009318E9">
        <w:rPr>
          <w:rFonts w:ascii="Calibri" w:eastAsia="Times New Roman" w:hAnsi="Calibri" w:cs="Calibri"/>
          <w:color w:val="000000"/>
          <w:kern w:val="0"/>
          <w:sz w:val="22"/>
          <w:szCs w:val="22"/>
          <w:lang w:val="it-IT" w:eastAsia="en-GB"/>
          <w14:ligatures w14:val="none"/>
        </w:rPr>
        <w:t>Bo</w:t>
      </w:r>
      <w:r w:rsidRPr="0079074F">
        <w:rPr>
          <w:rFonts w:ascii="Calibri" w:eastAsia="Times New Roman" w:hAnsi="Calibri" w:cs="Calibri"/>
          <w:color w:val="000000"/>
          <w:kern w:val="0"/>
          <w:sz w:val="22"/>
          <w:szCs w:val="22"/>
          <w:lang w:val="it-IT" w:eastAsia="en-GB"/>
          <w14:ligatures w14:val="none"/>
        </w:rPr>
        <w:t>rsa in base al numero di clienti unici attivi sono operatori fintech di nuova generazione</w:t>
      </w:r>
      <w:r w:rsidR="00AB0D00" w:rsidRPr="0079074F">
        <w:rPr>
          <w:rFonts w:ascii="Calibri" w:eastAsia="Times New Roman" w:hAnsi="Calibri" w:cs="Calibri"/>
          <w:color w:val="000000"/>
          <w:kern w:val="0"/>
          <w:sz w:val="22"/>
          <w:szCs w:val="22"/>
          <w:lang w:val="it-IT" w:eastAsia="en-GB"/>
          <w14:ligatures w14:val="none"/>
        </w:rPr>
        <w:t>, i quali</w:t>
      </w:r>
      <w:r w:rsidRPr="0079074F">
        <w:rPr>
          <w:rFonts w:ascii="Calibri" w:eastAsia="Times New Roman" w:hAnsi="Calibri" w:cs="Calibri"/>
          <w:color w:val="000000"/>
          <w:kern w:val="0"/>
          <w:sz w:val="22"/>
          <w:szCs w:val="22"/>
          <w:lang w:val="it-IT" w:eastAsia="en-GB"/>
          <w14:ligatures w14:val="none"/>
        </w:rPr>
        <w:t xml:space="preserve"> rappresentano oltre il 40% della quota di mercato totale. Gli operatori storici hanno modificato i loro modelli di business adottando un modello online. Le transazioni online e i regolamenti paperless, compresi i pagamenti in contanti, hanno superato il sistema offline alcuni anni fa.</w:t>
      </w:r>
    </w:p>
    <w:p w14:paraId="6FC14610" w14:textId="77777777" w:rsidR="00406ECF" w:rsidRPr="0079074F" w:rsidRDefault="00406ECF" w:rsidP="00406ECF">
      <w:pPr>
        <w:contextualSpacing/>
        <w:rPr>
          <w:rFonts w:ascii="Calibri" w:eastAsia="Times New Roman" w:hAnsi="Calibri" w:cs="Calibri"/>
          <w:color w:val="000000"/>
          <w:kern w:val="0"/>
          <w:sz w:val="22"/>
          <w:szCs w:val="22"/>
          <w:lang w:val="it-IT" w:eastAsia="en-GB"/>
          <w14:ligatures w14:val="none"/>
        </w:rPr>
      </w:pPr>
    </w:p>
    <w:p w14:paraId="0ABB69F2" w14:textId="2F8E2866" w:rsidR="008032A2" w:rsidRDefault="008032A2" w:rsidP="00406ECF">
      <w:pPr>
        <w:contextualSpacing/>
        <w:rPr>
          <w:rFonts w:ascii="Calibri" w:eastAsia="Times New Roman" w:hAnsi="Calibri" w:cs="Calibri"/>
          <w:color w:val="000000"/>
          <w:kern w:val="0"/>
          <w:sz w:val="22"/>
          <w:szCs w:val="22"/>
          <w:lang w:val="it-IT" w:eastAsia="en-GB"/>
          <w14:ligatures w14:val="none"/>
        </w:rPr>
      </w:pPr>
      <w:r w:rsidRPr="0079074F">
        <w:rPr>
          <w:rFonts w:ascii="Calibri" w:eastAsia="Times New Roman" w:hAnsi="Calibri" w:cs="Calibri"/>
          <w:color w:val="000000"/>
          <w:kern w:val="0"/>
          <w:sz w:val="22"/>
          <w:szCs w:val="22"/>
          <w:lang w:val="it-IT" w:eastAsia="en-GB"/>
          <w14:ligatures w14:val="none"/>
        </w:rPr>
        <w:t xml:space="preserve">Con una popolazione di investitori ampia e in crescita, il rischio di controparte e di mercato aumenta con il tempo necessario per regolare le transazioni. Per questo motivo, </w:t>
      </w:r>
      <w:r w:rsidRPr="0079074F">
        <w:rPr>
          <w:rFonts w:ascii="Calibri" w:eastAsia="Times New Roman" w:hAnsi="Calibri" w:cs="Calibri"/>
          <w:b/>
          <w:bCs/>
          <w:color w:val="000000"/>
          <w:kern w:val="0"/>
          <w:sz w:val="22"/>
          <w:szCs w:val="22"/>
          <w:lang w:val="it-IT" w:eastAsia="en-GB"/>
          <w14:ligatures w14:val="none"/>
        </w:rPr>
        <w:t>le autorità di regolamentazione stanno accorciando i cicli di regolamento delle transazioni</w:t>
      </w:r>
      <w:r w:rsidRPr="0079074F">
        <w:rPr>
          <w:rFonts w:ascii="Calibri" w:eastAsia="Times New Roman" w:hAnsi="Calibri" w:cs="Calibri"/>
          <w:color w:val="000000"/>
          <w:kern w:val="0"/>
          <w:sz w:val="22"/>
          <w:szCs w:val="22"/>
          <w:lang w:val="it-IT" w:eastAsia="en-GB"/>
          <w14:ligatures w14:val="none"/>
        </w:rPr>
        <w:t xml:space="preserve"> da due giorni (T+2) a un giorno (T+1). L’India è uno dei primi </w:t>
      </w:r>
      <w:r w:rsidR="009318E9">
        <w:rPr>
          <w:rFonts w:ascii="Calibri" w:eastAsia="Times New Roman" w:hAnsi="Calibri" w:cs="Calibri"/>
          <w:color w:val="000000"/>
          <w:kern w:val="0"/>
          <w:sz w:val="22"/>
          <w:szCs w:val="22"/>
          <w:lang w:val="it-IT" w:eastAsia="en-GB"/>
          <w14:ligatures w14:val="none"/>
        </w:rPr>
        <w:t>p</w:t>
      </w:r>
      <w:r w:rsidRPr="0079074F">
        <w:rPr>
          <w:rFonts w:ascii="Calibri" w:eastAsia="Times New Roman" w:hAnsi="Calibri" w:cs="Calibri"/>
          <w:color w:val="000000"/>
          <w:kern w:val="0"/>
          <w:sz w:val="22"/>
          <w:szCs w:val="22"/>
          <w:lang w:val="it-IT" w:eastAsia="en-GB"/>
          <w14:ligatures w14:val="none"/>
        </w:rPr>
        <w:t>aesi al mondo ad aver</w:t>
      </w:r>
      <w:r w:rsidR="00AB0D00" w:rsidRPr="0079074F">
        <w:rPr>
          <w:rFonts w:ascii="Calibri" w:eastAsia="Times New Roman" w:hAnsi="Calibri" w:cs="Calibri"/>
          <w:color w:val="000000"/>
          <w:kern w:val="0"/>
          <w:sz w:val="22"/>
          <w:szCs w:val="22"/>
          <w:lang w:val="it-IT" w:eastAsia="en-GB"/>
          <w14:ligatures w14:val="none"/>
        </w:rPr>
        <w:t>lo fatto</w:t>
      </w:r>
      <w:r w:rsidRPr="0079074F">
        <w:rPr>
          <w:rFonts w:ascii="Calibri" w:eastAsia="Times New Roman" w:hAnsi="Calibri" w:cs="Calibri"/>
          <w:color w:val="000000"/>
          <w:kern w:val="0"/>
          <w:sz w:val="22"/>
          <w:szCs w:val="22"/>
          <w:lang w:val="it-IT" w:eastAsia="en-GB"/>
          <w14:ligatures w14:val="none"/>
        </w:rPr>
        <w:t>. La Securities and Exchange Commission statunitense</w:t>
      </w:r>
      <w:r w:rsidR="00AB0D00" w:rsidRPr="0079074F">
        <w:rPr>
          <w:rFonts w:ascii="Calibri" w:eastAsia="Times New Roman" w:hAnsi="Calibri" w:cs="Calibri"/>
          <w:color w:val="000000"/>
          <w:kern w:val="0"/>
          <w:sz w:val="22"/>
          <w:szCs w:val="22"/>
          <w:lang w:val="it-IT" w:eastAsia="en-GB"/>
          <w14:ligatures w14:val="none"/>
        </w:rPr>
        <w:t xml:space="preserve"> lo </w:t>
      </w:r>
      <w:r w:rsidRPr="0079074F">
        <w:rPr>
          <w:rFonts w:ascii="Calibri" w:eastAsia="Times New Roman" w:hAnsi="Calibri" w:cs="Calibri"/>
          <w:color w:val="000000"/>
          <w:kern w:val="0"/>
          <w:sz w:val="22"/>
          <w:szCs w:val="22"/>
          <w:lang w:val="it-IT" w:eastAsia="en-GB"/>
          <w14:ligatures w14:val="none"/>
        </w:rPr>
        <w:t>introdurrà solo a metà del 2024.</w:t>
      </w:r>
    </w:p>
    <w:p w14:paraId="61FDF1C9" w14:textId="77777777" w:rsidR="00406ECF" w:rsidRPr="0079074F" w:rsidRDefault="00406ECF" w:rsidP="00406ECF">
      <w:pPr>
        <w:contextualSpacing/>
        <w:rPr>
          <w:rFonts w:ascii="Calibri" w:eastAsia="Times New Roman" w:hAnsi="Calibri" w:cs="Calibri"/>
          <w:color w:val="000000"/>
          <w:kern w:val="0"/>
          <w:sz w:val="22"/>
          <w:szCs w:val="22"/>
          <w:lang w:val="it-IT" w:eastAsia="en-GB"/>
          <w14:ligatures w14:val="none"/>
        </w:rPr>
      </w:pPr>
    </w:p>
    <w:p w14:paraId="52DC2861" w14:textId="2837003F" w:rsidR="008032A2" w:rsidRDefault="008032A2" w:rsidP="00406ECF">
      <w:pPr>
        <w:contextualSpacing/>
        <w:rPr>
          <w:rFonts w:ascii="Calibri" w:eastAsia="Times New Roman" w:hAnsi="Calibri" w:cs="Calibri"/>
          <w:color w:val="000000"/>
          <w:kern w:val="0"/>
          <w:sz w:val="22"/>
          <w:szCs w:val="22"/>
          <w:lang w:val="it-IT" w:eastAsia="en-GB"/>
          <w14:ligatures w14:val="none"/>
        </w:rPr>
      </w:pPr>
      <w:r w:rsidRPr="0079074F">
        <w:rPr>
          <w:rFonts w:ascii="Calibri" w:eastAsia="Times New Roman" w:hAnsi="Calibri" w:cs="Calibri"/>
          <w:b/>
          <w:bCs/>
          <w:color w:val="000000"/>
          <w:kern w:val="0"/>
          <w:sz w:val="22"/>
          <w:szCs w:val="22"/>
          <w:lang w:val="it-IT" w:eastAsia="en-GB"/>
          <w14:ligatures w14:val="none"/>
        </w:rPr>
        <w:t>Il vivace ecosistema delle start-up in India ha attirato forti flussi di private equity nell’ultimo decennio</w:t>
      </w:r>
      <w:r w:rsidRPr="0079074F">
        <w:rPr>
          <w:rFonts w:ascii="Calibri" w:eastAsia="Times New Roman" w:hAnsi="Calibri" w:cs="Calibri"/>
          <w:color w:val="000000"/>
          <w:kern w:val="0"/>
          <w:sz w:val="22"/>
          <w:szCs w:val="22"/>
          <w:lang w:val="it-IT" w:eastAsia="en-GB"/>
          <w14:ligatures w14:val="none"/>
        </w:rPr>
        <w:t>.</w:t>
      </w:r>
      <w:r w:rsidR="00255D69" w:rsidRPr="0079074F">
        <w:rPr>
          <w:rFonts w:ascii="Calibri" w:eastAsia="Times New Roman" w:hAnsi="Calibri" w:cs="Calibri"/>
          <w:color w:val="000000"/>
          <w:kern w:val="0"/>
          <w:sz w:val="22"/>
          <w:szCs w:val="22"/>
          <w:lang w:val="it-IT" w:eastAsia="en-GB"/>
          <w14:ligatures w14:val="none"/>
        </w:rPr>
        <w:t xml:space="preserve"> </w:t>
      </w:r>
      <w:r w:rsidRPr="0079074F">
        <w:rPr>
          <w:rFonts w:ascii="Calibri" w:eastAsia="Times New Roman" w:hAnsi="Calibri" w:cs="Calibri"/>
          <w:color w:val="000000"/>
          <w:kern w:val="0"/>
          <w:sz w:val="22"/>
          <w:szCs w:val="22"/>
          <w:lang w:val="it-IT" w:eastAsia="en-GB"/>
          <w14:ligatures w14:val="none"/>
        </w:rPr>
        <w:t>Secondo l’ultimo conteggio, l’India ha prodotto 108 unicorni (</w:t>
      </w:r>
      <w:r w:rsidR="00AB0D00" w:rsidRPr="0079074F">
        <w:rPr>
          <w:rFonts w:ascii="Calibri" w:eastAsia="Times New Roman" w:hAnsi="Calibri" w:cs="Calibri"/>
          <w:color w:val="000000"/>
          <w:kern w:val="0"/>
          <w:sz w:val="22"/>
          <w:szCs w:val="22"/>
          <w:lang w:val="it-IT" w:eastAsia="en-GB"/>
          <w14:ligatures w14:val="none"/>
        </w:rPr>
        <w:t xml:space="preserve">le </w:t>
      </w:r>
      <w:r w:rsidRPr="0079074F">
        <w:rPr>
          <w:rFonts w:ascii="Calibri" w:eastAsia="Times New Roman" w:hAnsi="Calibri" w:cs="Calibri"/>
          <w:color w:val="000000"/>
          <w:kern w:val="0"/>
          <w:sz w:val="22"/>
          <w:szCs w:val="22"/>
          <w:lang w:val="it-IT" w:eastAsia="en-GB"/>
          <w14:ligatures w14:val="none"/>
        </w:rPr>
        <w:t>start-up con una capitalizzazione di mercato superiore a 1 miliardo di dollari) con una valutazione complessiva di oltre 354 miliardi di dollari</w:t>
      </w:r>
      <w:r w:rsidR="00255D69" w:rsidRPr="0079074F">
        <w:rPr>
          <w:rFonts w:ascii="Calibri" w:eastAsia="Times New Roman" w:hAnsi="Calibri" w:cs="Calibri"/>
          <w:color w:val="000000"/>
          <w:kern w:val="0"/>
          <w:sz w:val="22"/>
          <w:szCs w:val="22"/>
          <w:lang w:val="it-IT" w:eastAsia="en-GB"/>
          <w14:ligatures w14:val="none"/>
        </w:rPr>
        <w:t>,</w:t>
      </w:r>
      <w:r w:rsidRPr="0079074F">
        <w:rPr>
          <w:rFonts w:ascii="Calibri" w:eastAsia="Times New Roman" w:hAnsi="Calibri" w:cs="Calibri"/>
          <w:color w:val="000000"/>
          <w:kern w:val="0"/>
          <w:sz w:val="22"/>
          <w:szCs w:val="22"/>
          <w:lang w:val="it-IT" w:eastAsia="en-GB"/>
          <w14:ligatures w14:val="none"/>
        </w:rPr>
        <w:t xml:space="preserve"> secondo Inc42</w:t>
      </w:r>
      <w:r w:rsidR="00AB0D00" w:rsidRPr="0079074F">
        <w:rPr>
          <w:rFonts w:ascii="Calibri" w:eastAsia="Times New Roman" w:hAnsi="Calibri" w:cs="Calibri"/>
          <w:color w:val="000000"/>
          <w:kern w:val="0"/>
          <w:sz w:val="22"/>
          <w:szCs w:val="22"/>
          <w:lang w:val="it-IT" w:eastAsia="en-GB"/>
          <w14:ligatures w14:val="none"/>
        </w:rPr>
        <w:t xml:space="preserve">, attive in </w:t>
      </w:r>
      <w:r w:rsidRPr="0079074F">
        <w:rPr>
          <w:rFonts w:ascii="Calibri" w:eastAsia="Times New Roman" w:hAnsi="Calibri" w:cs="Calibri"/>
          <w:color w:val="000000"/>
          <w:kern w:val="0"/>
          <w:sz w:val="22"/>
          <w:szCs w:val="22"/>
          <w:lang w:val="it-IT" w:eastAsia="en-GB"/>
          <w14:ligatures w14:val="none"/>
        </w:rPr>
        <w:t>settori diversi</w:t>
      </w:r>
      <w:r w:rsidR="00AB0D00" w:rsidRPr="0079074F">
        <w:rPr>
          <w:rFonts w:ascii="Calibri" w:eastAsia="Times New Roman" w:hAnsi="Calibri" w:cs="Calibri"/>
          <w:color w:val="000000"/>
          <w:kern w:val="0"/>
          <w:sz w:val="22"/>
          <w:szCs w:val="22"/>
          <w:lang w:val="it-IT" w:eastAsia="en-GB"/>
          <w14:ligatures w14:val="none"/>
        </w:rPr>
        <w:t>:</w:t>
      </w:r>
      <w:r w:rsidRPr="0079074F">
        <w:rPr>
          <w:rFonts w:ascii="Calibri" w:eastAsia="Times New Roman" w:hAnsi="Calibri" w:cs="Calibri"/>
          <w:color w:val="000000"/>
          <w:kern w:val="0"/>
          <w:sz w:val="22"/>
          <w:szCs w:val="22"/>
          <w:lang w:val="it-IT" w:eastAsia="en-GB"/>
          <w14:ligatures w14:val="none"/>
        </w:rPr>
        <w:t xml:space="preserve"> finanza, i beni di consumo discrezionali, vendita al dettaglio, servizi di comunicazione, difesa e servizi di pubblica utilità. Anche gli operatori storici hanno adottato la tecnologia per crescere e mantenere la propria quota di mercato.</w:t>
      </w:r>
    </w:p>
    <w:p w14:paraId="16BDA584" w14:textId="77777777" w:rsidR="00406ECF" w:rsidRPr="0079074F" w:rsidRDefault="00406ECF" w:rsidP="00406ECF">
      <w:pPr>
        <w:contextualSpacing/>
        <w:rPr>
          <w:rFonts w:ascii="Calibri" w:eastAsia="Times New Roman" w:hAnsi="Calibri" w:cs="Calibri"/>
          <w:color w:val="000000"/>
          <w:kern w:val="0"/>
          <w:sz w:val="22"/>
          <w:szCs w:val="22"/>
          <w:lang w:val="it-IT" w:eastAsia="en-GB"/>
          <w14:ligatures w14:val="none"/>
        </w:rPr>
      </w:pPr>
    </w:p>
    <w:p w14:paraId="6305E54E" w14:textId="234F9A48" w:rsidR="008032A2" w:rsidRDefault="008032A2" w:rsidP="00406ECF">
      <w:pPr>
        <w:contextualSpacing/>
        <w:rPr>
          <w:rFonts w:ascii="Calibri" w:eastAsia="Times New Roman" w:hAnsi="Calibri" w:cs="Calibri"/>
          <w:color w:val="000000"/>
          <w:kern w:val="0"/>
          <w:sz w:val="22"/>
          <w:szCs w:val="22"/>
          <w:lang w:val="it-IT" w:eastAsia="en-GB"/>
          <w14:ligatures w14:val="none"/>
        </w:rPr>
      </w:pPr>
      <w:r w:rsidRPr="0079074F">
        <w:rPr>
          <w:rFonts w:ascii="Calibri" w:eastAsia="Times New Roman" w:hAnsi="Calibri" w:cs="Calibri"/>
          <w:color w:val="000000"/>
          <w:kern w:val="0"/>
          <w:sz w:val="22"/>
          <w:szCs w:val="22"/>
          <w:lang w:val="it-IT" w:eastAsia="en-GB"/>
          <w14:ligatures w14:val="none"/>
        </w:rPr>
        <w:t xml:space="preserve">Il mercato azionario ha beneficiato di una rivalutazione delle aziende esistenti e di nuove quotazioni. </w:t>
      </w:r>
      <w:r w:rsidRPr="0079074F">
        <w:rPr>
          <w:rFonts w:ascii="Calibri" w:eastAsia="Times New Roman" w:hAnsi="Calibri" w:cs="Calibri"/>
          <w:b/>
          <w:bCs/>
          <w:color w:val="000000"/>
          <w:kern w:val="0"/>
          <w:sz w:val="22"/>
          <w:szCs w:val="22"/>
          <w:lang w:val="it-IT" w:eastAsia="en-GB"/>
          <w14:ligatures w14:val="none"/>
        </w:rPr>
        <w:t>I prezzi delle azioni riflettono la crescita degli utili dovuta ai cambiamenti strutturali e macroeconomici</w:t>
      </w:r>
      <w:r w:rsidRPr="0079074F">
        <w:rPr>
          <w:rFonts w:ascii="Calibri" w:eastAsia="Times New Roman" w:hAnsi="Calibri" w:cs="Calibri"/>
          <w:color w:val="000000"/>
          <w:kern w:val="0"/>
          <w:sz w:val="22"/>
          <w:szCs w:val="22"/>
          <w:lang w:val="it-IT" w:eastAsia="en-GB"/>
          <w14:ligatures w14:val="none"/>
        </w:rPr>
        <w:t>.</w:t>
      </w:r>
      <w:r w:rsidR="00255D69" w:rsidRPr="0079074F">
        <w:rPr>
          <w:rFonts w:ascii="Calibri" w:eastAsia="Times New Roman" w:hAnsi="Calibri" w:cs="Calibri"/>
          <w:color w:val="000000"/>
          <w:kern w:val="0"/>
          <w:sz w:val="22"/>
          <w:szCs w:val="22"/>
          <w:lang w:val="it-IT" w:eastAsia="en-GB"/>
          <w14:ligatures w14:val="none"/>
        </w:rPr>
        <w:t xml:space="preserve"> </w:t>
      </w:r>
      <w:r w:rsidRPr="0079074F">
        <w:rPr>
          <w:rFonts w:ascii="Calibri" w:eastAsia="Times New Roman" w:hAnsi="Calibri" w:cs="Calibri"/>
          <w:color w:val="000000"/>
          <w:kern w:val="0"/>
          <w:sz w:val="22"/>
          <w:szCs w:val="22"/>
          <w:lang w:val="it-IT" w:eastAsia="en-GB"/>
          <w14:ligatures w14:val="none"/>
        </w:rPr>
        <w:t xml:space="preserve">Storicamente, l’India è stata scambiata a valutazioni più elevate rispetto ad altri mercati emergenti, ma con caratteristiche diverse. </w:t>
      </w:r>
      <w:r w:rsidR="00AB0D00" w:rsidRPr="0079074F">
        <w:rPr>
          <w:rFonts w:ascii="Calibri" w:eastAsia="Times New Roman" w:hAnsi="Calibri" w:cs="Calibri"/>
          <w:color w:val="000000"/>
          <w:kern w:val="0"/>
          <w:sz w:val="22"/>
          <w:szCs w:val="22"/>
          <w:lang w:val="it-IT" w:eastAsia="en-GB"/>
          <w14:ligatures w14:val="none"/>
        </w:rPr>
        <w:t>Per</w:t>
      </w:r>
      <w:r w:rsidRPr="0079074F">
        <w:rPr>
          <w:rFonts w:ascii="Calibri" w:eastAsia="Times New Roman" w:hAnsi="Calibri" w:cs="Calibri"/>
          <w:color w:val="000000"/>
          <w:kern w:val="0"/>
          <w:sz w:val="22"/>
          <w:szCs w:val="22"/>
          <w:lang w:val="it-IT" w:eastAsia="en-GB"/>
          <w14:ligatures w14:val="none"/>
        </w:rPr>
        <w:t xml:space="preserve"> esempio,</w:t>
      </w:r>
      <w:r w:rsidR="00AB0D00" w:rsidRPr="0079074F">
        <w:rPr>
          <w:rFonts w:ascii="Calibri" w:eastAsia="Times New Roman" w:hAnsi="Calibri" w:cs="Calibri"/>
          <w:color w:val="000000"/>
          <w:kern w:val="0"/>
          <w:sz w:val="22"/>
          <w:szCs w:val="22"/>
          <w:lang w:val="it-IT" w:eastAsia="en-GB"/>
          <w14:ligatures w14:val="none"/>
        </w:rPr>
        <w:t xml:space="preserve"> </w:t>
      </w:r>
      <w:r w:rsidRPr="0079074F">
        <w:rPr>
          <w:rFonts w:ascii="Calibri" w:eastAsia="Times New Roman" w:hAnsi="Calibri" w:cs="Calibri"/>
          <w:color w:val="000000"/>
          <w:kern w:val="0"/>
          <w:sz w:val="22"/>
          <w:szCs w:val="22"/>
          <w:lang w:val="it-IT" w:eastAsia="en-GB"/>
          <w14:ligatures w14:val="none"/>
        </w:rPr>
        <w:t>il Brasile e la Cina sono orientati alle esportazioni, mentre l’India è un importatore netto. Se le valutazioni sono importanti, anche la crescita degli utili e le prospettive a lungo termine della società e della sua attività sono fattori chiave.</w:t>
      </w:r>
    </w:p>
    <w:p w14:paraId="43A3C9F3" w14:textId="77777777" w:rsidR="00406ECF" w:rsidRPr="0079074F" w:rsidRDefault="00406ECF" w:rsidP="00406ECF">
      <w:pPr>
        <w:contextualSpacing/>
        <w:rPr>
          <w:rFonts w:ascii="Calibri" w:eastAsia="Times New Roman" w:hAnsi="Calibri" w:cs="Calibri"/>
          <w:color w:val="000000"/>
          <w:kern w:val="0"/>
          <w:sz w:val="22"/>
          <w:szCs w:val="22"/>
          <w:lang w:val="it-IT" w:eastAsia="en-GB"/>
          <w14:ligatures w14:val="none"/>
        </w:rPr>
      </w:pPr>
    </w:p>
    <w:p w14:paraId="38F01171" w14:textId="774F26B9" w:rsidR="006E49B2" w:rsidRPr="0079074F" w:rsidRDefault="008032A2" w:rsidP="00406ECF">
      <w:pPr>
        <w:contextualSpacing/>
        <w:rPr>
          <w:rFonts w:ascii="Calibri" w:eastAsia="Times New Roman" w:hAnsi="Calibri" w:cs="Calibri"/>
          <w:color w:val="000000"/>
          <w:kern w:val="0"/>
          <w:sz w:val="22"/>
          <w:szCs w:val="22"/>
          <w:lang w:val="it-IT" w:eastAsia="en-GB"/>
          <w14:ligatures w14:val="none"/>
        </w:rPr>
      </w:pPr>
      <w:r w:rsidRPr="0079074F">
        <w:rPr>
          <w:rFonts w:ascii="Calibri" w:eastAsia="Times New Roman" w:hAnsi="Calibri" w:cs="Calibri"/>
          <w:b/>
          <w:bCs/>
          <w:color w:val="000000"/>
          <w:kern w:val="0"/>
          <w:sz w:val="22"/>
          <w:szCs w:val="22"/>
          <w:lang w:val="it-IT" w:eastAsia="en-GB"/>
          <w14:ligatures w14:val="none"/>
        </w:rPr>
        <w:t>Sebbene il mercato azionario indiano possa essere volatile e apparire costoso rispetto ad altri mercati, ha fornito rendimenti superiori nel corso del tempo</w:t>
      </w:r>
      <w:r w:rsidRPr="0079074F">
        <w:rPr>
          <w:rFonts w:ascii="Calibri" w:eastAsia="Times New Roman" w:hAnsi="Calibri" w:cs="Calibri"/>
          <w:color w:val="000000"/>
          <w:kern w:val="0"/>
          <w:sz w:val="22"/>
          <w:szCs w:val="22"/>
          <w:lang w:val="it-IT" w:eastAsia="en-GB"/>
          <w14:ligatures w14:val="none"/>
        </w:rPr>
        <w:t>. L’India è un mercato azionario ampio e profondo, con un’ampia gamma di opportunità azionarie. Riteniamo che queste condizioni rappresentino una buona opportunità per gli stock picker attivi di individuare le società che hanno il potenziale per offrire rendimenti superiori a quelli del mercato.</w:t>
      </w:r>
    </w:p>
    <w:sectPr w:rsidR="006E49B2" w:rsidRPr="00790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18"/>
    <w:rsid w:val="0004172C"/>
    <w:rsid w:val="001F1E0E"/>
    <w:rsid w:val="002060F7"/>
    <w:rsid w:val="00212737"/>
    <w:rsid w:val="00225AB4"/>
    <w:rsid w:val="00255D69"/>
    <w:rsid w:val="00287917"/>
    <w:rsid w:val="00312598"/>
    <w:rsid w:val="00406ECF"/>
    <w:rsid w:val="004E7618"/>
    <w:rsid w:val="00557B29"/>
    <w:rsid w:val="006817C7"/>
    <w:rsid w:val="006E49B2"/>
    <w:rsid w:val="0079074F"/>
    <w:rsid w:val="007A5A39"/>
    <w:rsid w:val="008032A2"/>
    <w:rsid w:val="0084573D"/>
    <w:rsid w:val="008D3AA9"/>
    <w:rsid w:val="009318E9"/>
    <w:rsid w:val="009E7DD1"/>
    <w:rsid w:val="00AB0D00"/>
    <w:rsid w:val="00BC3014"/>
    <w:rsid w:val="00BC4C71"/>
    <w:rsid w:val="00C26006"/>
    <w:rsid w:val="00CD42CD"/>
    <w:rsid w:val="00D13D57"/>
    <w:rsid w:val="00F05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D046"/>
  <w15:chartTrackingRefBased/>
  <w15:docId w15:val="{08FE4F1F-29DD-E448-8FD9-1B8D744B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E76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unhideWhenUsed/>
    <w:qFormat/>
    <w:rsid w:val="004E76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4E7618"/>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4E7618"/>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4E7618"/>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4E7618"/>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4E7618"/>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4E7618"/>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4E7618"/>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E7618"/>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rsid w:val="004E7618"/>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4E7618"/>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4E7618"/>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4E7618"/>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4E7618"/>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E7618"/>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E7618"/>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E7618"/>
    <w:rPr>
      <w:rFonts w:eastAsiaTheme="majorEastAsia" w:cstheme="majorBidi"/>
      <w:color w:val="272727" w:themeColor="text1" w:themeTint="D8"/>
    </w:rPr>
  </w:style>
  <w:style w:type="paragraph" w:styleId="Titolo">
    <w:name w:val="Title"/>
    <w:basedOn w:val="Normale"/>
    <w:next w:val="Normale"/>
    <w:link w:val="TitoloCarattere"/>
    <w:uiPriority w:val="10"/>
    <w:qFormat/>
    <w:rsid w:val="004E7618"/>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E7618"/>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E7618"/>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4E7618"/>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E7618"/>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4E7618"/>
    <w:rPr>
      <w:i/>
      <w:iCs/>
      <w:color w:val="404040" w:themeColor="text1" w:themeTint="BF"/>
    </w:rPr>
  </w:style>
  <w:style w:type="paragraph" w:styleId="Paragrafoelenco">
    <w:name w:val="List Paragraph"/>
    <w:basedOn w:val="Normale"/>
    <w:uiPriority w:val="34"/>
    <w:qFormat/>
    <w:rsid w:val="004E7618"/>
    <w:pPr>
      <w:ind w:left="720"/>
      <w:contextualSpacing/>
    </w:pPr>
  </w:style>
  <w:style w:type="character" w:styleId="Enfasiintensa">
    <w:name w:val="Intense Emphasis"/>
    <w:basedOn w:val="Carpredefinitoparagrafo"/>
    <w:uiPriority w:val="21"/>
    <w:qFormat/>
    <w:rsid w:val="004E7618"/>
    <w:rPr>
      <w:i/>
      <w:iCs/>
      <w:color w:val="0F4761" w:themeColor="accent1" w:themeShade="BF"/>
    </w:rPr>
  </w:style>
  <w:style w:type="paragraph" w:styleId="Citazioneintensa">
    <w:name w:val="Intense Quote"/>
    <w:basedOn w:val="Normale"/>
    <w:next w:val="Normale"/>
    <w:link w:val="CitazioneintensaCarattere"/>
    <w:uiPriority w:val="30"/>
    <w:qFormat/>
    <w:rsid w:val="004E76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4E7618"/>
    <w:rPr>
      <w:i/>
      <w:iCs/>
      <w:color w:val="0F4761" w:themeColor="accent1" w:themeShade="BF"/>
    </w:rPr>
  </w:style>
  <w:style w:type="character" w:styleId="Riferimentointenso">
    <w:name w:val="Intense Reference"/>
    <w:basedOn w:val="Carpredefinitoparagrafo"/>
    <w:uiPriority w:val="32"/>
    <w:qFormat/>
    <w:rsid w:val="004E7618"/>
    <w:rPr>
      <w:b/>
      <w:bCs/>
      <w:smallCaps/>
      <w:color w:val="0F4761" w:themeColor="accent1" w:themeShade="BF"/>
      <w:spacing w:val="5"/>
    </w:rPr>
  </w:style>
  <w:style w:type="paragraph" w:customStyle="1" w:styleId="utilsstyledtypography-sc-1yp2xd1-0">
    <w:name w:val="utils__styledtypography-sc-1yp2xd1-0"/>
    <w:basedOn w:val="Normale"/>
    <w:rsid w:val="002060F7"/>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uthorstyledauthorname-sc-wzv1n4-6">
    <w:name w:val="authorstyled__authorname-sc-wzv1n4-6"/>
    <w:basedOn w:val="Carpredefinitoparagrafo"/>
    <w:rsid w:val="002060F7"/>
  </w:style>
  <w:style w:type="paragraph" w:customStyle="1" w:styleId="typographyparagraph-sc-numijp-1">
    <w:name w:val="typography__paragraph-sc-numijp-1"/>
    <w:basedOn w:val="Normale"/>
    <w:rsid w:val="002060F7"/>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nfasigrassetto">
    <w:name w:val="Strong"/>
    <w:basedOn w:val="Carpredefinitoparagrafo"/>
    <w:uiPriority w:val="22"/>
    <w:qFormat/>
    <w:rsid w:val="002060F7"/>
    <w:rPr>
      <w:b/>
      <w:bCs/>
    </w:rPr>
  </w:style>
  <w:style w:type="paragraph" w:styleId="Revisione">
    <w:name w:val="Revision"/>
    <w:hidden/>
    <w:uiPriority w:val="99"/>
    <w:semiHidden/>
    <w:rsid w:val="00255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35379">
      <w:bodyDiv w:val="1"/>
      <w:marLeft w:val="0"/>
      <w:marRight w:val="0"/>
      <w:marTop w:val="0"/>
      <w:marBottom w:val="0"/>
      <w:divBdr>
        <w:top w:val="none" w:sz="0" w:space="0" w:color="auto"/>
        <w:left w:val="none" w:sz="0" w:space="0" w:color="auto"/>
        <w:bottom w:val="none" w:sz="0" w:space="0" w:color="auto"/>
        <w:right w:val="none" w:sz="0" w:space="0" w:color="auto"/>
      </w:divBdr>
    </w:div>
    <w:div w:id="230428964">
      <w:bodyDiv w:val="1"/>
      <w:marLeft w:val="0"/>
      <w:marRight w:val="0"/>
      <w:marTop w:val="0"/>
      <w:marBottom w:val="0"/>
      <w:divBdr>
        <w:top w:val="none" w:sz="0" w:space="0" w:color="auto"/>
        <w:left w:val="none" w:sz="0" w:space="0" w:color="auto"/>
        <w:bottom w:val="none" w:sz="0" w:space="0" w:color="auto"/>
        <w:right w:val="none" w:sz="0" w:space="0" w:color="auto"/>
      </w:divBdr>
    </w:div>
    <w:div w:id="250428379">
      <w:bodyDiv w:val="1"/>
      <w:marLeft w:val="0"/>
      <w:marRight w:val="0"/>
      <w:marTop w:val="0"/>
      <w:marBottom w:val="0"/>
      <w:divBdr>
        <w:top w:val="none" w:sz="0" w:space="0" w:color="auto"/>
        <w:left w:val="none" w:sz="0" w:space="0" w:color="auto"/>
        <w:bottom w:val="none" w:sz="0" w:space="0" w:color="auto"/>
        <w:right w:val="none" w:sz="0" w:space="0" w:color="auto"/>
      </w:divBdr>
      <w:divsChild>
        <w:div w:id="1739471823">
          <w:marLeft w:val="0"/>
          <w:marRight w:val="0"/>
          <w:marTop w:val="0"/>
          <w:marBottom w:val="60"/>
          <w:divBdr>
            <w:top w:val="none" w:sz="0" w:space="0" w:color="auto"/>
            <w:left w:val="none" w:sz="0" w:space="0" w:color="auto"/>
            <w:bottom w:val="none" w:sz="0" w:space="0" w:color="auto"/>
            <w:right w:val="none" w:sz="0" w:space="0" w:color="auto"/>
          </w:divBdr>
        </w:div>
      </w:divsChild>
    </w:div>
    <w:div w:id="820658657">
      <w:bodyDiv w:val="1"/>
      <w:marLeft w:val="0"/>
      <w:marRight w:val="0"/>
      <w:marTop w:val="0"/>
      <w:marBottom w:val="0"/>
      <w:divBdr>
        <w:top w:val="none" w:sz="0" w:space="0" w:color="auto"/>
        <w:left w:val="none" w:sz="0" w:space="0" w:color="auto"/>
        <w:bottom w:val="none" w:sz="0" w:space="0" w:color="auto"/>
        <w:right w:val="none" w:sz="0" w:space="0" w:color="auto"/>
      </w:divBdr>
    </w:div>
    <w:div w:id="1072696120">
      <w:bodyDiv w:val="1"/>
      <w:marLeft w:val="0"/>
      <w:marRight w:val="0"/>
      <w:marTop w:val="0"/>
      <w:marBottom w:val="0"/>
      <w:divBdr>
        <w:top w:val="none" w:sz="0" w:space="0" w:color="auto"/>
        <w:left w:val="none" w:sz="0" w:space="0" w:color="auto"/>
        <w:bottom w:val="none" w:sz="0" w:space="0" w:color="auto"/>
        <w:right w:val="none" w:sz="0" w:space="0" w:color="auto"/>
      </w:divBdr>
    </w:div>
    <w:div w:id="1083066174">
      <w:bodyDiv w:val="1"/>
      <w:marLeft w:val="0"/>
      <w:marRight w:val="0"/>
      <w:marTop w:val="0"/>
      <w:marBottom w:val="0"/>
      <w:divBdr>
        <w:top w:val="none" w:sz="0" w:space="0" w:color="auto"/>
        <w:left w:val="none" w:sz="0" w:space="0" w:color="auto"/>
        <w:bottom w:val="none" w:sz="0" w:space="0" w:color="auto"/>
        <w:right w:val="none" w:sz="0" w:space="0" w:color="auto"/>
      </w:divBdr>
      <w:divsChild>
        <w:div w:id="1110393024">
          <w:marLeft w:val="-180"/>
          <w:marRight w:val="-180"/>
          <w:marTop w:val="0"/>
          <w:marBottom w:val="0"/>
          <w:divBdr>
            <w:top w:val="none" w:sz="0" w:space="0" w:color="auto"/>
            <w:left w:val="none" w:sz="0" w:space="0" w:color="auto"/>
            <w:bottom w:val="none" w:sz="0" w:space="0" w:color="auto"/>
            <w:right w:val="none" w:sz="0" w:space="0" w:color="auto"/>
          </w:divBdr>
          <w:divsChild>
            <w:div w:id="1290017659">
              <w:marLeft w:val="0"/>
              <w:marRight w:val="0"/>
              <w:marTop w:val="0"/>
              <w:marBottom w:val="0"/>
              <w:divBdr>
                <w:top w:val="none" w:sz="0" w:space="0" w:color="auto"/>
                <w:left w:val="none" w:sz="0" w:space="0" w:color="auto"/>
                <w:bottom w:val="none" w:sz="0" w:space="0" w:color="auto"/>
                <w:right w:val="none" w:sz="0" w:space="0" w:color="auto"/>
              </w:divBdr>
            </w:div>
          </w:divsChild>
        </w:div>
        <w:div w:id="351424112">
          <w:marLeft w:val="-180"/>
          <w:marRight w:val="-1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1044</Words>
  <Characters>5954</Characters>
  <Application>Microsoft Office Word</Application>
  <DocSecurity>0</DocSecurity>
  <Lines>49</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Sarah Tuggey</dc:creator>
  <cp:keywords/>
  <dc:description/>
  <cp:lastModifiedBy>Diana Ferla</cp:lastModifiedBy>
  <cp:revision>6</cp:revision>
  <dcterms:created xsi:type="dcterms:W3CDTF">2023-09-18T10:21:00Z</dcterms:created>
  <dcterms:modified xsi:type="dcterms:W3CDTF">2023-09-19T07:28:00Z</dcterms:modified>
</cp:coreProperties>
</file>