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E072" w14:textId="744F040A" w:rsidR="00A80BD7" w:rsidRPr="00A90B44" w:rsidRDefault="00EE036E" w:rsidP="00A80BD7">
      <w:pPr>
        <w:rPr>
          <w:rFonts w:cstheme="minorHAnsi"/>
          <w:b/>
          <w:bCs/>
          <w:lang w:val="it-IT"/>
        </w:rPr>
      </w:pPr>
      <w:r w:rsidRPr="00A90B44">
        <w:rPr>
          <w:rFonts w:cstheme="minorHAnsi"/>
          <w:b/>
          <w:bCs/>
          <w:lang w:val="it-IT"/>
        </w:rPr>
        <w:t>RBC BlueBay</w:t>
      </w:r>
      <w:r w:rsidRPr="00A90B44">
        <w:rPr>
          <w:rFonts w:cstheme="minorHAnsi"/>
          <w:b/>
          <w:bCs/>
          <w:lang w:val="it-IT"/>
        </w:rPr>
        <w:t xml:space="preserve"> </w:t>
      </w:r>
      <w:r>
        <w:rPr>
          <w:rFonts w:cstheme="minorHAnsi"/>
          <w:b/>
          <w:bCs/>
          <w:lang w:val="it-IT"/>
        </w:rPr>
        <w:t xml:space="preserve">- </w:t>
      </w:r>
      <w:r w:rsidR="00A80BD7" w:rsidRPr="00A90B44">
        <w:rPr>
          <w:rFonts w:cstheme="minorHAnsi"/>
          <w:b/>
          <w:bCs/>
          <w:lang w:val="it-IT"/>
        </w:rPr>
        <w:t xml:space="preserve">Perché </w:t>
      </w:r>
      <w:r w:rsidR="00147BC4" w:rsidRPr="00A90B44">
        <w:rPr>
          <w:rFonts w:cstheme="minorHAnsi"/>
          <w:b/>
          <w:bCs/>
          <w:lang w:val="it-IT"/>
        </w:rPr>
        <w:t>adesso è</w:t>
      </w:r>
      <w:r w:rsidR="00A80BD7" w:rsidRPr="00A90B44">
        <w:rPr>
          <w:rFonts w:cstheme="minorHAnsi"/>
          <w:b/>
          <w:bCs/>
          <w:lang w:val="it-IT"/>
        </w:rPr>
        <w:t xml:space="preserve"> il momento di investire </w:t>
      </w:r>
      <w:r w:rsidR="00147BC4" w:rsidRPr="00A90B44">
        <w:rPr>
          <w:rFonts w:cstheme="minorHAnsi"/>
          <w:b/>
          <w:bCs/>
          <w:lang w:val="it-IT"/>
        </w:rPr>
        <w:t xml:space="preserve">nella </w:t>
      </w:r>
      <w:r w:rsidR="001566D6">
        <w:rPr>
          <w:rFonts w:cstheme="minorHAnsi"/>
          <w:b/>
          <w:bCs/>
          <w:lang w:val="it-IT"/>
        </w:rPr>
        <w:t>B</w:t>
      </w:r>
      <w:r w:rsidR="00147BC4" w:rsidRPr="00A90B44">
        <w:rPr>
          <w:rFonts w:cstheme="minorHAnsi"/>
          <w:b/>
          <w:bCs/>
          <w:lang w:val="it-IT"/>
        </w:rPr>
        <w:t xml:space="preserve">orsa giapponese </w:t>
      </w:r>
    </w:p>
    <w:p w14:paraId="42374688" w14:textId="5850E97F" w:rsidR="007F17AC" w:rsidRPr="00A90B44" w:rsidRDefault="008B1C2B" w:rsidP="007F17AC">
      <w:pPr>
        <w:rPr>
          <w:rFonts w:cstheme="minorHAnsi"/>
          <w:lang w:val="it-IT"/>
        </w:rPr>
      </w:pPr>
      <w:r w:rsidRPr="00A90B44">
        <w:rPr>
          <w:rFonts w:cstheme="minorHAnsi"/>
          <w:lang w:val="it-IT"/>
        </w:rPr>
        <w:t xml:space="preserve">A cura </w:t>
      </w:r>
      <w:r w:rsidR="007F17AC" w:rsidRPr="00A90B44">
        <w:rPr>
          <w:rFonts w:cstheme="minorHAnsi"/>
          <w:lang w:val="it-IT"/>
        </w:rPr>
        <w:t xml:space="preserve">di </w:t>
      </w:r>
      <w:r w:rsidR="007F17AC" w:rsidRPr="00A90B44">
        <w:rPr>
          <w:rFonts w:cstheme="minorHAnsi"/>
          <w:b/>
          <w:bCs/>
          <w:lang w:val="it-IT"/>
        </w:rPr>
        <w:t xml:space="preserve">Maya </w:t>
      </w:r>
      <w:proofErr w:type="spellStart"/>
      <w:r w:rsidR="007F17AC" w:rsidRPr="00A90B44">
        <w:rPr>
          <w:rFonts w:cstheme="minorHAnsi"/>
          <w:b/>
          <w:bCs/>
          <w:lang w:val="it-IT"/>
        </w:rPr>
        <w:t>Funaki</w:t>
      </w:r>
      <w:proofErr w:type="spellEnd"/>
      <w:r w:rsidR="007F17AC" w:rsidRPr="00A90B44">
        <w:rPr>
          <w:rFonts w:cstheme="minorHAnsi"/>
          <w:b/>
          <w:bCs/>
          <w:lang w:val="it-IT"/>
        </w:rPr>
        <w:t>, Portfolio Manager</w:t>
      </w:r>
      <w:r w:rsidR="00A90B44" w:rsidRPr="00A90B44">
        <w:rPr>
          <w:rFonts w:cstheme="minorHAnsi"/>
          <w:b/>
          <w:bCs/>
          <w:lang w:val="it-IT"/>
        </w:rPr>
        <w:t xml:space="preserve">, </w:t>
      </w:r>
      <w:r w:rsidR="007F17AC" w:rsidRPr="00A90B44">
        <w:rPr>
          <w:rFonts w:cstheme="minorHAnsi"/>
          <w:b/>
          <w:bCs/>
          <w:lang w:val="it-IT"/>
        </w:rPr>
        <w:t>Asian Equity team</w:t>
      </w:r>
      <w:r w:rsidR="00A90B44" w:rsidRPr="00A90B44">
        <w:rPr>
          <w:rFonts w:cstheme="minorHAnsi"/>
          <w:b/>
          <w:bCs/>
          <w:lang w:val="it-IT"/>
        </w:rPr>
        <w:t>,</w:t>
      </w:r>
      <w:r w:rsidR="007F17AC" w:rsidRPr="00A90B44">
        <w:rPr>
          <w:rFonts w:cstheme="minorHAnsi"/>
          <w:b/>
          <w:bCs/>
          <w:lang w:val="it-IT"/>
        </w:rPr>
        <w:t xml:space="preserve"> RBC BlueBay</w:t>
      </w:r>
    </w:p>
    <w:p w14:paraId="37007654" w14:textId="5D99B921" w:rsidR="007854CF" w:rsidRPr="00A90B44" w:rsidRDefault="007854CF">
      <w:pPr>
        <w:rPr>
          <w:rFonts w:cstheme="minorHAnsi"/>
          <w:b/>
          <w:bCs/>
          <w:lang w:val="it-IT"/>
        </w:rPr>
      </w:pPr>
    </w:p>
    <w:p w14:paraId="54961382" w14:textId="1FA6C00F" w:rsidR="009071B7" w:rsidRPr="00A90B44" w:rsidRDefault="009071B7" w:rsidP="009071B7">
      <w:pPr>
        <w:pStyle w:val="Pa1"/>
        <w:spacing w:after="180"/>
        <w:rPr>
          <w:rFonts w:asciiTheme="minorHAnsi" w:hAnsiTheme="minorHAnsi" w:cstheme="minorHAnsi"/>
          <w:sz w:val="22"/>
          <w:szCs w:val="22"/>
          <w:lang w:val="it-IT"/>
        </w:rPr>
      </w:pPr>
      <w:r w:rsidRPr="00A90B44">
        <w:rPr>
          <w:rFonts w:asciiTheme="minorHAnsi" w:hAnsiTheme="minorHAnsi" w:cstheme="minorHAnsi"/>
          <w:sz w:val="22"/>
          <w:szCs w:val="22"/>
          <w:lang w:val="it-IT"/>
        </w:rPr>
        <w:t xml:space="preserve">Negli ultimi decenni, il contesto </w:t>
      </w:r>
      <w:r w:rsidR="00A90B44">
        <w:rPr>
          <w:rFonts w:asciiTheme="minorHAnsi" w:hAnsiTheme="minorHAnsi" w:cstheme="minorHAnsi"/>
          <w:sz w:val="22"/>
          <w:szCs w:val="22"/>
          <w:lang w:val="it-IT"/>
        </w:rPr>
        <w:t>g</w:t>
      </w:r>
      <w:r w:rsidRPr="00A90B44">
        <w:rPr>
          <w:rFonts w:asciiTheme="minorHAnsi" w:hAnsiTheme="minorHAnsi" w:cstheme="minorHAnsi"/>
          <w:sz w:val="22"/>
          <w:szCs w:val="22"/>
          <w:lang w:val="it-IT"/>
        </w:rPr>
        <w:t>iappone</w:t>
      </w:r>
      <w:r w:rsidR="00A90B44">
        <w:rPr>
          <w:rFonts w:asciiTheme="minorHAnsi" w:hAnsiTheme="minorHAnsi" w:cstheme="minorHAnsi"/>
          <w:sz w:val="22"/>
          <w:szCs w:val="22"/>
          <w:lang w:val="it-IT"/>
        </w:rPr>
        <w:t>se</w:t>
      </w:r>
      <w:r w:rsidRPr="00A90B44">
        <w:rPr>
          <w:rFonts w:asciiTheme="minorHAnsi" w:hAnsiTheme="minorHAnsi" w:cstheme="minorHAnsi"/>
          <w:sz w:val="22"/>
          <w:szCs w:val="22"/>
          <w:lang w:val="it-IT"/>
        </w:rPr>
        <w:t xml:space="preserve"> ha reso l</w:t>
      </w:r>
      <w:r w:rsidR="00770CDA">
        <w:rPr>
          <w:rFonts w:asciiTheme="minorHAnsi" w:hAnsiTheme="minorHAnsi" w:cstheme="minorHAnsi"/>
          <w:sz w:val="22"/>
          <w:szCs w:val="22"/>
          <w:lang w:val="it-IT"/>
        </w:rPr>
        <w:t xml:space="preserve">a sua </w:t>
      </w:r>
      <w:r w:rsidRPr="00A90B44">
        <w:rPr>
          <w:rFonts w:asciiTheme="minorHAnsi" w:hAnsiTheme="minorHAnsi" w:cstheme="minorHAnsi"/>
          <w:sz w:val="22"/>
          <w:szCs w:val="22"/>
          <w:lang w:val="it-IT"/>
        </w:rPr>
        <w:t>economia meno attraente per gli investitori rispetto a</w:t>
      </w:r>
      <w:r w:rsidR="007F17AC" w:rsidRPr="00A90B44">
        <w:rPr>
          <w:rFonts w:asciiTheme="minorHAnsi" w:hAnsiTheme="minorHAnsi" w:cstheme="minorHAnsi"/>
          <w:sz w:val="22"/>
          <w:szCs w:val="22"/>
          <w:lang w:val="it-IT"/>
        </w:rPr>
        <w:t xml:space="preserve">gli altri </w:t>
      </w:r>
      <w:r w:rsidRPr="00A90B44">
        <w:rPr>
          <w:rFonts w:asciiTheme="minorHAnsi" w:hAnsiTheme="minorHAnsi" w:cstheme="minorHAnsi"/>
          <w:sz w:val="22"/>
          <w:szCs w:val="22"/>
          <w:lang w:val="it-IT"/>
        </w:rPr>
        <w:t xml:space="preserve">mercati sviluppati. L’economia giapponese </w:t>
      </w:r>
      <w:r w:rsidR="007F17AC" w:rsidRPr="00A90B44">
        <w:rPr>
          <w:rFonts w:asciiTheme="minorHAnsi" w:hAnsiTheme="minorHAnsi" w:cstheme="minorHAnsi"/>
          <w:sz w:val="22"/>
          <w:szCs w:val="22"/>
          <w:lang w:val="it-IT"/>
        </w:rPr>
        <w:t>è stata sottoposta per decenni a diverse sfide</w:t>
      </w:r>
      <w:r w:rsidRPr="00A90B44">
        <w:rPr>
          <w:rFonts w:asciiTheme="minorHAnsi" w:hAnsiTheme="minorHAnsi" w:cstheme="minorHAnsi"/>
          <w:sz w:val="22"/>
          <w:szCs w:val="22"/>
          <w:lang w:val="it-IT"/>
        </w:rPr>
        <w:t>, tra cui una demografia sfavorevole, un’economia fortemente indebitata, la bolla immobiliare della fine degli anni ’80 e altri problemi, incluso il sistema keiretsu (una rete di imprese interconnesse che ha contribuito a far sì che le</w:t>
      </w:r>
      <w:r w:rsidR="007F17AC" w:rsidRPr="00A90B44">
        <w:rPr>
          <w:rFonts w:asciiTheme="minorHAnsi" w:hAnsiTheme="minorHAnsi" w:cstheme="minorHAnsi"/>
          <w:sz w:val="22"/>
          <w:szCs w:val="22"/>
          <w:lang w:val="it-IT"/>
        </w:rPr>
        <w:t xml:space="preserve"> maggiori </w:t>
      </w:r>
      <w:r w:rsidRPr="00A90B44">
        <w:rPr>
          <w:rFonts w:asciiTheme="minorHAnsi" w:hAnsiTheme="minorHAnsi" w:cstheme="minorHAnsi"/>
          <w:sz w:val="22"/>
          <w:szCs w:val="22"/>
          <w:lang w:val="it-IT"/>
        </w:rPr>
        <w:t>aziende giapponesi assumessero debi</w:t>
      </w:r>
      <w:r w:rsidR="0022512E" w:rsidRPr="00A90B44">
        <w:rPr>
          <w:rFonts w:asciiTheme="minorHAnsi" w:hAnsiTheme="minorHAnsi" w:cstheme="minorHAnsi"/>
          <w:sz w:val="22"/>
          <w:szCs w:val="22"/>
          <w:lang w:val="it-IT"/>
        </w:rPr>
        <w:t>ti inesigibili</w:t>
      </w:r>
      <w:r w:rsidRPr="00A90B44">
        <w:rPr>
          <w:rFonts w:asciiTheme="minorHAnsi" w:hAnsiTheme="minorHAnsi" w:cstheme="minorHAnsi"/>
          <w:sz w:val="22"/>
          <w:szCs w:val="22"/>
          <w:lang w:val="it-IT"/>
        </w:rPr>
        <w:t xml:space="preserve">). Sebbene il mercato azionario si sia mosso in modo piuttosto autonomo nei confronti di queste sfide, riteniamo che l’asset class sia stata trascurata a causa di questi </w:t>
      </w:r>
      <w:r w:rsidR="0022512E" w:rsidRPr="00A90B44">
        <w:rPr>
          <w:rFonts w:asciiTheme="minorHAnsi" w:hAnsiTheme="minorHAnsi" w:cstheme="minorHAnsi"/>
          <w:sz w:val="22"/>
          <w:szCs w:val="22"/>
          <w:lang w:val="it-IT"/>
        </w:rPr>
        <w:t>fattori</w:t>
      </w:r>
      <w:r w:rsidRPr="00A90B4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2512E" w:rsidRPr="00A90B44">
        <w:rPr>
          <w:rFonts w:asciiTheme="minorHAnsi" w:hAnsiTheme="minorHAnsi" w:cstheme="minorHAnsi"/>
          <w:sz w:val="22"/>
          <w:szCs w:val="22"/>
          <w:lang w:val="it-IT"/>
        </w:rPr>
        <w:t>avversi</w:t>
      </w:r>
      <w:r w:rsidRPr="00A90B44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</w:p>
    <w:p w14:paraId="3C5C2160" w14:textId="04E4EED9" w:rsidR="009071B7" w:rsidRPr="00A90B44" w:rsidRDefault="009071B7" w:rsidP="009071B7">
      <w:pPr>
        <w:pStyle w:val="Pa1"/>
        <w:spacing w:after="180"/>
        <w:rPr>
          <w:rFonts w:asciiTheme="minorHAnsi" w:hAnsiTheme="minorHAnsi" w:cstheme="minorHAnsi"/>
          <w:sz w:val="22"/>
          <w:szCs w:val="22"/>
          <w:lang w:val="it-IT"/>
        </w:rPr>
      </w:pPr>
      <w:r w:rsidRPr="00A90B44">
        <w:rPr>
          <w:rFonts w:asciiTheme="minorHAnsi" w:hAnsiTheme="minorHAnsi" w:cstheme="minorHAnsi"/>
          <w:sz w:val="22"/>
          <w:szCs w:val="22"/>
          <w:lang w:val="it-IT"/>
        </w:rPr>
        <w:t xml:space="preserve">Tuttavia, </w:t>
      </w:r>
      <w:r w:rsidRPr="00A90B44">
        <w:rPr>
          <w:rFonts w:asciiTheme="minorHAnsi" w:hAnsiTheme="minorHAnsi" w:cstheme="minorHAnsi"/>
          <w:b/>
          <w:bCs/>
          <w:sz w:val="22"/>
          <w:szCs w:val="22"/>
          <w:lang w:val="it-IT"/>
        </w:rPr>
        <w:t>con il miglioramento del contesto macroeconomico del Paese, stiamo assistendo a un rinnovato interesse nei confronti d</w:t>
      </w:r>
      <w:r w:rsidR="0022512E" w:rsidRPr="00A90B44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ella </w:t>
      </w:r>
      <w:r w:rsidR="00C62002">
        <w:rPr>
          <w:rFonts w:asciiTheme="minorHAnsi" w:hAnsiTheme="minorHAnsi" w:cstheme="minorHAnsi"/>
          <w:b/>
          <w:bCs/>
          <w:sz w:val="22"/>
          <w:szCs w:val="22"/>
          <w:lang w:val="it-IT"/>
        </w:rPr>
        <w:t>B</w:t>
      </w:r>
      <w:r w:rsidR="0022512E" w:rsidRPr="00A90B44">
        <w:rPr>
          <w:rFonts w:asciiTheme="minorHAnsi" w:hAnsiTheme="minorHAnsi" w:cstheme="minorHAnsi"/>
          <w:b/>
          <w:bCs/>
          <w:sz w:val="22"/>
          <w:szCs w:val="22"/>
          <w:lang w:val="it-IT"/>
        </w:rPr>
        <w:t>orsa giapponese</w:t>
      </w:r>
      <w:r w:rsidR="0022512E" w:rsidRPr="00A90B4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A90B44">
        <w:rPr>
          <w:rFonts w:asciiTheme="minorHAnsi" w:hAnsiTheme="minorHAnsi" w:cstheme="minorHAnsi"/>
          <w:sz w:val="22"/>
          <w:szCs w:val="22"/>
          <w:lang w:val="it-IT"/>
        </w:rPr>
        <w:t xml:space="preserve">e a potenziali forti venti </w:t>
      </w:r>
      <w:r w:rsidR="00C62002">
        <w:rPr>
          <w:rFonts w:asciiTheme="minorHAnsi" w:hAnsiTheme="minorHAnsi" w:cstheme="minorHAnsi"/>
          <w:sz w:val="22"/>
          <w:szCs w:val="22"/>
          <w:lang w:val="it-IT"/>
        </w:rPr>
        <w:t>favorevoli</w:t>
      </w:r>
      <w:r w:rsidRPr="00A90B44">
        <w:rPr>
          <w:rFonts w:asciiTheme="minorHAnsi" w:hAnsiTheme="minorHAnsi" w:cstheme="minorHAnsi"/>
          <w:sz w:val="22"/>
          <w:szCs w:val="22"/>
          <w:lang w:val="it-IT"/>
        </w:rPr>
        <w:t xml:space="preserve"> per </w:t>
      </w:r>
      <w:r w:rsidR="0022512E" w:rsidRPr="00A90B44">
        <w:rPr>
          <w:rFonts w:asciiTheme="minorHAnsi" w:hAnsiTheme="minorHAnsi" w:cstheme="minorHAnsi"/>
          <w:sz w:val="22"/>
          <w:szCs w:val="22"/>
          <w:lang w:val="it-IT"/>
        </w:rPr>
        <w:t xml:space="preserve">chi investe </w:t>
      </w:r>
      <w:r w:rsidRPr="00A90B44">
        <w:rPr>
          <w:rFonts w:asciiTheme="minorHAnsi" w:hAnsiTheme="minorHAnsi" w:cstheme="minorHAnsi"/>
          <w:sz w:val="22"/>
          <w:szCs w:val="22"/>
          <w:lang w:val="it-IT"/>
        </w:rPr>
        <w:t>in questa asset class.</w:t>
      </w:r>
    </w:p>
    <w:p w14:paraId="7F5E8A61" w14:textId="1C3FB5E9" w:rsidR="009071B7" w:rsidRPr="00A90B44" w:rsidRDefault="009071B7" w:rsidP="00DF3C64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L’aumento dell’inflazione globale e i rialzi dei tassi </w:t>
      </w:r>
      <w:r w:rsidR="0022512E"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che sono seguiti </w:t>
      </w:r>
      <w:r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hanno creato uno shock esogeno per il Giappone, che è entrato in territori inesplorati </w:t>
      </w:r>
      <w:r w:rsidR="0022512E"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>per quanto riguarda l’</w:t>
      </w:r>
      <w:r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indice dei prezzi al consumo (CPI) e </w:t>
      </w:r>
      <w:r w:rsidR="0022512E"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lo </w:t>
      </w:r>
      <w:r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>yen giapponese. Sebbene l’inflazione sia attualmente al di sopra dell’obiettivo, l’aumento del CPI giapponese è stato considerato positivamente in quanto il Paese affronta uno stato di deflazione relativamente costante dagli anni Novanta.</w:t>
      </w:r>
    </w:p>
    <w:p w14:paraId="4E8AF479" w14:textId="77777777" w:rsidR="009071B7" w:rsidRPr="00A90B44" w:rsidRDefault="009071B7" w:rsidP="00DF3C64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0808D395" w14:textId="061027F4" w:rsidR="009071B7" w:rsidRPr="00A90B44" w:rsidRDefault="009071B7" w:rsidP="00DF3C64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C62002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Nonostante le sfide demografiche e il calo della popolazione giovane, il Giappone ha storicamente </w:t>
      </w:r>
      <w:r w:rsidR="0022512E" w:rsidRPr="00C62002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cercato di non aumentare la </w:t>
      </w:r>
      <w:r w:rsidRPr="00C62002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forza lavoro straniera.</w:t>
      </w:r>
      <w:r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Sebbene</w:t>
      </w:r>
      <w:r w:rsidR="0022512E"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questo possa continuare</w:t>
      </w:r>
      <w:r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, la carenza di manodopera interna fa sembrare inevitabili gli aumenti salariali e i cambiamenti nella struttura del mercato del lavoro, e notiamo che le aziende pongono maggiore enfasi sui dipendenti e sulla riforma della governance aziendale. </w:t>
      </w:r>
    </w:p>
    <w:p w14:paraId="6896ADBF" w14:textId="77777777" w:rsidR="009071B7" w:rsidRPr="00A90B44" w:rsidRDefault="009071B7" w:rsidP="00DF3C64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7A66BE80" w14:textId="6012A8CF" w:rsidR="009071B7" w:rsidRPr="00A90B44" w:rsidRDefault="009071B7" w:rsidP="00DF3C64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Gli aumenti salariali sono particolarmente importanti per un Paese come il Giappone, in cui i salari reali sono in calo dagli anni ’90. Questa debole crescita dei salari spiega una parte significativa dell’andamento del CPI giapponese rispetto agli altri mercati sviluppati. Sebbene i recenti aumenti salariali annuali di primavera (Shunto) siano stati guidati dalle grandi aziende, se queste tendenze si estendono alle PMI, le aspettative di inflazione a lungo sostenute </w:t>
      </w:r>
      <w:r w:rsidR="00C62002">
        <w:rPr>
          <w:rFonts w:asciiTheme="minorHAnsi" w:hAnsiTheme="minorHAnsi" w:cstheme="minorHAnsi"/>
          <w:color w:val="auto"/>
          <w:sz w:val="22"/>
          <w:szCs w:val="22"/>
          <w:lang w:val="it-IT"/>
        </w:rPr>
        <w:t>potrebbero</w:t>
      </w:r>
      <w:r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spostarsi </w:t>
      </w:r>
      <w:r w:rsidR="00F85F54"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significativamente </w:t>
      </w:r>
      <w:r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in territori positivi. </w:t>
      </w:r>
    </w:p>
    <w:p w14:paraId="71B5051F" w14:textId="77777777" w:rsidR="009071B7" w:rsidRPr="00A90B44" w:rsidRDefault="009071B7" w:rsidP="00DF3C64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2319B7D5" w14:textId="3E767935" w:rsidR="009071B7" w:rsidRPr="00A90B44" w:rsidRDefault="009071B7" w:rsidP="00DF3C64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A90B44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Le azioni giapponesi rappresentano oggi un’opportunità interessante per gli investitori attivi.</w:t>
      </w:r>
      <w:r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L’asset class </w:t>
      </w:r>
      <w:proofErr w:type="gramStart"/>
      <w:r w:rsidR="00F85F54"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>è poco studiata</w:t>
      </w:r>
      <w:proofErr w:type="gramEnd"/>
      <w:r w:rsidR="00F85F54"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rispetto ad altri mercati sviluppati e offre agli investitori attivi ampie opportunità di stock picking e </w:t>
      </w:r>
      <w:r w:rsidR="00F85F54"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di </w:t>
      </w:r>
      <w:r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>alfa idiosincratico. Inoltre, i gestori attivi sono ben posizionati per cogliere le opportunità derivanti dalla disruption e quelle associate agli aspetti ESG, elementi che non vengono colti dalle strategie passive orientate al passato.</w:t>
      </w:r>
    </w:p>
    <w:p w14:paraId="304A9F67" w14:textId="77777777" w:rsidR="009071B7" w:rsidRPr="00A90B44" w:rsidRDefault="009071B7" w:rsidP="00DF3C64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6AB84671" w14:textId="77777777" w:rsidR="00963E54" w:rsidRDefault="00963E54" w:rsidP="00963E54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A differenza delle strategie passive, gli investitori attivi sono anche in grado di fornire un’esposizione selettiva all’asset class in settori e società strutturalmente vincenti. Attraverso una ricerca fondamentale e approfondita, gli investitori attivi sono in grado di identificare </w:t>
      </w:r>
      <w:r w:rsidRPr="00C62002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opportunità distinte nelle società con un management di alta qualità e </w:t>
      </w:r>
      <w:proofErr w:type="gramStart"/>
      <w:r w:rsidRPr="00C62002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una solida corporate governance</w:t>
      </w:r>
      <w:proofErr w:type="gramEnd"/>
      <w:r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. </w:t>
      </w:r>
    </w:p>
    <w:p w14:paraId="0E388918" w14:textId="77777777" w:rsidR="00C62002" w:rsidRPr="00A90B44" w:rsidRDefault="00C62002" w:rsidP="00963E54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3A735AB5" w14:textId="61CD1563" w:rsidR="00963E54" w:rsidRPr="00A90B44" w:rsidRDefault="00963E54" w:rsidP="00963E54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Come già accennato, in Giappone abbiamo assistito a progressi </w:t>
      </w:r>
      <w:r w:rsidR="00F85F54"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sul fronte della </w:t>
      </w:r>
      <w:r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>corporate governance e d</w:t>
      </w:r>
      <w:r w:rsidR="00F85F54"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>elle</w:t>
      </w:r>
      <w:r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best practice, tra cui miglioramenti nella struttura dei consigli di amministrazione e nel reporting, </w:t>
      </w:r>
      <w:r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lastRenderedPageBreak/>
        <w:t>che hanno aumentato le opportunità per gli stock picker e hanno portato a una crescita dei rendimenti totali per gli azionisti.</w:t>
      </w:r>
    </w:p>
    <w:p w14:paraId="1966B1A1" w14:textId="77777777" w:rsidR="00963E54" w:rsidRPr="00A90B44" w:rsidRDefault="00963E54" w:rsidP="00DF3C6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1C511089" w14:textId="0F22426B" w:rsidR="00963E54" w:rsidRPr="00A90B44" w:rsidRDefault="00963E54" w:rsidP="00DF3C6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A90B44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Infine, nonostante il Giappone sia la terza economia mondiale, il mercato è </w:t>
      </w:r>
      <w:r w:rsidR="00A80BD7" w:rsidRPr="00A90B44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poco presidiato </w:t>
      </w:r>
      <w:r w:rsidRPr="00A90B44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dagli </w:t>
      </w:r>
      <w:proofErr w:type="spellStart"/>
      <w:r w:rsidRPr="00A90B44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allocatori</w:t>
      </w:r>
      <w:proofErr w:type="spellEnd"/>
      <w:r w:rsidRPr="00A90B44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 globali.</w:t>
      </w:r>
      <w:r w:rsidRPr="00A90B44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Data la performance relativamente modesta, in particolare rispetto alle azioni statunitensi nell’ultimo decennio, gli allocatori hanno sottopesato il Giappone in modo significativo negli ultimi anni. </w:t>
      </w:r>
      <w:r w:rsidRPr="00A90B44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Ciò rappresenta un altro argomento convincente per gli investitori attivi, in quanto sia i fondamentali societari che i flussi di fondi potrebbero fornire un forte </w:t>
      </w:r>
      <w:r w:rsidR="00A80BD7" w:rsidRPr="00A90B44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impulso </w:t>
      </w:r>
      <w:r w:rsidRPr="00A90B44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al mercato. </w:t>
      </w:r>
    </w:p>
    <w:p w14:paraId="69FE5A72" w14:textId="77777777" w:rsidR="00963E54" w:rsidRPr="00A90B44" w:rsidRDefault="00963E54" w:rsidP="00DF3C64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351ECF08" w14:textId="77777777" w:rsidR="001566D6" w:rsidRDefault="00963E54" w:rsidP="00BB5657">
      <w:pPr>
        <w:rPr>
          <w:rFonts w:cstheme="minorHAnsi"/>
          <w:i/>
          <w:iCs/>
          <w:lang w:val="it-IT"/>
        </w:rPr>
      </w:pPr>
      <w:r w:rsidRPr="00A90B44">
        <w:rPr>
          <w:rFonts w:cstheme="minorHAnsi"/>
          <w:i/>
          <w:iCs/>
          <w:lang w:val="it-IT"/>
        </w:rPr>
        <w:t xml:space="preserve">Grafico 8: Ponderazione del Giappone degli investitori globali e ponderazione del Giappone nell’indice </w:t>
      </w:r>
    </w:p>
    <w:p w14:paraId="20E79DF9" w14:textId="77777777" w:rsidR="001566D6" w:rsidRDefault="001566D6" w:rsidP="00BB5657">
      <w:pPr>
        <w:rPr>
          <w:rFonts w:cstheme="minorHAnsi"/>
          <w:i/>
          <w:iCs/>
          <w:lang w:val="it-IT"/>
        </w:rPr>
      </w:pPr>
    </w:p>
    <w:p w14:paraId="64C6EDFF" w14:textId="507467ED" w:rsidR="001566D6" w:rsidRDefault="001566D6" w:rsidP="00BB5657">
      <w:pPr>
        <w:rPr>
          <w:rFonts w:cstheme="minorHAnsi"/>
          <w:i/>
          <w:iCs/>
          <w:lang w:val="it-IT"/>
        </w:rPr>
      </w:pPr>
      <w:r w:rsidRPr="00A90B44">
        <w:rPr>
          <w:rFonts w:cstheme="minorHAnsi"/>
          <w:noProof/>
          <w:lang w:val="it-IT"/>
        </w:rPr>
        <w:drawing>
          <wp:inline distT="0" distB="0" distL="0" distR="0" wp14:anchorId="1CC3CB69" wp14:editId="64CD9ADD">
            <wp:extent cx="3670300" cy="2430730"/>
            <wp:effectExtent l="0" t="0" r="6350" b="8255"/>
            <wp:docPr id="8" name="Picture 8" descr="Immagine che contiene testo, schermata, Carattere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magine che contiene testo, schermata, Carattere, Diagramma&#10;&#10;Descrizione generata automaticamente"/>
                    <pic:cNvPicPr/>
                  </pic:nvPicPr>
                  <pic:blipFill rotWithShape="1">
                    <a:blip r:embed="rId4"/>
                    <a:srcRect t="10563" b="20638"/>
                    <a:stretch/>
                  </pic:blipFill>
                  <pic:spPr bwMode="auto">
                    <a:xfrm>
                      <a:off x="0" y="0"/>
                      <a:ext cx="3709896" cy="2456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1B6035" w14:textId="1C2FE074" w:rsidR="00BB5657" w:rsidRDefault="00963E54" w:rsidP="00BB5657">
      <w:pPr>
        <w:rPr>
          <w:rFonts w:cstheme="minorHAnsi"/>
          <w:i/>
          <w:iCs/>
          <w:lang w:val="it-IT"/>
        </w:rPr>
      </w:pPr>
      <w:r w:rsidRPr="00A90B44">
        <w:rPr>
          <w:rFonts w:cstheme="minorHAnsi"/>
          <w:i/>
          <w:iCs/>
          <w:lang w:val="it-IT"/>
        </w:rPr>
        <w:t>MSCI ACWI</w:t>
      </w:r>
    </w:p>
    <w:p w14:paraId="72501320" w14:textId="77777777" w:rsidR="001566D6" w:rsidRPr="00A90B44" w:rsidRDefault="001566D6" w:rsidP="00BB5657">
      <w:pPr>
        <w:rPr>
          <w:rFonts w:cstheme="minorHAnsi"/>
          <w:lang w:val="it-IT"/>
        </w:rPr>
      </w:pPr>
    </w:p>
    <w:p w14:paraId="494DA98A" w14:textId="1A75904F" w:rsidR="00E62591" w:rsidRPr="001566D6" w:rsidRDefault="00963E54" w:rsidP="00BB5657">
      <w:pPr>
        <w:pStyle w:val="Pa0"/>
        <w:spacing w:after="40"/>
        <w:rPr>
          <w:rStyle w:val="A2"/>
          <w:rFonts w:asciiTheme="minorHAnsi" w:hAnsiTheme="minorHAnsi" w:cstheme="minorHAnsi"/>
          <w:i/>
          <w:iCs/>
          <w:color w:val="auto"/>
          <w:sz w:val="20"/>
          <w:szCs w:val="20"/>
          <w:lang w:val="it-IT"/>
        </w:rPr>
      </w:pPr>
      <w:r w:rsidRPr="001566D6">
        <w:rPr>
          <w:rStyle w:val="A2"/>
          <w:rFonts w:asciiTheme="minorHAnsi" w:hAnsiTheme="minorHAnsi" w:cstheme="minorHAnsi"/>
          <w:i/>
          <w:iCs/>
          <w:color w:val="auto"/>
          <w:sz w:val="20"/>
          <w:szCs w:val="20"/>
          <w:lang w:val="it-IT"/>
        </w:rPr>
        <w:t>Fonte: FMI, MSCI, Bloomberg Finance L.P., J.P. Morgan. Nota: dati per il 2022 a fine giugno; OW (sovrappeso e UW (sottopeso) rispetto all’indice MSCI ACWI. Dati a maggio 2023. Nota: il FMI pubblica i dati ogni sei mesi. Giugno 2022 è l’ultimo dato pubblicato a giugno 2023.</w:t>
      </w:r>
    </w:p>
    <w:p w14:paraId="1CB27882" w14:textId="77777777" w:rsidR="00963E54" w:rsidRPr="00A90B44" w:rsidRDefault="00963E54" w:rsidP="00963E54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07799674" w14:textId="655A7C1A" w:rsidR="00BA04A0" w:rsidRPr="00A90B44" w:rsidRDefault="00BA04A0" w:rsidP="00163765">
      <w:pPr>
        <w:pStyle w:val="Pa1"/>
        <w:spacing w:after="180"/>
        <w:rPr>
          <w:rFonts w:asciiTheme="minorHAnsi" w:hAnsiTheme="minorHAnsi" w:cstheme="minorHAnsi"/>
          <w:sz w:val="22"/>
          <w:szCs w:val="22"/>
          <w:lang w:val="it-IT"/>
        </w:rPr>
      </w:pPr>
    </w:p>
    <w:sectPr w:rsidR="00BA04A0" w:rsidRPr="00A90B44" w:rsidSect="00BA04A0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BC Tex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57"/>
    <w:rsid w:val="00147BC4"/>
    <w:rsid w:val="001566D6"/>
    <w:rsid w:val="00163765"/>
    <w:rsid w:val="0022512E"/>
    <w:rsid w:val="005858F9"/>
    <w:rsid w:val="00770CDA"/>
    <w:rsid w:val="007854CF"/>
    <w:rsid w:val="007F17AC"/>
    <w:rsid w:val="007F2B87"/>
    <w:rsid w:val="008B1C2B"/>
    <w:rsid w:val="009071B7"/>
    <w:rsid w:val="00963E54"/>
    <w:rsid w:val="00A10CB8"/>
    <w:rsid w:val="00A80BD7"/>
    <w:rsid w:val="00A90B44"/>
    <w:rsid w:val="00AB6EC5"/>
    <w:rsid w:val="00BA04A0"/>
    <w:rsid w:val="00BB5657"/>
    <w:rsid w:val="00BF30E0"/>
    <w:rsid w:val="00C46180"/>
    <w:rsid w:val="00C62002"/>
    <w:rsid w:val="00CC78C3"/>
    <w:rsid w:val="00D61F0B"/>
    <w:rsid w:val="00DF3C64"/>
    <w:rsid w:val="00E51F86"/>
    <w:rsid w:val="00E563FF"/>
    <w:rsid w:val="00E62591"/>
    <w:rsid w:val="00EE036E"/>
    <w:rsid w:val="00F8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D4C7"/>
  <w15:chartTrackingRefBased/>
  <w15:docId w15:val="{212A44B3-4DB5-4652-AA68-1569C5EA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5657"/>
    <w:pPr>
      <w:autoSpaceDE w:val="0"/>
      <w:autoSpaceDN w:val="0"/>
      <w:adjustRightInd w:val="0"/>
      <w:spacing w:after="0" w:line="240" w:lineRule="auto"/>
    </w:pPr>
    <w:rPr>
      <w:rFonts w:ascii="RBC Text" w:hAnsi="RBC Text" w:cs="RBC T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B5657"/>
    <w:pPr>
      <w:spacing w:line="1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B5657"/>
    <w:rPr>
      <w:rFonts w:cs="RBC Text"/>
      <w:b/>
      <w:bCs/>
      <w:color w:val="1E366B"/>
    </w:rPr>
  </w:style>
  <w:style w:type="paragraph" w:customStyle="1" w:styleId="Pa1">
    <w:name w:val="Pa1"/>
    <w:basedOn w:val="Default"/>
    <w:next w:val="Default"/>
    <w:uiPriority w:val="99"/>
    <w:rsid w:val="00BB5657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F3C64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F3C64"/>
    <w:rPr>
      <w:rFonts w:cs="RBC Text"/>
      <w:color w:val="211D1E"/>
      <w:sz w:val="14"/>
      <w:szCs w:val="14"/>
    </w:rPr>
  </w:style>
  <w:style w:type="character" w:styleId="Rimandocommento">
    <w:name w:val="annotation reference"/>
    <w:basedOn w:val="Carpredefinitoparagrafo"/>
    <w:uiPriority w:val="99"/>
    <w:semiHidden/>
    <w:unhideWhenUsed/>
    <w:rsid w:val="00A10C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10C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10C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0C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0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Bank of Canada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Waite</dc:creator>
  <cp:keywords/>
  <dc:description/>
  <cp:lastModifiedBy>Diana Ferla</cp:lastModifiedBy>
  <cp:revision>7</cp:revision>
  <dcterms:created xsi:type="dcterms:W3CDTF">2023-09-12T08:34:00Z</dcterms:created>
  <dcterms:modified xsi:type="dcterms:W3CDTF">2023-09-13T14:59:00Z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f99e99-9b44-4087-9344-0482001c1f1a_Enabled">
    <vt:lpwstr>true</vt:lpwstr>
  </property>
  <property fmtid="{D5CDD505-2E9C-101B-9397-08002B2CF9AE}" pid="3" name="MSIP_Label_b8f99e99-9b44-4087-9344-0482001c1f1a_Method">
    <vt:lpwstr>Privileged</vt:lpwstr>
  </property>
  <property fmtid="{D5CDD505-2E9C-101B-9397-08002B2CF9AE}" pid="4" name="MSIP_Label_b8f99e99-9b44-4087-9344-0482001c1f1a_SiteId">
    <vt:lpwstr>9323b596-236d-4890-bed3-60232a849027</vt:lpwstr>
  </property>
  <property fmtid="{D5CDD505-2E9C-101B-9397-08002B2CF9AE}" pid="5" name="Classification">
    <vt:lpwstr>TT_Public</vt:lpwstr>
  </property>
  <property fmtid="{D5CDD505-2E9C-101B-9397-08002B2CF9AE}" pid="6" name="GrammarlyDocumentId">
    <vt:lpwstr>98c7be14200f1a2412a791c28fc65ff7a8e2ff7058b4d1844c1669cb28dde98a</vt:lpwstr>
  </property>
</Properties>
</file>