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4BB9" w14:textId="5FE9036F" w:rsidR="00C866C5" w:rsidRPr="0096573D" w:rsidRDefault="00C314F7" w:rsidP="00C866C5">
      <w:pPr>
        <w:rPr>
          <w:rFonts w:ascii="Calibri" w:hAnsi="Calibri" w:cs="Calibri"/>
          <w:b/>
          <w:bCs/>
          <w:kern w:val="0"/>
          <w:sz w:val="22"/>
          <w:szCs w:val="22"/>
          <w:lang w:val="it-IT"/>
        </w:rPr>
      </w:pPr>
      <w:r w:rsidRPr="0096573D">
        <w:rPr>
          <w:rFonts w:ascii="Calibri" w:hAnsi="Calibri" w:cs="Calibri"/>
          <w:b/>
          <w:bCs/>
          <w:kern w:val="0"/>
          <w:sz w:val="22"/>
          <w:szCs w:val="22"/>
          <w:lang w:val="it-IT"/>
        </w:rPr>
        <w:t>T. Rowe Price</w:t>
      </w:r>
      <w:r w:rsidR="001A7CA3" w:rsidRPr="0096573D">
        <w:rPr>
          <w:rFonts w:ascii="Calibri" w:hAnsi="Calibri" w:cs="Calibri"/>
          <w:b/>
          <w:bCs/>
          <w:kern w:val="0"/>
          <w:sz w:val="22"/>
          <w:szCs w:val="22"/>
          <w:lang w:val="it-IT"/>
        </w:rPr>
        <w:t xml:space="preserve"> -</w:t>
      </w:r>
      <w:r w:rsidRPr="0096573D">
        <w:rPr>
          <w:rFonts w:ascii="Calibri" w:hAnsi="Calibri" w:cs="Calibri"/>
          <w:b/>
          <w:bCs/>
          <w:kern w:val="0"/>
          <w:sz w:val="22"/>
          <w:szCs w:val="22"/>
          <w:lang w:val="it-IT"/>
        </w:rPr>
        <w:t xml:space="preserve"> </w:t>
      </w:r>
      <w:r w:rsidR="001A7CA3" w:rsidRPr="0096573D">
        <w:rPr>
          <w:rFonts w:ascii="Calibri" w:hAnsi="Calibri" w:cs="Calibri"/>
          <w:b/>
          <w:bCs/>
          <w:kern w:val="0"/>
          <w:sz w:val="22"/>
          <w:szCs w:val="22"/>
          <w:lang w:val="it-IT"/>
        </w:rPr>
        <w:t>U</w:t>
      </w:r>
      <w:r w:rsidR="00C866C5" w:rsidRPr="0096573D">
        <w:rPr>
          <w:rFonts w:ascii="Calibri" w:hAnsi="Calibri" w:cs="Calibri"/>
          <w:b/>
          <w:bCs/>
          <w:kern w:val="0"/>
          <w:sz w:val="22"/>
          <w:szCs w:val="22"/>
          <w:lang w:val="it-IT"/>
        </w:rPr>
        <w:t>n atterraggio morbido</w:t>
      </w:r>
      <w:r w:rsidR="000E27DF" w:rsidRPr="0096573D">
        <w:rPr>
          <w:rFonts w:ascii="Calibri" w:hAnsi="Calibri" w:cs="Calibri"/>
          <w:b/>
          <w:bCs/>
          <w:kern w:val="0"/>
          <w:sz w:val="22"/>
          <w:szCs w:val="22"/>
          <w:lang w:val="it-IT"/>
        </w:rPr>
        <w:t xml:space="preserve"> è solo una favola</w:t>
      </w:r>
    </w:p>
    <w:p w14:paraId="31EAE5E9" w14:textId="77777777" w:rsidR="000C18B8" w:rsidRPr="0096573D" w:rsidRDefault="000C18B8" w:rsidP="00AE7331">
      <w:pPr>
        <w:rPr>
          <w:rFonts w:ascii="Calibri" w:hAnsi="Calibri" w:cs="Calibri"/>
          <w:kern w:val="0"/>
          <w:sz w:val="22"/>
          <w:szCs w:val="22"/>
          <w:lang w:val="it-IT"/>
        </w:rPr>
      </w:pPr>
    </w:p>
    <w:p w14:paraId="08F6B465" w14:textId="78740631" w:rsidR="000C18B8" w:rsidRPr="0096573D" w:rsidRDefault="000C18B8" w:rsidP="00325794">
      <w:pPr>
        <w:autoSpaceDE w:val="0"/>
        <w:autoSpaceDN w:val="0"/>
        <w:adjustRightInd w:val="0"/>
        <w:rPr>
          <w:rFonts w:ascii="Calibri" w:hAnsi="Calibri" w:cs="Calibri"/>
          <w:b/>
          <w:bCs/>
          <w:kern w:val="0"/>
          <w:sz w:val="22"/>
          <w:szCs w:val="22"/>
        </w:rPr>
      </w:pPr>
      <w:r w:rsidRPr="0096573D">
        <w:rPr>
          <w:rFonts w:ascii="Calibri" w:hAnsi="Calibri" w:cs="Calibri"/>
          <w:kern w:val="0"/>
          <w:sz w:val="22"/>
          <w:szCs w:val="22"/>
        </w:rPr>
        <w:t>A cura di</w:t>
      </w:r>
      <w:r w:rsidRPr="0096573D">
        <w:rPr>
          <w:rFonts w:ascii="Calibri" w:hAnsi="Calibri" w:cs="Calibri"/>
          <w:b/>
          <w:bCs/>
          <w:kern w:val="0"/>
          <w:sz w:val="22"/>
          <w:szCs w:val="22"/>
        </w:rPr>
        <w:t xml:space="preserve"> Arif Husain</w:t>
      </w:r>
      <w:r w:rsidR="00325794" w:rsidRPr="0096573D">
        <w:rPr>
          <w:rFonts w:ascii="Calibri" w:hAnsi="Calibri" w:cs="Calibri"/>
          <w:b/>
          <w:bCs/>
          <w:kern w:val="0"/>
          <w:sz w:val="22"/>
          <w:szCs w:val="22"/>
        </w:rPr>
        <w:t xml:space="preserve">, </w:t>
      </w:r>
      <w:r w:rsidRPr="0096573D">
        <w:rPr>
          <w:rFonts w:ascii="Calibri" w:hAnsi="Calibri" w:cs="Calibri"/>
          <w:b/>
          <w:bCs/>
          <w:kern w:val="0"/>
          <w:sz w:val="22"/>
          <w:szCs w:val="22"/>
        </w:rPr>
        <w:t>Head of International Fixed Income and</w:t>
      </w:r>
      <w:r w:rsidR="00325794" w:rsidRPr="0096573D">
        <w:rPr>
          <w:rFonts w:ascii="Calibri" w:hAnsi="Calibri" w:cs="Calibri"/>
          <w:b/>
          <w:bCs/>
          <w:kern w:val="0"/>
          <w:sz w:val="22"/>
          <w:szCs w:val="22"/>
        </w:rPr>
        <w:t xml:space="preserve"> </w:t>
      </w:r>
      <w:r w:rsidRPr="0096573D">
        <w:rPr>
          <w:rFonts w:ascii="Calibri" w:hAnsi="Calibri" w:cs="Calibri"/>
          <w:b/>
          <w:bCs/>
          <w:kern w:val="0"/>
          <w:sz w:val="22"/>
          <w:szCs w:val="22"/>
        </w:rPr>
        <w:t xml:space="preserve">Chief Investment Officer, Fixed Income, T. Rowe Price </w:t>
      </w:r>
    </w:p>
    <w:p w14:paraId="6B33B92F" w14:textId="77777777" w:rsidR="000C18B8" w:rsidRPr="0096573D" w:rsidRDefault="000C18B8" w:rsidP="000C18B8">
      <w:pPr>
        <w:rPr>
          <w:rFonts w:ascii="Calibri" w:hAnsi="Calibri" w:cs="Calibri"/>
          <w:kern w:val="0"/>
          <w:sz w:val="22"/>
          <w:szCs w:val="22"/>
        </w:rPr>
      </w:pPr>
    </w:p>
    <w:p w14:paraId="48B8084D" w14:textId="5C5945CB" w:rsidR="00325794" w:rsidRPr="0096573D" w:rsidRDefault="00C866C5" w:rsidP="000C18B8">
      <w:pPr>
        <w:autoSpaceDE w:val="0"/>
        <w:autoSpaceDN w:val="0"/>
        <w:adjustRightInd w:val="0"/>
        <w:rPr>
          <w:rFonts w:ascii="Calibri" w:hAnsi="Calibri" w:cs="Calibri"/>
          <w:b/>
          <w:bCs/>
          <w:kern w:val="0"/>
          <w:sz w:val="22"/>
          <w:szCs w:val="22"/>
          <w:lang w:val="it-IT"/>
        </w:rPr>
      </w:pPr>
      <w:r w:rsidRPr="0096573D">
        <w:rPr>
          <w:rFonts w:ascii="Calibri" w:hAnsi="Calibri" w:cs="Calibri"/>
          <w:kern w:val="0"/>
          <w:sz w:val="22"/>
          <w:szCs w:val="22"/>
          <w:lang w:val="it-IT"/>
        </w:rPr>
        <w:t xml:space="preserve">All’inizio del 2023, l’opinione comune </w:t>
      </w:r>
      <w:r w:rsidR="00061984" w:rsidRPr="0096573D">
        <w:rPr>
          <w:rFonts w:ascii="Calibri" w:hAnsi="Calibri" w:cs="Calibri"/>
          <w:kern w:val="0"/>
          <w:sz w:val="22"/>
          <w:szCs w:val="22"/>
          <w:lang w:val="it-IT"/>
        </w:rPr>
        <w:t>prevedeva che</w:t>
      </w:r>
      <w:r w:rsidRPr="0096573D">
        <w:rPr>
          <w:rFonts w:ascii="Calibri" w:hAnsi="Calibri" w:cs="Calibri"/>
          <w:kern w:val="0"/>
          <w:sz w:val="22"/>
          <w:szCs w:val="22"/>
          <w:lang w:val="it-IT"/>
        </w:rPr>
        <w:t xml:space="preserve"> una recessione globale sarebbe arrivata nel corso del</w:t>
      </w:r>
      <w:r w:rsidR="00061984" w:rsidRPr="0096573D">
        <w:rPr>
          <w:rFonts w:ascii="Calibri" w:hAnsi="Calibri" w:cs="Calibri"/>
          <w:kern w:val="0"/>
          <w:sz w:val="22"/>
          <w:szCs w:val="22"/>
          <w:lang w:val="it-IT"/>
        </w:rPr>
        <w:t>l’anno</w:t>
      </w:r>
      <w:r w:rsidRPr="0096573D">
        <w:rPr>
          <w:rFonts w:ascii="Calibri" w:hAnsi="Calibri" w:cs="Calibri"/>
          <w:kern w:val="0"/>
          <w:sz w:val="22"/>
          <w:szCs w:val="22"/>
          <w:lang w:val="it-IT"/>
        </w:rPr>
        <w:t xml:space="preserve">. Ma con l’avanzare </w:t>
      </w:r>
      <w:r w:rsidR="00061984" w:rsidRPr="0096573D">
        <w:rPr>
          <w:rFonts w:ascii="Calibri" w:hAnsi="Calibri" w:cs="Calibri"/>
          <w:kern w:val="0"/>
          <w:sz w:val="22"/>
          <w:szCs w:val="22"/>
          <w:lang w:val="it-IT"/>
        </w:rPr>
        <w:t>dei mesi</w:t>
      </w:r>
      <w:r w:rsidRPr="0096573D">
        <w:rPr>
          <w:rFonts w:ascii="Calibri" w:hAnsi="Calibri" w:cs="Calibri"/>
          <w:kern w:val="0"/>
          <w:sz w:val="22"/>
          <w:szCs w:val="22"/>
          <w:lang w:val="it-IT"/>
        </w:rPr>
        <w:t xml:space="preserve">, le prospettive sono cambiate completamente. Un atterraggio morbido, o addirittura nessun atterraggio, è </w:t>
      </w:r>
      <w:r w:rsidR="00061984" w:rsidRPr="0096573D">
        <w:rPr>
          <w:rFonts w:ascii="Calibri" w:hAnsi="Calibri" w:cs="Calibri"/>
          <w:kern w:val="0"/>
          <w:sz w:val="22"/>
          <w:szCs w:val="22"/>
          <w:lang w:val="it-IT"/>
        </w:rPr>
        <w:t xml:space="preserve">diventata </w:t>
      </w:r>
      <w:r w:rsidRPr="0096573D">
        <w:rPr>
          <w:rFonts w:ascii="Calibri" w:hAnsi="Calibri" w:cs="Calibri"/>
          <w:kern w:val="0"/>
          <w:sz w:val="22"/>
          <w:szCs w:val="22"/>
          <w:lang w:val="it-IT"/>
        </w:rPr>
        <w:t xml:space="preserve">ora </w:t>
      </w:r>
      <w:r w:rsidR="00061984" w:rsidRPr="0096573D">
        <w:rPr>
          <w:rFonts w:ascii="Calibri" w:hAnsi="Calibri" w:cs="Calibri"/>
          <w:kern w:val="0"/>
          <w:sz w:val="22"/>
          <w:szCs w:val="22"/>
          <w:lang w:val="it-IT"/>
        </w:rPr>
        <w:t xml:space="preserve">opinione </w:t>
      </w:r>
      <w:r w:rsidR="00A5158F" w:rsidRPr="0096573D">
        <w:rPr>
          <w:rFonts w:ascii="Calibri" w:hAnsi="Calibri" w:cs="Calibri"/>
          <w:kern w:val="0"/>
          <w:sz w:val="22"/>
          <w:szCs w:val="22"/>
          <w:lang w:val="it-IT"/>
        </w:rPr>
        <w:t>condivisa</w:t>
      </w:r>
      <w:r w:rsidR="00061984" w:rsidRPr="0096573D">
        <w:rPr>
          <w:rFonts w:ascii="Calibri" w:hAnsi="Calibri" w:cs="Calibri"/>
          <w:kern w:val="0"/>
          <w:sz w:val="22"/>
          <w:szCs w:val="22"/>
          <w:lang w:val="it-IT"/>
        </w:rPr>
        <w:t>.</w:t>
      </w:r>
      <w:r w:rsidRPr="0096573D">
        <w:rPr>
          <w:rFonts w:ascii="Calibri" w:hAnsi="Calibri" w:cs="Calibri"/>
          <w:kern w:val="0"/>
          <w:sz w:val="22"/>
          <w:szCs w:val="22"/>
          <w:lang w:val="it-IT"/>
        </w:rPr>
        <w:br/>
      </w:r>
      <w:r w:rsidR="00061984" w:rsidRPr="0096573D">
        <w:rPr>
          <w:rFonts w:ascii="Calibri" w:hAnsi="Calibri" w:cs="Calibri"/>
          <w:kern w:val="0"/>
          <w:sz w:val="22"/>
          <w:szCs w:val="22"/>
          <w:lang w:val="it-IT"/>
        </w:rPr>
        <w:t xml:space="preserve">Non concordiamo con questa previsione. </w:t>
      </w:r>
      <w:r w:rsidRPr="0096573D">
        <w:rPr>
          <w:rFonts w:ascii="Calibri" w:hAnsi="Calibri" w:cs="Calibri"/>
          <w:b/>
          <w:bCs/>
          <w:kern w:val="0"/>
          <w:sz w:val="22"/>
          <w:szCs w:val="22"/>
          <w:lang w:val="it-IT"/>
        </w:rPr>
        <w:t>Un atterraggio morbido è solo una favola comoda e confortevole</w:t>
      </w:r>
      <w:r w:rsidRPr="0096573D">
        <w:rPr>
          <w:rFonts w:ascii="Calibri" w:hAnsi="Calibri" w:cs="Calibri"/>
          <w:kern w:val="0"/>
          <w:sz w:val="22"/>
          <w:szCs w:val="22"/>
          <w:lang w:val="it-IT"/>
        </w:rPr>
        <w:t>, adattata alla narrazione prevalente del mercato e basata su circostanze uniche che guardano al passato</w:t>
      </w:r>
      <w:r w:rsidR="001A7CA3" w:rsidRPr="0096573D">
        <w:rPr>
          <w:rFonts w:ascii="Calibri" w:hAnsi="Calibri" w:cs="Calibri"/>
          <w:kern w:val="0"/>
          <w:sz w:val="22"/>
          <w:szCs w:val="22"/>
          <w:lang w:val="it-IT"/>
        </w:rPr>
        <w:t>. Riteniamo</w:t>
      </w:r>
      <w:r w:rsidR="00061984" w:rsidRPr="0096573D">
        <w:rPr>
          <w:rFonts w:ascii="Calibri" w:hAnsi="Calibri" w:cs="Calibri"/>
          <w:kern w:val="0"/>
          <w:sz w:val="22"/>
          <w:szCs w:val="22"/>
          <w:lang w:val="it-IT"/>
        </w:rPr>
        <w:t xml:space="preserve"> invece, </w:t>
      </w:r>
      <w:r w:rsidR="001A7CA3" w:rsidRPr="0096573D">
        <w:rPr>
          <w:rFonts w:ascii="Calibri" w:hAnsi="Calibri" w:cs="Calibri"/>
          <w:kern w:val="0"/>
          <w:sz w:val="22"/>
          <w:szCs w:val="22"/>
          <w:lang w:val="it-IT"/>
        </w:rPr>
        <w:t xml:space="preserve">che </w:t>
      </w:r>
      <w:r w:rsidR="00061984" w:rsidRPr="0096573D">
        <w:rPr>
          <w:rFonts w:ascii="Calibri" w:hAnsi="Calibri" w:cs="Calibri"/>
          <w:b/>
          <w:bCs/>
          <w:kern w:val="0"/>
          <w:sz w:val="22"/>
          <w:szCs w:val="22"/>
          <w:lang w:val="it-IT"/>
        </w:rPr>
        <w:t>u</w:t>
      </w:r>
      <w:r w:rsidRPr="0096573D">
        <w:rPr>
          <w:rFonts w:ascii="Calibri" w:hAnsi="Calibri" w:cs="Calibri"/>
          <w:b/>
          <w:bCs/>
          <w:kern w:val="0"/>
          <w:sz w:val="22"/>
          <w:szCs w:val="22"/>
          <w:lang w:val="it-IT"/>
        </w:rPr>
        <w:t xml:space="preserve">n atterraggio duro </w:t>
      </w:r>
      <w:r w:rsidR="001A7CA3" w:rsidRPr="0096573D">
        <w:rPr>
          <w:rFonts w:ascii="Calibri" w:hAnsi="Calibri" w:cs="Calibri"/>
          <w:b/>
          <w:bCs/>
          <w:kern w:val="0"/>
          <w:sz w:val="22"/>
          <w:szCs w:val="22"/>
          <w:lang w:val="it-IT"/>
        </w:rPr>
        <w:t>sia</w:t>
      </w:r>
      <w:r w:rsidRPr="0096573D">
        <w:rPr>
          <w:rFonts w:ascii="Calibri" w:hAnsi="Calibri" w:cs="Calibri"/>
          <w:b/>
          <w:bCs/>
          <w:kern w:val="0"/>
          <w:sz w:val="22"/>
          <w:szCs w:val="22"/>
          <w:lang w:val="it-IT"/>
        </w:rPr>
        <w:t xml:space="preserve"> in arrivo </w:t>
      </w:r>
      <w:r w:rsidR="00061984" w:rsidRPr="0096573D">
        <w:rPr>
          <w:rFonts w:ascii="Calibri" w:hAnsi="Calibri" w:cs="Calibri"/>
          <w:b/>
          <w:bCs/>
          <w:kern w:val="0"/>
          <w:sz w:val="22"/>
          <w:szCs w:val="22"/>
          <w:lang w:val="it-IT"/>
        </w:rPr>
        <w:t>e</w:t>
      </w:r>
      <w:r w:rsidR="001A7CA3" w:rsidRPr="0096573D">
        <w:rPr>
          <w:rFonts w:ascii="Calibri" w:hAnsi="Calibri" w:cs="Calibri"/>
          <w:b/>
          <w:bCs/>
          <w:kern w:val="0"/>
          <w:sz w:val="22"/>
          <w:szCs w:val="22"/>
          <w:lang w:val="it-IT"/>
        </w:rPr>
        <w:t xml:space="preserve"> sia</w:t>
      </w:r>
      <w:r w:rsidRPr="0096573D">
        <w:rPr>
          <w:rFonts w:ascii="Calibri" w:hAnsi="Calibri" w:cs="Calibri"/>
          <w:b/>
          <w:bCs/>
          <w:kern w:val="0"/>
          <w:sz w:val="22"/>
          <w:szCs w:val="22"/>
          <w:lang w:val="it-IT"/>
        </w:rPr>
        <w:t xml:space="preserve"> solo questione di tempo.</w:t>
      </w:r>
    </w:p>
    <w:p w14:paraId="4B368C80" w14:textId="77777777" w:rsidR="00C866C5" w:rsidRPr="0096573D" w:rsidRDefault="00C866C5" w:rsidP="000C18B8">
      <w:pPr>
        <w:autoSpaceDE w:val="0"/>
        <w:autoSpaceDN w:val="0"/>
        <w:adjustRightInd w:val="0"/>
        <w:rPr>
          <w:rFonts w:ascii="Calibri" w:hAnsi="Calibri" w:cs="Calibri"/>
          <w:b/>
          <w:bCs/>
          <w:kern w:val="0"/>
          <w:sz w:val="22"/>
          <w:szCs w:val="22"/>
          <w:lang w:val="it-IT"/>
        </w:rPr>
      </w:pPr>
    </w:p>
    <w:p w14:paraId="75185ABD" w14:textId="67D77348" w:rsidR="001D44F7" w:rsidRPr="0096573D" w:rsidRDefault="003E3A90" w:rsidP="000C18B8">
      <w:pPr>
        <w:autoSpaceDE w:val="0"/>
        <w:autoSpaceDN w:val="0"/>
        <w:adjustRightInd w:val="0"/>
        <w:rPr>
          <w:rFonts w:ascii="Calibri" w:hAnsi="Calibri" w:cs="Calibri"/>
          <w:kern w:val="0"/>
          <w:sz w:val="22"/>
          <w:szCs w:val="22"/>
          <w:u w:val="single"/>
          <w:lang w:val="it-IT"/>
        </w:rPr>
      </w:pPr>
      <w:r w:rsidRPr="0096573D">
        <w:rPr>
          <w:rFonts w:ascii="Calibri" w:hAnsi="Calibri" w:cs="Calibri"/>
          <w:kern w:val="0"/>
          <w:sz w:val="22"/>
          <w:szCs w:val="22"/>
          <w:u w:val="single"/>
          <w:lang w:val="it-IT"/>
        </w:rPr>
        <w:t>F</w:t>
      </w:r>
      <w:r w:rsidR="001D44F7" w:rsidRPr="0096573D">
        <w:rPr>
          <w:rFonts w:ascii="Calibri" w:hAnsi="Calibri" w:cs="Calibri"/>
          <w:kern w:val="0"/>
          <w:sz w:val="22"/>
          <w:szCs w:val="22"/>
          <w:u w:val="single"/>
          <w:lang w:val="it-IT"/>
        </w:rPr>
        <w:t xml:space="preserve">alse speranze </w:t>
      </w:r>
    </w:p>
    <w:p w14:paraId="70979C3C" w14:textId="4D537E75" w:rsidR="001D44F7" w:rsidRPr="0096573D" w:rsidRDefault="001D44F7" w:rsidP="001D44F7">
      <w:pPr>
        <w:rPr>
          <w:rFonts w:ascii="Calibri" w:hAnsi="Calibri" w:cs="Calibri"/>
          <w:kern w:val="0"/>
          <w:sz w:val="22"/>
          <w:szCs w:val="22"/>
          <w:lang w:val="it-IT"/>
        </w:rPr>
      </w:pPr>
      <w:r w:rsidRPr="0096573D">
        <w:rPr>
          <w:rFonts w:ascii="Calibri" w:hAnsi="Calibri" w:cs="Calibri"/>
          <w:b/>
          <w:bCs/>
          <w:kern w:val="0"/>
          <w:sz w:val="22"/>
          <w:szCs w:val="22"/>
          <w:lang w:val="it-IT"/>
        </w:rPr>
        <w:t xml:space="preserve">Il caldo inverno europeo ha permesso alla regione di evitare una </w:t>
      </w:r>
      <w:r w:rsidR="00947A4B" w:rsidRPr="0096573D">
        <w:rPr>
          <w:rFonts w:ascii="Calibri" w:hAnsi="Calibri" w:cs="Calibri"/>
          <w:b/>
          <w:bCs/>
          <w:kern w:val="0"/>
          <w:sz w:val="22"/>
          <w:szCs w:val="22"/>
          <w:lang w:val="it-IT"/>
        </w:rPr>
        <w:t xml:space="preserve">profonda </w:t>
      </w:r>
      <w:r w:rsidRPr="0096573D">
        <w:rPr>
          <w:rFonts w:ascii="Calibri" w:hAnsi="Calibri" w:cs="Calibri"/>
          <w:b/>
          <w:bCs/>
          <w:kern w:val="0"/>
          <w:sz w:val="22"/>
          <w:szCs w:val="22"/>
          <w:lang w:val="it-IT"/>
        </w:rPr>
        <w:t>recessione</w:t>
      </w:r>
      <w:r w:rsidRPr="0096573D">
        <w:rPr>
          <w:rFonts w:ascii="Calibri" w:hAnsi="Calibri" w:cs="Calibri"/>
          <w:kern w:val="0"/>
          <w:sz w:val="22"/>
          <w:szCs w:val="22"/>
          <w:lang w:val="it-IT"/>
        </w:rPr>
        <w:t xml:space="preserve">, considerata quasi inevitabile a causa degli elevati prezzi dell’energia e dei problemi di approvvigionamento conseguenti all’invasione dell’Ucraina da parte della Russia. </w:t>
      </w:r>
      <w:r w:rsidR="00D305C8" w:rsidRPr="0096573D">
        <w:rPr>
          <w:rFonts w:ascii="Calibri" w:hAnsi="Calibri" w:cs="Calibri"/>
          <w:kern w:val="0"/>
          <w:sz w:val="22"/>
          <w:szCs w:val="22"/>
          <w:lang w:val="it-IT"/>
        </w:rPr>
        <w:t xml:space="preserve"> Ma a</w:t>
      </w:r>
      <w:r w:rsidRPr="0096573D">
        <w:rPr>
          <w:rFonts w:ascii="Calibri" w:hAnsi="Calibri" w:cs="Calibri"/>
          <w:kern w:val="0"/>
          <w:sz w:val="22"/>
          <w:szCs w:val="22"/>
          <w:lang w:val="it-IT"/>
        </w:rPr>
        <w:t xml:space="preserve">vremo un altro inverno caldo? </w:t>
      </w:r>
      <w:r w:rsidR="00D305C8" w:rsidRPr="0096573D">
        <w:rPr>
          <w:rFonts w:ascii="Calibri" w:hAnsi="Calibri" w:cs="Calibri"/>
          <w:kern w:val="0"/>
          <w:sz w:val="22"/>
          <w:szCs w:val="22"/>
          <w:lang w:val="it-IT"/>
        </w:rPr>
        <w:t>G</w:t>
      </w:r>
      <w:r w:rsidRPr="0096573D">
        <w:rPr>
          <w:rFonts w:ascii="Calibri" w:hAnsi="Calibri" w:cs="Calibri"/>
          <w:kern w:val="0"/>
          <w:sz w:val="22"/>
          <w:szCs w:val="22"/>
          <w:lang w:val="it-IT"/>
        </w:rPr>
        <w:t xml:space="preserve">li investitori </w:t>
      </w:r>
      <w:r w:rsidR="00D305C8" w:rsidRPr="0096573D">
        <w:rPr>
          <w:rFonts w:ascii="Calibri" w:hAnsi="Calibri" w:cs="Calibri"/>
          <w:kern w:val="0"/>
          <w:sz w:val="22"/>
          <w:szCs w:val="22"/>
          <w:lang w:val="it-IT"/>
        </w:rPr>
        <w:t xml:space="preserve">non </w:t>
      </w:r>
      <w:r w:rsidRPr="0096573D">
        <w:rPr>
          <w:rFonts w:ascii="Calibri" w:hAnsi="Calibri" w:cs="Calibri"/>
          <w:kern w:val="0"/>
          <w:sz w:val="22"/>
          <w:szCs w:val="22"/>
          <w:lang w:val="it-IT"/>
        </w:rPr>
        <w:t>dovrebbero allocare il capitale sulla base di questa speranza.</w:t>
      </w:r>
    </w:p>
    <w:p w14:paraId="49D0CA92" w14:textId="77777777" w:rsidR="001A7CA3" w:rsidRPr="0096573D" w:rsidRDefault="001A7CA3" w:rsidP="001D44F7">
      <w:pPr>
        <w:rPr>
          <w:rFonts w:ascii="Calibri" w:hAnsi="Calibri" w:cs="Calibri"/>
          <w:kern w:val="0"/>
          <w:sz w:val="22"/>
          <w:szCs w:val="22"/>
          <w:lang w:val="it-IT"/>
        </w:rPr>
      </w:pPr>
    </w:p>
    <w:p w14:paraId="2EA71DCD" w14:textId="45CCCF67" w:rsidR="003E3A90" w:rsidRPr="0096573D" w:rsidRDefault="001A7CA3" w:rsidP="001D44F7">
      <w:pPr>
        <w:rPr>
          <w:rFonts w:ascii="Calibri" w:hAnsi="Calibri" w:cs="Calibri"/>
          <w:kern w:val="0"/>
          <w:sz w:val="22"/>
          <w:szCs w:val="22"/>
          <w:lang w:val="it-IT"/>
        </w:rPr>
      </w:pPr>
      <w:r w:rsidRPr="0096573D">
        <w:rPr>
          <w:rFonts w:ascii="Calibri" w:hAnsi="Calibri" w:cs="Calibri"/>
          <w:b/>
          <w:bCs/>
          <w:kern w:val="0"/>
          <w:sz w:val="22"/>
          <w:szCs w:val="22"/>
          <w:lang w:val="it-IT"/>
        </w:rPr>
        <w:t>D</w:t>
      </w:r>
      <w:r w:rsidR="001D44F7" w:rsidRPr="0096573D">
        <w:rPr>
          <w:rFonts w:ascii="Calibri" w:hAnsi="Calibri" w:cs="Calibri"/>
          <w:b/>
          <w:bCs/>
          <w:kern w:val="0"/>
          <w:sz w:val="22"/>
          <w:szCs w:val="22"/>
          <w:lang w:val="it-IT"/>
        </w:rPr>
        <w:t>urante la crisi delle banche regionali statunitensi a marzo, la Federal Reserve è intervenuta creando una nuova linea di finanziamento</w:t>
      </w:r>
      <w:r w:rsidR="001D44F7" w:rsidRPr="0096573D">
        <w:rPr>
          <w:rFonts w:ascii="Calibri" w:hAnsi="Calibri" w:cs="Calibri"/>
          <w:kern w:val="0"/>
          <w:sz w:val="22"/>
          <w:szCs w:val="22"/>
          <w:lang w:val="it-IT"/>
        </w:rPr>
        <w:t xml:space="preserve"> a termine per alleviare la crisi di liquidità delle banche. I mercati prevedevano che la Fed avrebbe presto rallentato o interrotto i suoi rialzi dei tassi, portando a un allentamento sostanziale delle condizioni finanziarie.</w:t>
      </w:r>
      <w:r w:rsidR="00D305C8" w:rsidRPr="0096573D">
        <w:rPr>
          <w:rFonts w:ascii="Calibri" w:hAnsi="Calibri" w:cs="Calibri"/>
          <w:kern w:val="0"/>
          <w:sz w:val="22"/>
          <w:szCs w:val="22"/>
          <w:lang w:val="it-IT"/>
        </w:rPr>
        <w:t xml:space="preserve"> </w:t>
      </w:r>
    </w:p>
    <w:p w14:paraId="7E1B3C9C" w14:textId="77777777" w:rsidR="001A7CA3" w:rsidRPr="0096573D" w:rsidRDefault="001A7CA3" w:rsidP="001D44F7">
      <w:pPr>
        <w:rPr>
          <w:rFonts w:ascii="Calibri" w:hAnsi="Calibri" w:cs="Calibri"/>
          <w:kern w:val="0"/>
          <w:sz w:val="22"/>
          <w:szCs w:val="22"/>
          <w:lang w:val="it-IT"/>
        </w:rPr>
      </w:pPr>
    </w:p>
    <w:p w14:paraId="0FB1D5D7" w14:textId="701A357B" w:rsidR="001D44F7" w:rsidRPr="0096573D" w:rsidRDefault="001D44F7" w:rsidP="001D44F7">
      <w:pPr>
        <w:autoSpaceDE w:val="0"/>
        <w:autoSpaceDN w:val="0"/>
        <w:adjustRightInd w:val="0"/>
        <w:rPr>
          <w:rFonts w:ascii="Calibri" w:hAnsi="Calibri" w:cs="Calibri"/>
          <w:kern w:val="0"/>
          <w:sz w:val="22"/>
          <w:szCs w:val="22"/>
          <w:u w:val="single"/>
          <w:lang w:val="it-IT"/>
        </w:rPr>
      </w:pPr>
      <w:r w:rsidRPr="0096573D">
        <w:rPr>
          <w:rFonts w:ascii="Calibri" w:hAnsi="Calibri" w:cs="Calibri"/>
          <w:kern w:val="0"/>
          <w:sz w:val="22"/>
          <w:szCs w:val="22"/>
          <w:lang w:val="it-IT"/>
        </w:rPr>
        <w:t xml:space="preserve">Il rendimento dei Treasury statunitensi a due anni è sceso al 3,77% </w:t>
      </w:r>
      <w:r w:rsidR="00061984" w:rsidRPr="0096573D">
        <w:rPr>
          <w:rFonts w:ascii="Calibri" w:hAnsi="Calibri" w:cs="Calibri"/>
          <w:kern w:val="0"/>
          <w:sz w:val="22"/>
          <w:szCs w:val="22"/>
          <w:lang w:val="it-IT"/>
        </w:rPr>
        <w:t>de</w:t>
      </w:r>
      <w:r w:rsidRPr="0096573D">
        <w:rPr>
          <w:rFonts w:ascii="Calibri" w:hAnsi="Calibri" w:cs="Calibri"/>
          <w:kern w:val="0"/>
          <w:sz w:val="22"/>
          <w:szCs w:val="22"/>
          <w:lang w:val="it-IT"/>
        </w:rPr>
        <w:t>l 24 marzo, dal 5,07% dell’8 marzo, in quanto i mercati hanno rapidamente riconsiderato le aspettative di un inasprimento della Fed. I tassi ipotecari sono scesi, fornendo un’altra effimera spinta all’economia, poiché i rendimenti e i tassi ipotecari sono ora risaliti in risposta alla narrativa dell’atterraggio morbido.</w:t>
      </w:r>
      <w:r w:rsidR="00D305C8" w:rsidRPr="0096573D">
        <w:rPr>
          <w:rFonts w:ascii="Calibri" w:hAnsi="Calibri" w:cs="Calibri"/>
          <w:kern w:val="0"/>
          <w:sz w:val="22"/>
          <w:szCs w:val="22"/>
          <w:u w:val="single"/>
          <w:lang w:val="it-IT"/>
        </w:rPr>
        <w:t xml:space="preserve"> </w:t>
      </w:r>
      <w:r w:rsidRPr="0096573D">
        <w:rPr>
          <w:rFonts w:ascii="Calibri" w:hAnsi="Calibri" w:cs="Calibri"/>
          <w:kern w:val="0"/>
          <w:sz w:val="22"/>
          <w:szCs w:val="22"/>
          <w:u w:val="single"/>
          <w:lang w:val="it-IT"/>
        </w:rPr>
        <w:t xml:space="preserve"> </w:t>
      </w:r>
    </w:p>
    <w:p w14:paraId="5D700EBD" w14:textId="38829177" w:rsidR="00741C60" w:rsidRPr="0096573D" w:rsidRDefault="00741C60" w:rsidP="001D44F7">
      <w:pPr>
        <w:autoSpaceDE w:val="0"/>
        <w:autoSpaceDN w:val="0"/>
        <w:adjustRightInd w:val="0"/>
        <w:rPr>
          <w:rFonts w:ascii="Calibri" w:hAnsi="Calibri" w:cs="Calibri"/>
          <w:kern w:val="0"/>
          <w:sz w:val="22"/>
          <w:szCs w:val="22"/>
          <w:lang w:val="it-IT"/>
        </w:rPr>
      </w:pPr>
    </w:p>
    <w:p w14:paraId="03DC3A6C" w14:textId="2F81BC8E" w:rsidR="001D44F7" w:rsidRPr="0096573D" w:rsidRDefault="00D305C8" w:rsidP="001D44F7">
      <w:pPr>
        <w:autoSpaceDE w:val="0"/>
        <w:autoSpaceDN w:val="0"/>
        <w:adjustRightInd w:val="0"/>
        <w:rPr>
          <w:rFonts w:ascii="Calibri" w:hAnsi="Calibri" w:cs="Calibri"/>
          <w:kern w:val="0"/>
          <w:sz w:val="22"/>
          <w:szCs w:val="22"/>
          <w:lang w:val="it-IT"/>
        </w:rPr>
      </w:pPr>
      <w:r w:rsidRPr="0096573D">
        <w:rPr>
          <w:rFonts w:ascii="Calibri" w:hAnsi="Calibri" w:cs="Calibri"/>
          <w:kern w:val="0"/>
          <w:sz w:val="22"/>
          <w:szCs w:val="22"/>
          <w:lang w:val="it-IT"/>
        </w:rPr>
        <w:t xml:space="preserve">Tuttavia, </w:t>
      </w:r>
      <w:r w:rsidRPr="0096573D">
        <w:rPr>
          <w:rFonts w:ascii="Calibri" w:hAnsi="Calibri" w:cs="Calibri"/>
          <w:b/>
          <w:bCs/>
          <w:kern w:val="0"/>
          <w:sz w:val="22"/>
          <w:szCs w:val="22"/>
          <w:lang w:val="it-IT"/>
        </w:rPr>
        <w:t>i</w:t>
      </w:r>
      <w:r w:rsidR="001D44F7" w:rsidRPr="0096573D">
        <w:rPr>
          <w:rFonts w:ascii="Calibri" w:hAnsi="Calibri" w:cs="Calibri"/>
          <w:b/>
          <w:bCs/>
          <w:kern w:val="0"/>
          <w:sz w:val="22"/>
          <w:szCs w:val="22"/>
          <w:lang w:val="it-IT"/>
        </w:rPr>
        <w:t xml:space="preserve"> benefici temporanei derivanti dall’allentamento delle condizioni finanziarie e dalla spesa fiscale statunitense si esauriranno presto.</w:t>
      </w:r>
      <w:r w:rsidR="001D44F7" w:rsidRPr="0096573D">
        <w:rPr>
          <w:rFonts w:ascii="Calibri" w:hAnsi="Calibri" w:cs="Calibri"/>
          <w:kern w:val="0"/>
          <w:sz w:val="22"/>
          <w:szCs w:val="22"/>
          <w:lang w:val="it-IT"/>
        </w:rPr>
        <w:t xml:space="preserve"> In effetti, potremmo aver raggiunto il </w:t>
      </w:r>
      <w:r w:rsidR="00061984" w:rsidRPr="0096573D">
        <w:rPr>
          <w:rFonts w:ascii="Calibri" w:hAnsi="Calibri" w:cs="Calibri"/>
          <w:kern w:val="0"/>
          <w:sz w:val="22"/>
          <w:szCs w:val="22"/>
          <w:lang w:val="it-IT"/>
        </w:rPr>
        <w:t>picco</w:t>
      </w:r>
      <w:r w:rsidRPr="0096573D">
        <w:rPr>
          <w:rFonts w:ascii="Calibri" w:hAnsi="Calibri" w:cs="Calibri"/>
          <w:kern w:val="0"/>
          <w:sz w:val="22"/>
          <w:szCs w:val="22"/>
          <w:lang w:val="it-IT"/>
        </w:rPr>
        <w:t xml:space="preserve"> in tutt</w:t>
      </w:r>
      <w:r w:rsidR="001A7CA3" w:rsidRPr="0096573D">
        <w:rPr>
          <w:rFonts w:ascii="Calibri" w:hAnsi="Calibri" w:cs="Calibri"/>
          <w:kern w:val="0"/>
          <w:sz w:val="22"/>
          <w:szCs w:val="22"/>
          <w:lang w:val="it-IT"/>
        </w:rPr>
        <w:t>o</w:t>
      </w:r>
      <w:r w:rsidR="003077BC" w:rsidRPr="0096573D">
        <w:rPr>
          <w:rFonts w:ascii="Calibri" w:hAnsi="Calibri" w:cs="Calibri"/>
          <w:kern w:val="0"/>
          <w:sz w:val="22"/>
          <w:szCs w:val="22"/>
          <w:lang w:val="it-IT"/>
        </w:rPr>
        <w:t xml:space="preserve"> </w:t>
      </w:r>
      <w:r w:rsidR="001A7CA3" w:rsidRPr="0096573D">
        <w:rPr>
          <w:rFonts w:ascii="Calibri" w:hAnsi="Calibri" w:cs="Calibri"/>
          <w:kern w:val="0"/>
          <w:sz w:val="22"/>
          <w:szCs w:val="22"/>
          <w:lang w:val="it-IT"/>
        </w:rPr>
        <w:t>(fiscale, inflazione, liquidità, crescita della Cina, edilizia abitativa, credito, ocupazione)</w:t>
      </w:r>
      <w:r w:rsidR="001D44F7" w:rsidRPr="0096573D">
        <w:rPr>
          <w:rFonts w:ascii="Calibri" w:hAnsi="Calibri" w:cs="Calibri"/>
          <w:kern w:val="0"/>
          <w:sz w:val="22"/>
          <w:szCs w:val="22"/>
          <w:lang w:val="it-IT"/>
        </w:rPr>
        <w:t xml:space="preserve"> nel senso che tutti i fattori che hanno contribuito alla tenuta dell'economia globale si sono ormai trasformati.</w:t>
      </w:r>
    </w:p>
    <w:p w14:paraId="74C745AD" w14:textId="77777777" w:rsidR="001D44F7" w:rsidRPr="0096573D" w:rsidRDefault="001D44F7" w:rsidP="001D44F7">
      <w:pPr>
        <w:autoSpaceDE w:val="0"/>
        <w:autoSpaceDN w:val="0"/>
        <w:adjustRightInd w:val="0"/>
        <w:rPr>
          <w:rFonts w:ascii="Calibri" w:hAnsi="Calibri" w:cs="Calibri"/>
          <w:b/>
          <w:bCs/>
          <w:i/>
          <w:iCs/>
          <w:kern w:val="0"/>
          <w:sz w:val="22"/>
          <w:szCs w:val="22"/>
          <w:lang w:val="it-IT"/>
        </w:rPr>
      </w:pPr>
    </w:p>
    <w:p w14:paraId="6C53B8AD" w14:textId="29C1397D" w:rsidR="001D44F7" w:rsidRPr="0096573D" w:rsidRDefault="001D44F7" w:rsidP="001D44F7">
      <w:pPr>
        <w:autoSpaceDE w:val="0"/>
        <w:autoSpaceDN w:val="0"/>
        <w:adjustRightInd w:val="0"/>
        <w:rPr>
          <w:rFonts w:ascii="Calibri" w:hAnsi="Calibri" w:cs="Calibri"/>
          <w:kern w:val="0"/>
          <w:sz w:val="22"/>
          <w:szCs w:val="22"/>
          <w:u w:val="single"/>
          <w:lang w:val="it-IT"/>
        </w:rPr>
      </w:pPr>
      <w:r w:rsidRPr="0096573D">
        <w:rPr>
          <w:rFonts w:ascii="Calibri" w:hAnsi="Calibri" w:cs="Calibri"/>
          <w:kern w:val="0"/>
          <w:sz w:val="22"/>
          <w:szCs w:val="22"/>
          <w:u w:val="single"/>
          <w:lang w:val="it-IT"/>
        </w:rPr>
        <w:t xml:space="preserve">L’inasprimento aggressivo e la leva finanziaria preparano il terreno per un atterraggio duro </w:t>
      </w:r>
    </w:p>
    <w:p w14:paraId="1FAC86CC" w14:textId="1F2B6CC1" w:rsidR="001D44F7" w:rsidRPr="0096573D" w:rsidRDefault="001D44F7" w:rsidP="001D44F7">
      <w:pPr>
        <w:autoSpaceDE w:val="0"/>
        <w:autoSpaceDN w:val="0"/>
        <w:adjustRightInd w:val="0"/>
        <w:rPr>
          <w:rFonts w:ascii="Calibri" w:hAnsi="Calibri" w:cs="Calibri"/>
          <w:kern w:val="0"/>
          <w:sz w:val="22"/>
          <w:szCs w:val="22"/>
          <w:lang w:val="it-IT"/>
        </w:rPr>
      </w:pPr>
      <w:r w:rsidRPr="0096573D">
        <w:rPr>
          <w:rFonts w:ascii="Calibri" w:hAnsi="Calibri" w:cs="Calibri"/>
          <w:b/>
          <w:bCs/>
          <w:kern w:val="0"/>
          <w:sz w:val="22"/>
          <w:szCs w:val="22"/>
          <w:lang w:val="it-IT"/>
        </w:rPr>
        <w:t>Sembra</w:t>
      </w:r>
      <w:r w:rsidR="00061984" w:rsidRPr="0096573D">
        <w:rPr>
          <w:rFonts w:ascii="Calibri" w:hAnsi="Calibri" w:cs="Calibri"/>
          <w:b/>
          <w:bCs/>
          <w:kern w:val="0"/>
          <w:sz w:val="22"/>
          <w:szCs w:val="22"/>
          <w:lang w:val="it-IT"/>
        </w:rPr>
        <w:t xml:space="preserve"> </w:t>
      </w:r>
      <w:r w:rsidRPr="0096573D">
        <w:rPr>
          <w:rFonts w:ascii="Calibri" w:hAnsi="Calibri" w:cs="Calibri"/>
          <w:b/>
          <w:bCs/>
          <w:kern w:val="0"/>
          <w:sz w:val="22"/>
          <w:szCs w:val="22"/>
          <w:lang w:val="it-IT"/>
        </w:rPr>
        <w:t xml:space="preserve">che l’industria manifatturiera mondiale stia lanciando segnali di recessione. </w:t>
      </w:r>
      <w:r w:rsidRPr="0096573D">
        <w:rPr>
          <w:rFonts w:ascii="Calibri" w:hAnsi="Calibri" w:cs="Calibri"/>
          <w:kern w:val="0"/>
          <w:sz w:val="22"/>
          <w:szCs w:val="22"/>
          <w:lang w:val="it-IT"/>
        </w:rPr>
        <w:t xml:space="preserve">Anche il boom del settore dei servizi, </w:t>
      </w:r>
      <w:r w:rsidR="001A7CA3" w:rsidRPr="0096573D">
        <w:rPr>
          <w:rFonts w:ascii="Calibri" w:hAnsi="Calibri" w:cs="Calibri"/>
          <w:kern w:val="0"/>
          <w:sz w:val="22"/>
          <w:szCs w:val="22"/>
          <w:lang w:val="it-IT"/>
        </w:rPr>
        <w:t xml:space="preserve">sostenuto </w:t>
      </w:r>
      <w:r w:rsidRPr="0096573D">
        <w:rPr>
          <w:rFonts w:ascii="Calibri" w:hAnsi="Calibri" w:cs="Calibri"/>
          <w:kern w:val="0"/>
          <w:sz w:val="22"/>
          <w:szCs w:val="22"/>
          <w:lang w:val="it-IT"/>
        </w:rPr>
        <w:t xml:space="preserve">dalla pandemia, sta mostrando </w:t>
      </w:r>
      <w:r w:rsidR="001A7CA3" w:rsidRPr="0096573D">
        <w:rPr>
          <w:rFonts w:ascii="Calibri" w:hAnsi="Calibri" w:cs="Calibri"/>
          <w:kern w:val="0"/>
          <w:sz w:val="22"/>
          <w:szCs w:val="22"/>
          <w:lang w:val="it-IT"/>
        </w:rPr>
        <w:t>segnali</w:t>
      </w:r>
      <w:r w:rsidRPr="0096573D">
        <w:rPr>
          <w:rFonts w:ascii="Calibri" w:hAnsi="Calibri" w:cs="Calibri"/>
          <w:kern w:val="0"/>
          <w:sz w:val="22"/>
          <w:szCs w:val="22"/>
          <w:lang w:val="it-IT"/>
        </w:rPr>
        <w:t xml:space="preserve"> di aver superato il picco. I mercati del lavoro non sono più forti come un tempo.</w:t>
      </w:r>
    </w:p>
    <w:p w14:paraId="4244C350" w14:textId="77777777" w:rsidR="001A7CA3" w:rsidRPr="0096573D" w:rsidRDefault="001A7CA3" w:rsidP="001D44F7">
      <w:pPr>
        <w:autoSpaceDE w:val="0"/>
        <w:autoSpaceDN w:val="0"/>
        <w:adjustRightInd w:val="0"/>
        <w:rPr>
          <w:rFonts w:ascii="Calibri" w:hAnsi="Calibri" w:cs="Calibri"/>
          <w:kern w:val="0"/>
          <w:sz w:val="22"/>
          <w:szCs w:val="22"/>
          <w:lang w:val="it-IT"/>
        </w:rPr>
      </w:pPr>
    </w:p>
    <w:p w14:paraId="38BBFF33" w14:textId="18F3B992" w:rsidR="001D44F7" w:rsidRPr="0096573D" w:rsidRDefault="001D44F7" w:rsidP="001D44F7">
      <w:pPr>
        <w:autoSpaceDE w:val="0"/>
        <w:autoSpaceDN w:val="0"/>
        <w:adjustRightInd w:val="0"/>
        <w:rPr>
          <w:rFonts w:ascii="Calibri" w:hAnsi="Calibri" w:cs="Calibri"/>
          <w:b/>
          <w:bCs/>
          <w:kern w:val="0"/>
          <w:sz w:val="22"/>
          <w:szCs w:val="22"/>
          <w:lang w:val="it-IT"/>
        </w:rPr>
      </w:pPr>
      <w:r w:rsidRPr="0096573D">
        <w:rPr>
          <w:rFonts w:ascii="Calibri" w:hAnsi="Calibri" w:cs="Calibri"/>
          <w:kern w:val="0"/>
          <w:sz w:val="22"/>
          <w:szCs w:val="22"/>
          <w:lang w:val="it-IT"/>
        </w:rPr>
        <w:t>Soprattutto, quando gli indicatori dell’attività economica globale si attestavano sui livelli attuali nei cicli economici passati, le banche centrali erano già in modalità di taglio dei tassi. Questa volta, invece,</w:t>
      </w:r>
      <w:r w:rsidRPr="0096573D">
        <w:rPr>
          <w:rFonts w:ascii="Calibri" w:hAnsi="Calibri" w:cs="Calibri"/>
          <w:b/>
          <w:bCs/>
          <w:kern w:val="0"/>
          <w:sz w:val="22"/>
          <w:szCs w:val="22"/>
          <w:lang w:val="it-IT"/>
        </w:rPr>
        <w:t xml:space="preserve"> le banche centrali continuano a stringere </w:t>
      </w:r>
      <w:r w:rsidRPr="0096573D">
        <w:rPr>
          <w:rFonts w:ascii="Calibri" w:hAnsi="Calibri" w:cs="Calibri"/>
          <w:kern w:val="0"/>
          <w:sz w:val="22"/>
          <w:szCs w:val="22"/>
          <w:lang w:val="it-IT"/>
        </w:rPr>
        <w:t xml:space="preserve">e al tempo stesso riducono i loro bilanci attraverso una stretta quantitativa. </w:t>
      </w:r>
      <w:r w:rsidRPr="0096573D">
        <w:rPr>
          <w:rFonts w:ascii="Calibri" w:hAnsi="Calibri" w:cs="Calibri"/>
          <w:b/>
          <w:bCs/>
          <w:kern w:val="0"/>
          <w:sz w:val="22"/>
          <w:szCs w:val="22"/>
          <w:lang w:val="it-IT"/>
        </w:rPr>
        <w:t xml:space="preserve">I banchieri centrali globali sembrano aver calibrato la politica monetaria su un mondo in cui i venti </w:t>
      </w:r>
      <w:r w:rsidR="00724502" w:rsidRPr="0096573D">
        <w:rPr>
          <w:rFonts w:ascii="Calibri" w:hAnsi="Calibri" w:cs="Calibri"/>
          <w:b/>
          <w:bCs/>
          <w:kern w:val="0"/>
          <w:sz w:val="22"/>
          <w:szCs w:val="22"/>
          <w:lang w:val="it-IT"/>
        </w:rPr>
        <w:t>favorevoli</w:t>
      </w:r>
      <w:r w:rsidRPr="0096573D">
        <w:rPr>
          <w:rFonts w:ascii="Calibri" w:hAnsi="Calibri" w:cs="Calibri"/>
          <w:kern w:val="0"/>
          <w:sz w:val="22"/>
          <w:szCs w:val="22"/>
          <w:lang w:val="it-IT"/>
        </w:rPr>
        <w:t xml:space="preserve"> estremi derivanti dalla pandemia</w:t>
      </w:r>
      <w:r w:rsidR="001A7CA3" w:rsidRPr="0096573D">
        <w:rPr>
          <w:rFonts w:ascii="Calibri" w:hAnsi="Calibri" w:cs="Calibri"/>
          <w:kern w:val="0"/>
          <w:sz w:val="22"/>
          <w:szCs w:val="22"/>
          <w:lang w:val="it-IT"/>
        </w:rPr>
        <w:t xml:space="preserve"> </w:t>
      </w:r>
      <w:r w:rsidRPr="0096573D">
        <w:rPr>
          <w:rFonts w:ascii="Calibri" w:hAnsi="Calibri" w:cs="Calibri"/>
          <w:b/>
          <w:bCs/>
          <w:kern w:val="0"/>
          <w:sz w:val="22"/>
          <w:szCs w:val="22"/>
          <w:lang w:val="it-IT"/>
        </w:rPr>
        <w:t>continueranno</w:t>
      </w:r>
      <w:r w:rsidR="00010363" w:rsidRPr="0096573D">
        <w:rPr>
          <w:rFonts w:ascii="Calibri" w:hAnsi="Calibri" w:cs="Calibri"/>
          <w:b/>
          <w:bCs/>
          <w:kern w:val="0"/>
          <w:sz w:val="22"/>
          <w:szCs w:val="22"/>
          <w:lang w:val="it-IT"/>
        </w:rPr>
        <w:t xml:space="preserve"> </w:t>
      </w:r>
      <w:r w:rsidRPr="0096573D">
        <w:rPr>
          <w:rFonts w:ascii="Calibri" w:hAnsi="Calibri" w:cs="Calibri"/>
          <w:b/>
          <w:bCs/>
          <w:kern w:val="0"/>
          <w:sz w:val="22"/>
          <w:szCs w:val="22"/>
          <w:lang w:val="it-IT"/>
        </w:rPr>
        <w:t>anche in futuro.</w:t>
      </w:r>
    </w:p>
    <w:p w14:paraId="52565DBC" w14:textId="77777777" w:rsidR="001A7CA3" w:rsidRPr="0096573D" w:rsidRDefault="001A7CA3" w:rsidP="001D44F7">
      <w:pPr>
        <w:autoSpaceDE w:val="0"/>
        <w:autoSpaceDN w:val="0"/>
        <w:adjustRightInd w:val="0"/>
        <w:rPr>
          <w:rFonts w:ascii="Calibri" w:hAnsi="Calibri" w:cs="Calibri"/>
          <w:b/>
          <w:bCs/>
          <w:kern w:val="0"/>
          <w:sz w:val="22"/>
          <w:szCs w:val="22"/>
          <w:lang w:val="it-IT"/>
        </w:rPr>
      </w:pPr>
    </w:p>
    <w:p w14:paraId="1F3A1F1F" w14:textId="29EF6F38" w:rsidR="001D44F7" w:rsidRPr="0096573D" w:rsidRDefault="001D44F7" w:rsidP="001D44F7">
      <w:pPr>
        <w:autoSpaceDE w:val="0"/>
        <w:autoSpaceDN w:val="0"/>
        <w:adjustRightInd w:val="0"/>
        <w:rPr>
          <w:rFonts w:ascii="Calibri" w:hAnsi="Calibri" w:cs="Calibri"/>
          <w:kern w:val="0"/>
          <w:sz w:val="22"/>
          <w:szCs w:val="22"/>
          <w:lang w:val="it-IT"/>
        </w:rPr>
      </w:pPr>
      <w:r w:rsidRPr="0096573D">
        <w:rPr>
          <w:rFonts w:ascii="Calibri" w:hAnsi="Calibri" w:cs="Calibri"/>
          <w:kern w:val="0"/>
          <w:sz w:val="22"/>
          <w:szCs w:val="22"/>
          <w:lang w:val="it-IT"/>
        </w:rPr>
        <w:t xml:space="preserve">La Fed ha aumentato il tasso dei FedFund di oltre 500 punti base da quando ha dato il via al ciclo di inasprimento nel marzo 2022, e attualmente sembra che possa aumentare i tassi ancora una volta nel 2023. </w:t>
      </w:r>
      <w:r w:rsidRPr="0096573D">
        <w:rPr>
          <w:rFonts w:ascii="Calibri" w:hAnsi="Calibri" w:cs="Calibri"/>
          <w:b/>
          <w:bCs/>
          <w:kern w:val="0"/>
          <w:sz w:val="22"/>
          <w:szCs w:val="22"/>
          <w:lang w:val="it-IT"/>
        </w:rPr>
        <w:t>La B</w:t>
      </w:r>
      <w:r w:rsidR="00724502" w:rsidRPr="0096573D">
        <w:rPr>
          <w:rFonts w:ascii="Calibri" w:hAnsi="Calibri" w:cs="Calibri"/>
          <w:b/>
          <w:bCs/>
          <w:kern w:val="0"/>
          <w:sz w:val="22"/>
          <w:szCs w:val="22"/>
          <w:lang w:val="it-IT"/>
        </w:rPr>
        <w:t>ce</w:t>
      </w:r>
      <w:r w:rsidRPr="0096573D">
        <w:rPr>
          <w:rFonts w:ascii="Calibri" w:hAnsi="Calibri" w:cs="Calibri"/>
          <w:b/>
          <w:bCs/>
          <w:kern w:val="0"/>
          <w:sz w:val="22"/>
          <w:szCs w:val="22"/>
          <w:lang w:val="it-IT"/>
        </w:rPr>
        <w:t xml:space="preserve"> ha inasprito i tassi di oltre 400 punti base</w:t>
      </w:r>
      <w:r w:rsidRPr="0096573D">
        <w:rPr>
          <w:rFonts w:ascii="Calibri" w:hAnsi="Calibri" w:cs="Calibri"/>
          <w:kern w:val="0"/>
          <w:sz w:val="22"/>
          <w:szCs w:val="22"/>
          <w:lang w:val="it-IT"/>
        </w:rPr>
        <w:t xml:space="preserve"> e la Bank of England di oltre 500 punti base. Persino la Bank of Japan, che ha dovuto far fronte a un’inflazione molto più bassa rispetto agli </w:t>
      </w:r>
      <w:r w:rsidRPr="0096573D">
        <w:rPr>
          <w:rFonts w:ascii="Calibri" w:hAnsi="Calibri" w:cs="Calibri"/>
          <w:kern w:val="0"/>
          <w:sz w:val="22"/>
          <w:szCs w:val="22"/>
          <w:lang w:val="it-IT"/>
        </w:rPr>
        <w:lastRenderedPageBreak/>
        <w:t xml:space="preserve">altri mercati sviluppati, ha ampliato l’intervallo di riferimento per i rendimenti dei titoli di Stato per consentirne l’aumento. </w:t>
      </w:r>
    </w:p>
    <w:p w14:paraId="0EAE3D17" w14:textId="77777777" w:rsidR="001A7CA3" w:rsidRPr="0096573D" w:rsidRDefault="001A7CA3" w:rsidP="001D44F7">
      <w:pPr>
        <w:autoSpaceDE w:val="0"/>
        <w:autoSpaceDN w:val="0"/>
        <w:adjustRightInd w:val="0"/>
        <w:rPr>
          <w:rFonts w:ascii="Calibri" w:hAnsi="Calibri" w:cs="Calibri"/>
          <w:kern w:val="0"/>
          <w:sz w:val="22"/>
          <w:szCs w:val="22"/>
          <w:lang w:val="it-IT"/>
        </w:rPr>
      </w:pPr>
    </w:p>
    <w:p w14:paraId="61E9EC5A" w14:textId="5C6CFA4E" w:rsidR="001D44F7" w:rsidRPr="0096573D" w:rsidRDefault="001D44F7" w:rsidP="001D44F7">
      <w:pPr>
        <w:autoSpaceDE w:val="0"/>
        <w:autoSpaceDN w:val="0"/>
        <w:adjustRightInd w:val="0"/>
        <w:rPr>
          <w:rFonts w:ascii="Calibri" w:hAnsi="Calibri" w:cs="Calibri"/>
          <w:i/>
          <w:iCs/>
          <w:kern w:val="0"/>
          <w:sz w:val="22"/>
          <w:szCs w:val="22"/>
          <w:lang w:val="it-IT"/>
        </w:rPr>
      </w:pPr>
      <w:r w:rsidRPr="0096573D">
        <w:rPr>
          <w:rFonts w:ascii="Calibri" w:hAnsi="Calibri" w:cs="Calibri"/>
          <w:kern w:val="0"/>
          <w:sz w:val="22"/>
          <w:szCs w:val="22"/>
          <w:lang w:val="it-IT"/>
        </w:rPr>
        <w:t xml:space="preserve">Come ci ricordano i banchieri centrali, </w:t>
      </w:r>
      <w:r w:rsidRPr="0096573D">
        <w:rPr>
          <w:rFonts w:ascii="Calibri" w:hAnsi="Calibri" w:cs="Calibri"/>
          <w:b/>
          <w:bCs/>
          <w:kern w:val="0"/>
          <w:sz w:val="22"/>
          <w:szCs w:val="22"/>
          <w:lang w:val="it-IT"/>
        </w:rPr>
        <w:t>la politica monetaria funziona con ritardi lunghi e variabili.</w:t>
      </w:r>
      <w:r w:rsidRPr="0096573D">
        <w:rPr>
          <w:rFonts w:ascii="Calibri" w:hAnsi="Calibri" w:cs="Calibri"/>
          <w:kern w:val="0"/>
          <w:sz w:val="22"/>
          <w:szCs w:val="22"/>
          <w:lang w:val="it-IT"/>
        </w:rPr>
        <w:t xml:space="preserve"> L’inasprimento globale cumulativo è massiccio.</w:t>
      </w:r>
      <w:r w:rsidR="00010363" w:rsidRPr="0096573D">
        <w:rPr>
          <w:rFonts w:ascii="Calibri" w:hAnsi="Calibri" w:cs="Calibri"/>
          <w:kern w:val="0"/>
          <w:sz w:val="22"/>
          <w:szCs w:val="22"/>
          <w:lang w:val="it-IT"/>
        </w:rPr>
        <w:t xml:space="preserve"> </w:t>
      </w:r>
      <w:r w:rsidRPr="0096573D">
        <w:rPr>
          <w:rFonts w:ascii="Calibri" w:hAnsi="Calibri" w:cs="Calibri"/>
          <w:kern w:val="0"/>
          <w:sz w:val="22"/>
          <w:szCs w:val="22"/>
          <w:lang w:val="it-IT"/>
        </w:rPr>
        <w:t xml:space="preserve">Questo finirà per diventare il racconto dominante, al posto dell’attuale consenso di mercato che si concentra sul bagliore delle recenti misure </w:t>
      </w:r>
      <w:r w:rsidRPr="0096573D">
        <w:rPr>
          <w:rFonts w:ascii="Calibri" w:hAnsi="Calibri" w:cs="Calibri"/>
          <w:i/>
          <w:iCs/>
          <w:kern w:val="0"/>
          <w:sz w:val="22"/>
          <w:szCs w:val="22"/>
          <w:lang w:val="it-IT"/>
        </w:rPr>
        <w:t>una tantum.</w:t>
      </w:r>
      <w:r w:rsidR="00010363" w:rsidRPr="0096573D">
        <w:rPr>
          <w:rFonts w:ascii="Calibri" w:hAnsi="Calibri" w:cs="Calibri"/>
          <w:i/>
          <w:iCs/>
          <w:kern w:val="0"/>
          <w:sz w:val="22"/>
          <w:szCs w:val="22"/>
          <w:lang w:val="it-IT"/>
        </w:rPr>
        <w:t xml:space="preserve"> </w:t>
      </w:r>
      <w:r w:rsidRPr="0096573D">
        <w:rPr>
          <w:rFonts w:ascii="Calibri" w:hAnsi="Calibri" w:cs="Calibri"/>
          <w:b/>
          <w:bCs/>
          <w:kern w:val="0"/>
          <w:sz w:val="22"/>
          <w:szCs w:val="22"/>
          <w:lang w:val="it-IT"/>
        </w:rPr>
        <w:t>A peggiorare le cose, ci sono tutte le condizioni per un atterraggio duro</w:t>
      </w:r>
      <w:r w:rsidRPr="0096573D">
        <w:rPr>
          <w:rFonts w:ascii="Calibri" w:hAnsi="Calibri" w:cs="Calibri"/>
          <w:kern w:val="0"/>
          <w:sz w:val="22"/>
          <w:szCs w:val="22"/>
          <w:lang w:val="it-IT"/>
        </w:rPr>
        <w:t xml:space="preserve">. La leva finanziaria nelle sacche del sistema finanziario sembra essere in aumento, e </w:t>
      </w:r>
      <w:r w:rsidRPr="0096573D">
        <w:rPr>
          <w:rFonts w:ascii="Calibri" w:hAnsi="Calibri" w:cs="Calibri"/>
          <w:b/>
          <w:bCs/>
          <w:kern w:val="0"/>
          <w:sz w:val="22"/>
          <w:szCs w:val="22"/>
          <w:lang w:val="it-IT"/>
        </w:rPr>
        <w:t>sappiamo per esperienza che una leva elevata può rapidamente causare crepe che diventano crateri</w:t>
      </w:r>
      <w:r w:rsidRPr="0096573D">
        <w:rPr>
          <w:rFonts w:ascii="Calibri" w:hAnsi="Calibri" w:cs="Calibri"/>
          <w:kern w:val="0"/>
          <w:sz w:val="22"/>
          <w:szCs w:val="22"/>
          <w:lang w:val="it-IT"/>
        </w:rPr>
        <w:t xml:space="preserve">. </w:t>
      </w:r>
      <w:r w:rsidR="00724502" w:rsidRPr="0096573D">
        <w:rPr>
          <w:rFonts w:ascii="Calibri" w:hAnsi="Calibri" w:cs="Calibri"/>
          <w:kern w:val="0"/>
          <w:sz w:val="22"/>
          <w:szCs w:val="22"/>
          <w:lang w:val="it-IT"/>
        </w:rPr>
        <w:t>A</w:t>
      </w:r>
      <w:r w:rsidRPr="0096573D">
        <w:rPr>
          <w:rFonts w:ascii="Calibri" w:hAnsi="Calibri" w:cs="Calibri"/>
          <w:kern w:val="0"/>
          <w:sz w:val="22"/>
          <w:szCs w:val="22"/>
          <w:lang w:val="it-IT"/>
        </w:rPr>
        <w:t xml:space="preserve">bbiamo già visto alcune crepe: problemi di liquidità delle banche regionali negli Stati Uniti e gravi tensioni nel settore immobiliare cinese e nei fondi pensione del Regno Unito. </w:t>
      </w:r>
    </w:p>
    <w:p w14:paraId="744891C6" w14:textId="77777777" w:rsidR="003E3A90" w:rsidRPr="0096573D" w:rsidRDefault="003E3A90" w:rsidP="000C18B8">
      <w:pPr>
        <w:autoSpaceDE w:val="0"/>
        <w:autoSpaceDN w:val="0"/>
        <w:adjustRightInd w:val="0"/>
        <w:rPr>
          <w:rFonts w:ascii="Calibri" w:hAnsi="Calibri" w:cs="Calibri"/>
          <w:kern w:val="0"/>
          <w:sz w:val="22"/>
          <w:szCs w:val="22"/>
          <w:u w:val="single"/>
          <w:lang w:val="it-IT"/>
        </w:rPr>
      </w:pPr>
    </w:p>
    <w:p w14:paraId="79BC649D" w14:textId="36D3BEB9" w:rsidR="00010363" w:rsidRPr="0096573D" w:rsidRDefault="00010363" w:rsidP="000C18B8">
      <w:pPr>
        <w:autoSpaceDE w:val="0"/>
        <w:autoSpaceDN w:val="0"/>
        <w:adjustRightInd w:val="0"/>
        <w:rPr>
          <w:rFonts w:ascii="Calibri" w:hAnsi="Calibri" w:cs="Calibri"/>
          <w:kern w:val="0"/>
          <w:sz w:val="22"/>
          <w:szCs w:val="22"/>
          <w:u w:val="single"/>
          <w:lang w:val="it-IT"/>
        </w:rPr>
      </w:pPr>
      <w:r w:rsidRPr="0096573D">
        <w:rPr>
          <w:rFonts w:ascii="Calibri" w:hAnsi="Calibri" w:cs="Calibri"/>
          <w:kern w:val="0"/>
          <w:sz w:val="22"/>
          <w:szCs w:val="22"/>
          <w:u w:val="single"/>
          <w:lang w:val="it-IT"/>
        </w:rPr>
        <w:t xml:space="preserve">Il market pricing in un atterraggio morbido è irrealistico </w:t>
      </w:r>
    </w:p>
    <w:p w14:paraId="3B60CD2F" w14:textId="43903771" w:rsidR="00010363" w:rsidRPr="0096573D" w:rsidRDefault="00010363" w:rsidP="00010363">
      <w:pPr>
        <w:rPr>
          <w:rFonts w:ascii="Calibri" w:hAnsi="Calibri" w:cs="Calibri"/>
          <w:kern w:val="0"/>
          <w:sz w:val="22"/>
          <w:szCs w:val="22"/>
          <w:lang w:val="it-IT"/>
        </w:rPr>
      </w:pPr>
      <w:r w:rsidRPr="0096573D">
        <w:rPr>
          <w:rFonts w:ascii="Calibri" w:hAnsi="Calibri" w:cs="Calibri"/>
          <w:kern w:val="0"/>
          <w:sz w:val="22"/>
          <w:szCs w:val="22"/>
          <w:lang w:val="it-IT"/>
        </w:rPr>
        <w:t xml:space="preserve">Durante la pandemia, c’è stato un trasferimento su larga scala della leva finanziaria dal settore privato a quello pubblico. Ciò ha avuto alcune conseguenze. In primo luogo, i bilanci fiscali sono ormai ampiamente esauriti. </w:t>
      </w:r>
      <w:r w:rsidRPr="0096573D">
        <w:rPr>
          <w:rFonts w:ascii="Calibri" w:hAnsi="Calibri" w:cs="Calibri"/>
          <w:b/>
          <w:bCs/>
          <w:kern w:val="0"/>
          <w:sz w:val="22"/>
          <w:szCs w:val="22"/>
          <w:lang w:val="it-IT"/>
        </w:rPr>
        <w:t>Quando arriverà la recessione, sarà difficile per i governi spendere per uscirne.</w:t>
      </w:r>
      <w:r w:rsidRPr="0096573D">
        <w:rPr>
          <w:rFonts w:ascii="Calibri" w:hAnsi="Calibri" w:cs="Calibri"/>
          <w:kern w:val="0"/>
          <w:sz w:val="22"/>
          <w:szCs w:val="22"/>
          <w:lang w:val="it-IT"/>
        </w:rPr>
        <w:t xml:space="preserve">  In secondo luogo, i governi globali hanno bisogno di vendere una quantità enorme di nuove obbligazioni.</w:t>
      </w:r>
    </w:p>
    <w:p w14:paraId="5ACEBED2" w14:textId="77777777" w:rsidR="001A7CA3" w:rsidRPr="0096573D" w:rsidRDefault="001A7CA3" w:rsidP="00010363">
      <w:pPr>
        <w:rPr>
          <w:rFonts w:ascii="Calibri" w:hAnsi="Calibri" w:cs="Calibri"/>
          <w:kern w:val="0"/>
          <w:sz w:val="22"/>
          <w:szCs w:val="22"/>
          <w:lang w:val="it-IT"/>
        </w:rPr>
      </w:pPr>
    </w:p>
    <w:p w14:paraId="0BAC5586" w14:textId="77777777" w:rsidR="00010363" w:rsidRPr="0096573D" w:rsidRDefault="00010363" w:rsidP="00010363">
      <w:pPr>
        <w:rPr>
          <w:rFonts w:ascii="Calibri" w:hAnsi="Calibri" w:cs="Calibri"/>
          <w:kern w:val="0"/>
          <w:sz w:val="22"/>
          <w:szCs w:val="22"/>
          <w:lang w:val="it-IT"/>
        </w:rPr>
      </w:pPr>
      <w:r w:rsidRPr="0096573D">
        <w:rPr>
          <w:rFonts w:ascii="Calibri" w:hAnsi="Calibri" w:cs="Calibri"/>
          <w:kern w:val="0"/>
          <w:sz w:val="22"/>
          <w:szCs w:val="22"/>
          <w:lang w:val="it-IT"/>
        </w:rPr>
        <w:t>Di recente, sono state effettuate molte emissioni sul mercato dei Treasury bill, ma con l’avvicinarsi del 2024, gran parte di questi titoli dovranno essere estinti e sostituiti con debito a più lunga scadenza.</w:t>
      </w:r>
    </w:p>
    <w:p w14:paraId="49856F5A" w14:textId="77777777" w:rsidR="001A7CA3" w:rsidRPr="0096573D" w:rsidRDefault="001A7CA3" w:rsidP="00010363">
      <w:pPr>
        <w:rPr>
          <w:rFonts w:ascii="Calibri" w:hAnsi="Calibri" w:cs="Calibri"/>
          <w:kern w:val="0"/>
          <w:sz w:val="22"/>
          <w:szCs w:val="22"/>
          <w:lang w:val="it-IT"/>
        </w:rPr>
      </w:pPr>
    </w:p>
    <w:p w14:paraId="6D59BA29" w14:textId="5CD4E755" w:rsidR="00010363" w:rsidRPr="0096573D" w:rsidRDefault="00010363" w:rsidP="00010363">
      <w:pPr>
        <w:rPr>
          <w:rFonts w:ascii="Calibri" w:hAnsi="Calibri" w:cs="Calibri"/>
          <w:b/>
          <w:bCs/>
          <w:kern w:val="0"/>
          <w:sz w:val="22"/>
          <w:szCs w:val="22"/>
          <w:lang w:val="it-IT"/>
        </w:rPr>
      </w:pPr>
      <w:r w:rsidRPr="0096573D">
        <w:rPr>
          <w:rFonts w:ascii="Calibri" w:hAnsi="Calibri" w:cs="Calibri"/>
          <w:kern w:val="0"/>
          <w:sz w:val="22"/>
          <w:szCs w:val="22"/>
          <w:lang w:val="it-IT"/>
        </w:rPr>
        <w:t xml:space="preserve">Chi comprerà tutta questa duration, soprattutto in un momento in cui le banche centrali si stanno ritirando dagli acquisti di obbligazioni? Ne consegue un aumento dei rendimenti obbligazionari a lungo termine. Quindi, se da un lato le banche centrali reagiranno tardivamente alla recessione con tagli dei tassi, dall’altro c’è la possibilità che il potere calmante di questi tagli ufficiali dei tassi sia compensato da una mancata reazione dei rendimenti a lungo termine. </w:t>
      </w:r>
      <w:r w:rsidRPr="0096573D">
        <w:rPr>
          <w:rFonts w:ascii="Calibri" w:hAnsi="Calibri" w:cs="Calibri"/>
          <w:b/>
          <w:bCs/>
          <w:kern w:val="0"/>
          <w:sz w:val="22"/>
          <w:szCs w:val="22"/>
          <w:lang w:val="it-IT"/>
        </w:rPr>
        <w:t>Una risposta tardiva, smussata e incompleta potrebbe portare a un malessere più profondo e prolungato.</w:t>
      </w:r>
    </w:p>
    <w:p w14:paraId="509EC9B7" w14:textId="77777777" w:rsidR="001A7CA3" w:rsidRPr="0096573D" w:rsidRDefault="001A7CA3" w:rsidP="00010363">
      <w:pPr>
        <w:rPr>
          <w:rFonts w:ascii="Calibri" w:hAnsi="Calibri" w:cs="Calibri"/>
          <w:kern w:val="0"/>
          <w:sz w:val="22"/>
          <w:szCs w:val="22"/>
          <w:lang w:val="it-IT"/>
        </w:rPr>
      </w:pPr>
    </w:p>
    <w:p w14:paraId="21C90181" w14:textId="0D429EAD" w:rsidR="000C18B8" w:rsidRPr="0096573D" w:rsidRDefault="000C18B8" w:rsidP="003E3A90">
      <w:pPr>
        <w:rPr>
          <w:rFonts w:ascii="Calibri" w:hAnsi="Calibri" w:cs="Calibri"/>
          <w:kern w:val="0"/>
          <w:sz w:val="22"/>
          <w:szCs w:val="22"/>
          <w:lang w:val="it-IT"/>
        </w:rPr>
      </w:pPr>
    </w:p>
    <w:sectPr w:rsidR="000C18B8" w:rsidRPr="009657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6F1D" w14:textId="77777777" w:rsidR="0090532E" w:rsidRDefault="0090532E" w:rsidP="001D44F7">
      <w:r>
        <w:separator/>
      </w:r>
    </w:p>
  </w:endnote>
  <w:endnote w:type="continuationSeparator" w:id="0">
    <w:p w14:paraId="11C439CC" w14:textId="77777777" w:rsidR="0090532E" w:rsidRDefault="0090532E" w:rsidP="001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D30F" w14:textId="77777777" w:rsidR="0090532E" w:rsidRDefault="0090532E" w:rsidP="001D44F7">
      <w:r>
        <w:separator/>
      </w:r>
    </w:p>
  </w:footnote>
  <w:footnote w:type="continuationSeparator" w:id="0">
    <w:p w14:paraId="4D5892D4" w14:textId="77777777" w:rsidR="0090532E" w:rsidRDefault="0090532E" w:rsidP="001D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5A20"/>
    <w:multiLevelType w:val="hybridMultilevel"/>
    <w:tmpl w:val="9B84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8831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31"/>
    <w:rsid w:val="00010363"/>
    <w:rsid w:val="00061984"/>
    <w:rsid w:val="000C18B8"/>
    <w:rsid w:val="000E27DF"/>
    <w:rsid w:val="001A7CA3"/>
    <w:rsid w:val="001D44F7"/>
    <w:rsid w:val="001F1E0E"/>
    <w:rsid w:val="00212737"/>
    <w:rsid w:val="00224B5E"/>
    <w:rsid w:val="003077BC"/>
    <w:rsid w:val="00325794"/>
    <w:rsid w:val="003E3A90"/>
    <w:rsid w:val="00506990"/>
    <w:rsid w:val="006E49B2"/>
    <w:rsid w:val="00724502"/>
    <w:rsid w:val="00741C60"/>
    <w:rsid w:val="0090532E"/>
    <w:rsid w:val="00947A4B"/>
    <w:rsid w:val="0096573D"/>
    <w:rsid w:val="00A5158F"/>
    <w:rsid w:val="00AE7331"/>
    <w:rsid w:val="00B36575"/>
    <w:rsid w:val="00B76AF8"/>
    <w:rsid w:val="00BC4C71"/>
    <w:rsid w:val="00C314F7"/>
    <w:rsid w:val="00C866C5"/>
    <w:rsid w:val="00D30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9274"/>
  <w15:chartTrackingRefBased/>
  <w15:docId w15:val="{31E03712-1408-5644-940D-9A850998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E73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AE73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AE7331"/>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AE7331"/>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AE7331"/>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AE7331"/>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AE7331"/>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AE7331"/>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AE7331"/>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E7331"/>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AE7331"/>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AE7331"/>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AE7331"/>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AE7331"/>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AE7331"/>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AE7331"/>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AE7331"/>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AE7331"/>
    <w:rPr>
      <w:rFonts w:eastAsiaTheme="majorEastAsia" w:cstheme="majorBidi"/>
      <w:color w:val="272727" w:themeColor="text1" w:themeTint="D8"/>
    </w:rPr>
  </w:style>
  <w:style w:type="paragraph" w:styleId="Titolo">
    <w:name w:val="Title"/>
    <w:basedOn w:val="Normale"/>
    <w:next w:val="Normale"/>
    <w:link w:val="TitoloCarattere"/>
    <w:uiPriority w:val="10"/>
    <w:qFormat/>
    <w:rsid w:val="00AE7331"/>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E733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AE7331"/>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AE7331"/>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AE7331"/>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AE7331"/>
    <w:rPr>
      <w:i/>
      <w:iCs/>
      <w:color w:val="404040" w:themeColor="text1" w:themeTint="BF"/>
    </w:rPr>
  </w:style>
  <w:style w:type="paragraph" w:styleId="Paragrafoelenco">
    <w:name w:val="List Paragraph"/>
    <w:basedOn w:val="Normale"/>
    <w:uiPriority w:val="34"/>
    <w:qFormat/>
    <w:rsid w:val="00AE7331"/>
    <w:pPr>
      <w:ind w:left="720"/>
      <w:contextualSpacing/>
    </w:pPr>
  </w:style>
  <w:style w:type="character" w:styleId="Enfasiintensa">
    <w:name w:val="Intense Emphasis"/>
    <w:basedOn w:val="Carpredefinitoparagrafo"/>
    <w:uiPriority w:val="21"/>
    <w:qFormat/>
    <w:rsid w:val="00AE7331"/>
    <w:rPr>
      <w:i/>
      <w:iCs/>
      <w:color w:val="0F4761" w:themeColor="accent1" w:themeShade="BF"/>
    </w:rPr>
  </w:style>
  <w:style w:type="paragraph" w:styleId="Citazioneintensa">
    <w:name w:val="Intense Quote"/>
    <w:basedOn w:val="Normale"/>
    <w:next w:val="Normale"/>
    <w:link w:val="CitazioneintensaCarattere"/>
    <w:uiPriority w:val="30"/>
    <w:qFormat/>
    <w:rsid w:val="00AE73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AE7331"/>
    <w:rPr>
      <w:i/>
      <w:iCs/>
      <w:color w:val="0F4761" w:themeColor="accent1" w:themeShade="BF"/>
    </w:rPr>
  </w:style>
  <w:style w:type="character" w:styleId="Riferimentointenso">
    <w:name w:val="Intense Reference"/>
    <w:basedOn w:val="Carpredefinitoparagrafo"/>
    <w:uiPriority w:val="32"/>
    <w:qFormat/>
    <w:rsid w:val="00AE7331"/>
    <w:rPr>
      <w:b/>
      <w:bCs/>
      <w:smallCaps/>
      <w:color w:val="0F4761" w:themeColor="accent1" w:themeShade="BF"/>
      <w:spacing w:val="5"/>
    </w:rPr>
  </w:style>
  <w:style w:type="paragraph" w:styleId="Testonotaapidipagina">
    <w:name w:val="footnote text"/>
    <w:basedOn w:val="Normale"/>
    <w:link w:val="TestonotaapidipaginaCarattere"/>
    <w:uiPriority w:val="99"/>
    <w:semiHidden/>
    <w:unhideWhenUsed/>
    <w:rsid w:val="001D44F7"/>
    <w:rPr>
      <w:sz w:val="20"/>
      <w:szCs w:val="20"/>
    </w:rPr>
  </w:style>
  <w:style w:type="character" w:customStyle="1" w:styleId="TestonotaapidipaginaCarattere">
    <w:name w:val="Testo nota a piè di pagina Carattere"/>
    <w:basedOn w:val="Carpredefinitoparagrafo"/>
    <w:link w:val="Testonotaapidipagina"/>
    <w:uiPriority w:val="99"/>
    <w:semiHidden/>
    <w:rsid w:val="001D44F7"/>
    <w:rPr>
      <w:sz w:val="20"/>
      <w:szCs w:val="20"/>
    </w:rPr>
  </w:style>
  <w:style w:type="character" w:styleId="Rimandonotaapidipagina">
    <w:name w:val="footnote reference"/>
    <w:basedOn w:val="Carpredefinitoparagrafo"/>
    <w:uiPriority w:val="99"/>
    <w:semiHidden/>
    <w:unhideWhenUsed/>
    <w:rsid w:val="001D44F7"/>
    <w:rPr>
      <w:vertAlign w:val="superscript"/>
    </w:rPr>
  </w:style>
  <w:style w:type="paragraph" w:styleId="Revisione">
    <w:name w:val="Revision"/>
    <w:hidden/>
    <w:uiPriority w:val="99"/>
    <w:semiHidden/>
    <w:rsid w:val="00C31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853</Words>
  <Characters>4863</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Sarah Tuggey</dc:creator>
  <cp:keywords/>
  <dc:description/>
  <cp:lastModifiedBy>Diana Ferla</cp:lastModifiedBy>
  <cp:revision>13</cp:revision>
  <dcterms:created xsi:type="dcterms:W3CDTF">2023-09-21T06:59:00Z</dcterms:created>
  <dcterms:modified xsi:type="dcterms:W3CDTF">2023-09-26T08:44:00Z</dcterms:modified>
</cp:coreProperties>
</file>