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1"/>
        <w:tblW w:w="9210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725"/>
      </w:tblGrid>
      <w:tr w:rsidR="0072259C" w:rsidRPr="0072259C" w14:paraId="0080FC74" w14:textId="77777777" w:rsidTr="25BBF87E">
        <w:trPr>
          <w:trHeight w:val="308"/>
        </w:trPr>
        <w:tc>
          <w:tcPr>
            <w:tcW w:w="1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AE8564" w14:textId="77777777" w:rsidR="0072259C" w:rsidRPr="0072259C" w:rsidRDefault="0072259C" w:rsidP="0072259C">
            <w:pPr>
              <w:pStyle w:val="ContactPara"/>
              <w:rPr>
                <w:b/>
                <w:sz w:val="22"/>
                <w:szCs w:val="22"/>
              </w:rPr>
            </w:pPr>
            <w:r w:rsidRPr="0072259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404418" w14:textId="612C7B22" w:rsidR="0072259C" w:rsidRPr="0072259C" w:rsidRDefault="25BBF87E" w:rsidP="00082398">
            <w:pPr>
              <w:pStyle w:val="ContactPara"/>
              <w:rPr>
                <w:sz w:val="22"/>
                <w:szCs w:val="22"/>
              </w:rPr>
            </w:pPr>
            <w:r w:rsidRPr="25BBF87E">
              <w:rPr>
                <w:sz w:val="22"/>
                <w:szCs w:val="22"/>
              </w:rPr>
              <w:t xml:space="preserve">  25.09.2023</w:t>
            </w:r>
          </w:p>
        </w:tc>
      </w:tr>
    </w:tbl>
    <w:p w14:paraId="19684B56" w14:textId="77777777" w:rsidR="0072259C" w:rsidRPr="00D05EF7" w:rsidRDefault="0072259C" w:rsidP="00EC73FC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1D106C20" w14:textId="77777777" w:rsidR="00724238" w:rsidRPr="00D05EF7" w:rsidRDefault="2C7506C7" w:rsidP="00276590">
      <w:pPr>
        <w:spacing w:line="360" w:lineRule="auto"/>
        <w:jc w:val="center"/>
        <w:rPr>
          <w:rFonts w:ascii="Arial" w:eastAsia="Arial" w:hAnsi="Arial" w:cs="Arial"/>
          <w:b/>
          <w:bCs/>
          <w:szCs w:val="24"/>
          <w:lang w:val="it-IT"/>
        </w:rPr>
      </w:pPr>
      <w:r w:rsidRPr="00D05EF7">
        <w:rPr>
          <w:rFonts w:ascii="Arial" w:eastAsia="Arial" w:hAnsi="Arial" w:cs="Arial"/>
          <w:b/>
          <w:bCs/>
          <w:szCs w:val="24"/>
          <w:lang w:val="it-IT"/>
        </w:rPr>
        <w:t>L'approccio di Eaton all'elettrificazione</w:t>
      </w:r>
      <w:r w:rsidR="00724238" w:rsidRPr="00D05EF7">
        <w:rPr>
          <w:rFonts w:ascii="Arial" w:eastAsia="Arial" w:hAnsi="Arial" w:cs="Arial"/>
          <w:b/>
          <w:bCs/>
          <w:szCs w:val="24"/>
          <w:lang w:val="it-IT"/>
        </w:rPr>
        <w:t xml:space="preserve"> “trasversale”</w:t>
      </w:r>
      <w:r w:rsidR="00276590" w:rsidRPr="00D05EF7">
        <w:rPr>
          <w:rFonts w:ascii="Arial" w:eastAsia="Arial" w:hAnsi="Arial" w:cs="Arial"/>
          <w:b/>
          <w:bCs/>
          <w:szCs w:val="24"/>
          <w:lang w:val="it-IT"/>
        </w:rPr>
        <w:t xml:space="preserve">: </w:t>
      </w:r>
    </w:p>
    <w:p w14:paraId="2CB5C1A6" w14:textId="1A10C1D9" w:rsidR="4100904E" w:rsidRDefault="00276590" w:rsidP="00276590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</w:pPr>
      <w:r w:rsidRPr="00D05EF7">
        <w:rPr>
          <w:rFonts w:ascii="Arial" w:eastAsia="Arial" w:hAnsi="Arial" w:cs="Arial"/>
          <w:b/>
          <w:bCs/>
          <w:szCs w:val="24"/>
          <w:lang w:val="it-IT"/>
        </w:rPr>
        <w:t>e</w:t>
      </w:r>
      <w:r w:rsidR="5B625F1B" w:rsidRPr="00D05EF7">
        <w:rPr>
          <w:rFonts w:ascii="Arial" w:eastAsia="Arial" w:hAnsi="Arial" w:cs="Arial"/>
          <w:b/>
          <w:bCs/>
          <w:szCs w:val="24"/>
          <w:lang w:val="it-IT"/>
        </w:rPr>
        <w:t>cco</w:t>
      </w:r>
      <w:r w:rsidR="005A40EC" w:rsidRPr="00D05EF7">
        <w:rPr>
          <w:rFonts w:ascii="Arial" w:eastAsia="Arial" w:hAnsi="Arial" w:cs="Arial"/>
          <w:b/>
          <w:bCs/>
          <w:szCs w:val="24"/>
          <w:lang w:val="it-IT"/>
        </w:rPr>
        <w:t xml:space="preserve"> </w:t>
      </w:r>
      <w:r w:rsidR="5B625F1B" w:rsidRPr="00D05EF7">
        <w:rPr>
          <w:rFonts w:ascii="Arial" w:eastAsia="Arial" w:hAnsi="Arial" w:cs="Arial"/>
          <w:b/>
          <w:bCs/>
          <w:szCs w:val="24"/>
          <w:lang w:val="it-IT"/>
        </w:rPr>
        <w:t>come il The Florian Hotel ha affrontato</w:t>
      </w:r>
      <w:r w:rsidR="005A40EC" w:rsidRPr="00D05EF7">
        <w:rPr>
          <w:rFonts w:ascii="Arial" w:eastAsia="Arial" w:hAnsi="Arial" w:cs="Arial"/>
          <w:b/>
          <w:bCs/>
          <w:szCs w:val="24"/>
          <w:lang w:val="it-IT"/>
        </w:rPr>
        <w:t xml:space="preserve"> </w:t>
      </w:r>
      <w:r w:rsidR="5B625F1B" w:rsidRPr="00D05EF7">
        <w:rPr>
          <w:rFonts w:ascii="Arial" w:eastAsia="Arial" w:hAnsi="Arial" w:cs="Arial"/>
          <w:b/>
          <w:bCs/>
          <w:szCs w:val="24"/>
          <w:lang w:val="it-IT"/>
        </w:rPr>
        <w:t xml:space="preserve">i limiti di capacità </w:t>
      </w:r>
      <w:r w:rsidR="5B625F1B" w:rsidRPr="00596EE7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>di rete</w:t>
      </w:r>
    </w:p>
    <w:p w14:paraId="7856B3AF" w14:textId="77777777" w:rsidR="00C561B2" w:rsidRDefault="00C561B2" w:rsidP="00276590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</w:pPr>
    </w:p>
    <w:p w14:paraId="6D26FE84" w14:textId="77777777" w:rsidR="00C561B2" w:rsidRPr="000934D0" w:rsidRDefault="00C561B2" w:rsidP="00C561B2">
      <w:pPr>
        <w:spacing w:line="360" w:lineRule="auto"/>
        <w:jc w:val="center"/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</w:pPr>
      <w:r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Grazie a una strategia energetica progettata ad hoc, la</w:t>
      </w:r>
      <w:r w:rsidRPr="000934D0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struttura</w:t>
      </w:r>
      <w:r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ricettiva</w:t>
      </w:r>
      <w:r w:rsidRPr="000934D0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di design</w:t>
      </w:r>
      <w:r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da </w:t>
      </w:r>
      <w:r w:rsidRPr="000934D0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150 camere</w:t>
      </w:r>
      <w:r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ha contenuto costi ed emissioni di CO2, risolvendo al tempo stesso il problema, </w:t>
      </w:r>
      <w:r w:rsidRPr="000934D0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diffus</w:t>
      </w:r>
      <w:r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o</w:t>
      </w:r>
      <w:r w:rsidRPr="000934D0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a livello europeo, </w:t>
      </w:r>
      <w:r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di inadeguatezza della connessione alla rete</w:t>
      </w:r>
    </w:p>
    <w:p w14:paraId="3CDCC46D" w14:textId="77777777" w:rsidR="00C362F1" w:rsidRDefault="00C362F1" w:rsidP="00276590">
      <w:pPr>
        <w:spacing w:line="360" w:lineRule="auto"/>
        <w:jc w:val="center"/>
        <w:rPr>
          <w:rFonts w:ascii="Arial" w:eastAsia="Arial" w:hAnsi="Arial" w:cs="Arial"/>
          <w:color w:val="000000" w:themeColor="text1"/>
          <w:szCs w:val="24"/>
          <w:lang w:val="it-IT"/>
        </w:rPr>
      </w:pPr>
    </w:p>
    <w:p w14:paraId="303732DF" w14:textId="5A723B1E" w:rsidR="20622178" w:rsidRDefault="00451102" w:rsidP="038592F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proofErr w:type="gramStart"/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Segrate</w:t>
      </w:r>
      <w:r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.</w:t>
      </w:r>
      <w:r w:rsidR="038592FE" w:rsidRPr="00596EE7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  <w:proofErr w:type="gramEnd"/>
      <w:r w:rsidR="038592FE"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 </w:t>
      </w:r>
      <w:r w:rsidR="038592FE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In tutta Europa le aziende che mirano a raggiungere gli obiettivi di riduzione delle emissioni di CO2 stanno sempre più investendo nell’elettrico. Spesso, quando si tratta di ampliare la capacità di rete, si trovano però di fronte a delle difficoltà. </w:t>
      </w:r>
    </w:p>
    <w:p w14:paraId="6FF05410" w14:textId="5ABB2CC4" w:rsidR="20622178" w:rsidRDefault="20622178" w:rsidP="4100904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5D5248B5" w14:textId="3417F17F" w:rsidR="20622178" w:rsidRDefault="154927A2" w:rsidP="154927A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L’incremento </w:t>
      </w:r>
      <w:r w:rsidRPr="002A7D90">
        <w:rPr>
          <w:rFonts w:ascii="Arial" w:eastAsia="Arial" w:hAnsi="Arial" w:cs="Arial"/>
          <w:sz w:val="22"/>
          <w:lang w:val="it-IT"/>
        </w:rPr>
        <w:t>della domanda di elettrificazione</w:t>
      </w:r>
      <w:r w:rsidR="009E6B37" w:rsidRPr="002A7D90">
        <w:rPr>
          <w:rFonts w:ascii="Arial" w:eastAsia="Arial" w:hAnsi="Arial" w:cs="Arial"/>
          <w:sz w:val="22"/>
          <w:lang w:val="it-IT"/>
        </w:rPr>
        <w:t xml:space="preserve"> trasversale (utenze elettriche standard, passaggio al riscaldamento elettrico / pompe di calore, l’installazione di unità di ricarica per veicoli elettici etc.)</w:t>
      </w:r>
      <w:r w:rsidR="00275567">
        <w:rPr>
          <w:rFonts w:ascii="Arial" w:eastAsia="Arial" w:hAnsi="Arial" w:cs="Arial"/>
          <w:sz w:val="22"/>
          <w:lang w:val="it-IT"/>
        </w:rPr>
        <w:t xml:space="preserve"> </w:t>
      </w:r>
      <w:r w:rsidR="00D57CC2">
        <w:rPr>
          <w:rFonts w:ascii="Arial" w:eastAsia="Arial" w:hAnsi="Arial" w:cs="Arial"/>
          <w:color w:val="000000" w:themeColor="text1"/>
          <w:sz w:val="22"/>
          <w:lang w:val="it-IT"/>
        </w:rPr>
        <w:t>e il</w:t>
      </w:r>
      <w:r w:rsidR="00D57CC2" w:rsidRPr="00563086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progressivo deterioramento delle reti elettriche limitano infatti molti operatori dei sistemi di distribuzione nella fornitura di connessioni più ampie, in particolare per gli edifici commerciali, industriali e residenziali. In Europa, solo la Finlandia ha una rete elettrica aperta e accessibile, mentre in Paesi come Germania, Italia, Paesi Bassi, Polonia, Danimarca, Regno Unito e Irlanda, i vincoli di accessibilità alla rete sono un ostacolo significativo al processo di elettrificazione*.</w:t>
      </w:r>
    </w:p>
    <w:p w14:paraId="1576AC82" w14:textId="5C3BDDAC" w:rsidR="3816831D" w:rsidRPr="00596EE7" w:rsidRDefault="3816831D" w:rsidP="3816831D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664763E8" w14:textId="4398A759" w:rsidR="20622178" w:rsidRDefault="154927A2" w:rsidP="154927A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Un nuovo progetto, sviluppato nei Paesi Bassi, dimostra però come sia possibile per gli imprenditori sfruttare a proprio vantaggio la mancanza di un'adeguata connessione alla rete. La proprietà del </w:t>
      </w:r>
      <w:hyperlink r:id="rId11">
        <w:r w:rsidRPr="00596EE7">
          <w:rPr>
            <w:rStyle w:val="Collegamentoipertestuale"/>
            <w:rFonts w:ascii="Arial" w:eastAsia="Arial" w:hAnsi="Arial" w:cs="Arial"/>
            <w:sz w:val="22"/>
            <w:lang w:val="it-IT"/>
          </w:rPr>
          <w:t>The Florian Hotel</w:t>
        </w:r>
      </w:hyperlink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di Amsterdam ha infatti collaborato con </w:t>
      </w:r>
      <w:hyperlink r:id="rId12" w:history="1">
        <w:r w:rsidRPr="00D05EF7">
          <w:rPr>
            <w:rStyle w:val="Collegamentoipertestuale"/>
            <w:rFonts w:ascii="Arial" w:eastAsia="Arial" w:hAnsi="Arial" w:cs="Arial"/>
            <w:sz w:val="22"/>
            <w:lang w:val="it-IT"/>
          </w:rPr>
          <w:t>Eaton</w:t>
        </w:r>
      </w:hyperlink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, azienda </w:t>
      </w:r>
      <w:r w:rsidRPr="00596EE7">
        <w:rPr>
          <w:rFonts w:ascii="Arial" w:hAnsi="Arial" w:cs="Arial"/>
          <w:color w:val="000000" w:themeColor="text1"/>
          <w:sz w:val="22"/>
          <w:lang w:val="it-IT"/>
        </w:rPr>
        <w:t xml:space="preserve">specializzata nella gestione intelligente dell’energia, per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garantire alla propria struttura una fornitura di elettricità affidabile, a basso costo e a ridotte emissioni di CO2. L'implementazione dell'approccio di Eaton "</w:t>
      </w:r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Buildings as a </w:t>
      </w:r>
      <w:proofErr w:type="spellStart"/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Grid</w:t>
      </w:r>
      <w:proofErr w:type="spellEnd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" per la transizione energetica ha consentito di superare i limiti di una connessione di rete inadeguata e di trasformare un ex edificio per uffici vicino all'aeroporto di Schiphol</w:t>
      </w:r>
      <w:r w:rsidR="00C362F1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in un hotel che trae il massimo vantaggio dalle energie rinnovabili. </w:t>
      </w:r>
    </w:p>
    <w:p w14:paraId="3BBA9BE5" w14:textId="46C74965" w:rsidR="20622178" w:rsidRPr="00596EE7" w:rsidRDefault="20622178" w:rsidP="19DBCAD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492F218B" w14:textId="43956560" w:rsidR="19FBE39E" w:rsidRPr="00596EE7" w:rsidRDefault="349FCA7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Eaton ha progettato una strategia energetica ad hoc per il The Florian Hotel, combinando l'energia solare</w:t>
      </w:r>
      <w:r w:rsidRPr="00944FA8">
        <w:rPr>
          <w:rFonts w:ascii="Arial" w:eastAsia="Arial" w:hAnsi="Arial" w:cs="Arial"/>
          <w:sz w:val="22"/>
          <w:lang w:val="it-IT"/>
        </w:rPr>
        <w:t>,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grazie all’installazione di un </w:t>
      </w:r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impianto fotovoltaico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da 30 kWp sul tetto</w:t>
      </w:r>
      <w:r w:rsidR="00944FA8" w:rsidRPr="002A7D90">
        <w:rPr>
          <w:rFonts w:ascii="Arial" w:eastAsia="Arial" w:hAnsi="Arial" w:cs="Arial"/>
          <w:sz w:val="22"/>
          <w:lang w:val="it-IT"/>
        </w:rPr>
        <w:t>,</w:t>
      </w:r>
      <w:r w:rsidRPr="002A7D90">
        <w:rPr>
          <w:rFonts w:ascii="Arial" w:eastAsia="Arial" w:hAnsi="Arial" w:cs="Arial"/>
          <w:sz w:val="22"/>
          <w:lang w:val="it-IT"/>
        </w:rPr>
        <w:t xml:space="preserve"> </w:t>
      </w:r>
      <w:r w:rsidR="00944FA8" w:rsidRPr="002A7D90">
        <w:rPr>
          <w:rFonts w:ascii="Arial" w:eastAsia="Arial" w:hAnsi="Arial" w:cs="Arial"/>
          <w:sz w:val="22"/>
          <w:lang w:val="it-IT"/>
        </w:rPr>
        <w:t xml:space="preserve">con </w:t>
      </w:r>
      <w:r w:rsidRPr="002A7D90">
        <w:rPr>
          <w:rFonts w:ascii="Arial" w:eastAsia="Arial" w:hAnsi="Arial" w:cs="Arial"/>
          <w:sz w:val="22"/>
          <w:lang w:val="it-IT"/>
        </w:rPr>
        <w:lastRenderedPageBreak/>
        <w:t xml:space="preserve">un sistema di accumulo di energia a batterie </w:t>
      </w:r>
      <w:proofErr w:type="spellStart"/>
      <w:r w:rsidRPr="002A7D90">
        <w:rPr>
          <w:rFonts w:ascii="Arial" w:eastAsia="Arial" w:hAnsi="Arial" w:cs="Arial"/>
          <w:b/>
          <w:bCs/>
          <w:sz w:val="22"/>
          <w:lang w:val="it-IT"/>
        </w:rPr>
        <w:t>xStorage</w:t>
      </w:r>
      <w:proofErr w:type="spellEnd"/>
      <w:r w:rsidRPr="002A7D90">
        <w:rPr>
          <w:rFonts w:ascii="Arial" w:eastAsia="Arial" w:hAnsi="Arial" w:cs="Arial"/>
          <w:b/>
          <w:bCs/>
          <w:sz w:val="22"/>
          <w:lang w:val="it-IT"/>
        </w:rPr>
        <w:t xml:space="preserve"> </w:t>
      </w:r>
      <w:r w:rsidRPr="002A7D90">
        <w:rPr>
          <w:rFonts w:ascii="Arial" w:eastAsia="Arial" w:hAnsi="Arial" w:cs="Arial"/>
          <w:sz w:val="22"/>
          <w:lang w:val="it-IT"/>
        </w:rPr>
        <w:t xml:space="preserve">di Eaton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(40 kW di potenza e 50 kWh di capacità). </w:t>
      </w:r>
      <w:r w:rsidRPr="00275567">
        <w:rPr>
          <w:rFonts w:ascii="Arial" w:eastAsia="Arial" w:hAnsi="Arial" w:cs="Arial"/>
          <w:sz w:val="22"/>
          <w:lang w:val="it-IT"/>
        </w:rPr>
        <w:t xml:space="preserve">Inoltre, </w:t>
      </w:r>
      <w:r w:rsidR="00944FA8" w:rsidRPr="00275567">
        <w:rPr>
          <w:rFonts w:ascii="Arial" w:eastAsia="Arial" w:hAnsi="Arial" w:cs="Arial"/>
          <w:sz w:val="22"/>
          <w:lang w:val="it-IT"/>
        </w:rPr>
        <w:t>il sistema è stato settato in modalità operativa di</w:t>
      </w:r>
      <w:r w:rsidRPr="00275567">
        <w:rPr>
          <w:rFonts w:ascii="Arial" w:eastAsia="Arial" w:hAnsi="Arial" w:cs="Arial"/>
          <w:sz w:val="22"/>
          <w:lang w:val="it-IT"/>
        </w:rPr>
        <w:t xml:space="preserve"> "</w:t>
      </w:r>
      <w:proofErr w:type="spellStart"/>
      <w:r w:rsidRPr="00275567">
        <w:rPr>
          <w:rFonts w:ascii="Arial" w:eastAsia="Arial" w:hAnsi="Arial" w:cs="Arial"/>
          <w:b/>
          <w:bCs/>
          <w:sz w:val="22"/>
          <w:lang w:val="it-IT"/>
        </w:rPr>
        <w:t>peak</w:t>
      </w:r>
      <w:proofErr w:type="spellEnd"/>
      <w:r w:rsidRPr="00275567">
        <w:rPr>
          <w:rFonts w:ascii="Arial" w:eastAsia="Arial" w:hAnsi="Arial" w:cs="Arial"/>
          <w:b/>
          <w:bCs/>
          <w:sz w:val="22"/>
          <w:lang w:val="it-IT"/>
        </w:rPr>
        <w:t xml:space="preserve"> </w:t>
      </w:r>
      <w:proofErr w:type="spellStart"/>
      <w:r w:rsidRPr="00275567">
        <w:rPr>
          <w:rFonts w:ascii="Arial" w:eastAsia="Arial" w:hAnsi="Arial" w:cs="Arial"/>
          <w:b/>
          <w:bCs/>
          <w:sz w:val="22"/>
          <w:lang w:val="it-IT"/>
        </w:rPr>
        <w:t>shaving</w:t>
      </w:r>
      <w:proofErr w:type="spellEnd"/>
      <w:r w:rsidRPr="00275567">
        <w:rPr>
          <w:rFonts w:ascii="Arial" w:eastAsia="Arial" w:hAnsi="Arial" w:cs="Arial"/>
          <w:sz w:val="22"/>
          <w:lang w:val="it-IT"/>
        </w:rPr>
        <w:t>"</w:t>
      </w:r>
      <w:r w:rsidR="00944FA8" w:rsidRPr="00275567">
        <w:rPr>
          <w:rFonts w:ascii="Arial" w:eastAsia="Arial" w:hAnsi="Arial" w:cs="Arial"/>
          <w:sz w:val="22"/>
          <w:lang w:val="it-IT"/>
        </w:rPr>
        <w:t xml:space="preserve">: in questo modo le batterie intervengono in scarica solo al superamento di una soglia predefinita di carico, </w:t>
      </w:r>
      <w:r w:rsidRPr="00275567">
        <w:rPr>
          <w:rFonts w:ascii="Arial" w:eastAsia="Arial" w:hAnsi="Arial" w:cs="Arial"/>
          <w:sz w:val="22"/>
          <w:lang w:val="it-IT"/>
        </w:rPr>
        <w:t>assicura</w:t>
      </w:r>
      <w:r w:rsidR="00944FA8" w:rsidRPr="00275567">
        <w:rPr>
          <w:rFonts w:ascii="Arial" w:eastAsia="Arial" w:hAnsi="Arial" w:cs="Arial"/>
          <w:sz w:val="22"/>
          <w:lang w:val="it-IT"/>
        </w:rPr>
        <w:t>ndo così al contempo lo sfruttamento ottimale dell’energia autoprodotta e il taglio dei picchi di consumo dalla rete (</w:t>
      </w:r>
      <w:proofErr w:type="spellStart"/>
      <w:r w:rsidR="00944FA8" w:rsidRPr="00275567">
        <w:rPr>
          <w:rFonts w:ascii="Arial" w:eastAsia="Arial" w:hAnsi="Arial" w:cs="Arial"/>
          <w:sz w:val="22"/>
          <w:lang w:val="it-IT"/>
        </w:rPr>
        <w:t>peak</w:t>
      </w:r>
      <w:proofErr w:type="spellEnd"/>
      <w:r w:rsidR="00944FA8" w:rsidRPr="00275567">
        <w:rPr>
          <w:rFonts w:ascii="Arial" w:eastAsia="Arial" w:hAnsi="Arial" w:cs="Arial"/>
          <w:sz w:val="22"/>
          <w:lang w:val="it-IT"/>
        </w:rPr>
        <w:t xml:space="preserve"> </w:t>
      </w:r>
      <w:proofErr w:type="spellStart"/>
      <w:r w:rsidR="00944FA8" w:rsidRPr="00275567">
        <w:rPr>
          <w:rFonts w:ascii="Arial" w:eastAsia="Arial" w:hAnsi="Arial" w:cs="Arial"/>
          <w:sz w:val="22"/>
          <w:lang w:val="it-IT"/>
        </w:rPr>
        <w:t>shaving</w:t>
      </w:r>
      <w:proofErr w:type="spellEnd"/>
      <w:r w:rsidR="00944FA8" w:rsidRPr="00275567">
        <w:rPr>
          <w:rFonts w:ascii="Arial" w:eastAsia="Arial" w:hAnsi="Arial" w:cs="Arial"/>
          <w:sz w:val="22"/>
          <w:lang w:val="it-IT"/>
        </w:rPr>
        <w:t xml:space="preserve"> appunto)</w:t>
      </w:r>
      <w:r w:rsidR="00C25BB3" w:rsidRPr="00275567">
        <w:rPr>
          <w:rFonts w:ascii="Arial" w:eastAsia="Arial" w:hAnsi="Arial" w:cs="Arial"/>
          <w:sz w:val="22"/>
          <w:lang w:val="it-IT"/>
        </w:rPr>
        <w:t>,</w:t>
      </w:r>
      <w:r w:rsidRPr="00275567">
        <w:rPr>
          <w:rFonts w:ascii="Arial" w:eastAsia="Arial" w:hAnsi="Arial" w:cs="Arial"/>
          <w:sz w:val="22"/>
          <w:lang w:val="it-IT"/>
        </w:rPr>
        <w:t xml:space="preserve"> mantenendo così </w:t>
      </w:r>
      <w:r w:rsidR="00724238" w:rsidRPr="00275567">
        <w:rPr>
          <w:rFonts w:ascii="Arial" w:eastAsia="Arial" w:hAnsi="Arial" w:cs="Arial"/>
          <w:sz w:val="22"/>
          <w:lang w:val="it-IT"/>
        </w:rPr>
        <w:t xml:space="preserve"> la potenza istantanea richiesta dalla rete</w:t>
      </w:r>
      <w:r w:rsidRPr="00275567">
        <w:rPr>
          <w:rFonts w:ascii="Arial" w:eastAsia="Arial" w:hAnsi="Arial" w:cs="Arial"/>
          <w:sz w:val="22"/>
          <w:lang w:val="it-IT"/>
        </w:rPr>
        <w:t xml:space="preserve"> ne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i limiti concordati con l'operatore del sistema di distribuzione e consentendo, in parallelo, un significativo risparmio economico</w:t>
      </w:r>
      <w:r w:rsidR="00724238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</w:p>
    <w:p w14:paraId="340DE5DB" w14:textId="3EF29C37" w:rsidR="20622178" w:rsidRDefault="20622178" w:rsidP="4100904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689DB0FB" w14:textId="4AB6C1B6" w:rsidR="51EC3EAF" w:rsidRPr="00EC4C1E" w:rsidRDefault="154927A2" w:rsidP="154927A2">
      <w:pPr>
        <w:spacing w:line="360" w:lineRule="auto"/>
        <w:jc w:val="both"/>
        <w:rPr>
          <w:rFonts w:ascii="Arial" w:eastAsia="Arial" w:hAnsi="Arial" w:cs="Arial"/>
          <w:sz w:val="22"/>
          <w:lang w:val="it-IT"/>
        </w:rPr>
      </w:pPr>
      <w:r w:rsidRPr="00EC4C1E">
        <w:rPr>
          <w:rFonts w:ascii="Arial" w:eastAsia="Arial" w:hAnsi="Arial" w:cs="Arial"/>
          <w:sz w:val="22"/>
          <w:lang w:val="it-IT"/>
        </w:rPr>
        <w:t xml:space="preserve">L'approccio Building as a </w:t>
      </w:r>
      <w:proofErr w:type="spellStart"/>
      <w:r w:rsidRPr="00EC4C1E">
        <w:rPr>
          <w:rFonts w:ascii="Arial" w:eastAsia="Arial" w:hAnsi="Arial" w:cs="Arial"/>
          <w:sz w:val="22"/>
          <w:lang w:val="it-IT"/>
        </w:rPr>
        <w:t>Grid</w:t>
      </w:r>
      <w:proofErr w:type="spellEnd"/>
      <w:r w:rsidRPr="00EC4C1E">
        <w:rPr>
          <w:rFonts w:ascii="Arial" w:eastAsia="Arial" w:hAnsi="Arial" w:cs="Arial"/>
          <w:sz w:val="22"/>
          <w:lang w:val="it-IT"/>
        </w:rPr>
        <w:t xml:space="preserve"> è scalabile: </w:t>
      </w:r>
      <w:r w:rsidR="00724238" w:rsidRPr="00EC4C1E">
        <w:rPr>
          <w:rFonts w:ascii="Arial" w:eastAsia="Arial" w:hAnsi="Arial" w:cs="Arial"/>
          <w:sz w:val="22"/>
          <w:lang w:val="it-IT"/>
        </w:rPr>
        <w:t>essendo state installate nel parcheggio dell’hotel una serie di unità di ricarica di veicoli elettrici</w:t>
      </w:r>
      <w:r w:rsidRPr="00EC4C1E">
        <w:rPr>
          <w:rFonts w:ascii="Arial" w:eastAsia="Arial" w:hAnsi="Arial" w:cs="Arial"/>
          <w:sz w:val="22"/>
          <w:lang w:val="it-IT"/>
        </w:rPr>
        <w:t xml:space="preserve"> per veicoli elettrici</w:t>
      </w:r>
      <w:r w:rsidR="00C25BB3" w:rsidRPr="00EC4C1E">
        <w:rPr>
          <w:rFonts w:ascii="Arial" w:eastAsia="Arial" w:hAnsi="Arial" w:cs="Arial"/>
          <w:sz w:val="22"/>
          <w:lang w:val="it-IT"/>
        </w:rPr>
        <w:t xml:space="preserve"> </w:t>
      </w:r>
      <w:r w:rsidRPr="00EC4C1E">
        <w:rPr>
          <w:rFonts w:ascii="Arial" w:eastAsia="Arial" w:hAnsi="Arial" w:cs="Arial"/>
          <w:sz w:val="22"/>
          <w:lang w:val="it-IT"/>
        </w:rPr>
        <w:t>integrata</w:t>
      </w:r>
      <w:r w:rsidR="00EC4C1E" w:rsidRPr="00EC4C1E">
        <w:rPr>
          <w:rFonts w:ascii="Arial" w:eastAsia="Arial" w:hAnsi="Arial" w:cs="Arial"/>
          <w:sz w:val="22"/>
          <w:lang w:val="it-IT"/>
        </w:rPr>
        <w:t>,</w:t>
      </w:r>
      <w:r w:rsidR="00724238" w:rsidRPr="00EC4C1E">
        <w:rPr>
          <w:rFonts w:ascii="Arial" w:eastAsia="Arial" w:hAnsi="Arial" w:cs="Arial"/>
          <w:sz w:val="22"/>
          <w:lang w:val="it-IT"/>
        </w:rPr>
        <w:t xml:space="preserve"> occorre gestire dinamicamente la richiesta di carico. A tale esigenza risponde</w:t>
      </w:r>
      <w:r w:rsidR="00EC4C1E" w:rsidRPr="00EC4C1E">
        <w:rPr>
          <w:rFonts w:ascii="Arial" w:eastAsia="Arial" w:hAnsi="Arial" w:cs="Arial"/>
          <w:sz w:val="22"/>
          <w:lang w:val="it-IT"/>
        </w:rPr>
        <w:t xml:space="preserve"> </w:t>
      </w:r>
      <w:r w:rsidR="00C362F1" w:rsidRPr="00EC4C1E">
        <w:rPr>
          <w:rFonts w:ascii="Arial" w:eastAsia="Arial" w:hAnsi="Arial" w:cs="Arial"/>
          <w:sz w:val="22"/>
          <w:lang w:val="it-IT"/>
        </w:rPr>
        <w:t xml:space="preserve">il </w:t>
      </w:r>
      <w:r w:rsidR="00C362F1" w:rsidRPr="00EC4C1E">
        <w:rPr>
          <w:rFonts w:ascii="Arial" w:eastAsia="Arial" w:hAnsi="Arial" w:cs="Arial"/>
          <w:b/>
          <w:bCs/>
          <w:sz w:val="22"/>
          <w:lang w:val="it-IT"/>
        </w:rPr>
        <w:t>Buildings Energy Management Software (BEMS)</w:t>
      </w:r>
      <w:r w:rsidR="00070E19">
        <w:rPr>
          <w:rFonts w:ascii="Arial" w:eastAsia="Arial" w:hAnsi="Arial" w:cs="Arial"/>
          <w:sz w:val="22"/>
          <w:lang w:val="it-IT"/>
        </w:rPr>
        <w:t xml:space="preserve">, </w:t>
      </w:r>
      <w:r w:rsidR="00724238" w:rsidRPr="00EC4C1E">
        <w:rPr>
          <w:rFonts w:ascii="Arial" w:eastAsia="Arial" w:hAnsi="Arial" w:cs="Arial"/>
          <w:sz w:val="22"/>
          <w:lang w:val="it-IT"/>
        </w:rPr>
        <w:t>un</w:t>
      </w:r>
      <w:r w:rsidRPr="00EC4C1E">
        <w:rPr>
          <w:rFonts w:ascii="Arial" w:eastAsia="Arial" w:hAnsi="Arial" w:cs="Arial"/>
          <w:sz w:val="22"/>
          <w:lang w:val="it-IT"/>
        </w:rPr>
        <w:t xml:space="preserve"> software</w:t>
      </w:r>
      <w:r w:rsidR="00724238" w:rsidRPr="00EC4C1E">
        <w:rPr>
          <w:rFonts w:ascii="Arial" w:eastAsia="Arial" w:hAnsi="Arial" w:cs="Arial"/>
          <w:sz w:val="22"/>
          <w:lang w:val="it-IT"/>
        </w:rPr>
        <w:t xml:space="preserve"> </w:t>
      </w:r>
      <w:r w:rsidRPr="00EC4C1E">
        <w:rPr>
          <w:rFonts w:ascii="Arial" w:eastAsia="Arial" w:hAnsi="Arial" w:cs="Arial"/>
          <w:sz w:val="22"/>
          <w:lang w:val="it-IT"/>
        </w:rPr>
        <w:t xml:space="preserve">dotato di potenti algoritmi che </w:t>
      </w:r>
      <w:r w:rsidR="00724238" w:rsidRPr="00EC4C1E">
        <w:rPr>
          <w:rFonts w:ascii="Arial" w:eastAsia="Arial" w:hAnsi="Arial" w:cs="Arial"/>
          <w:sz w:val="22"/>
          <w:lang w:val="it-IT"/>
        </w:rPr>
        <w:t xml:space="preserve">da un lato </w:t>
      </w:r>
      <w:r w:rsidRPr="00EC4C1E">
        <w:rPr>
          <w:rFonts w:ascii="Arial" w:eastAsia="Arial" w:hAnsi="Arial" w:cs="Arial"/>
          <w:sz w:val="22"/>
          <w:lang w:val="it-IT"/>
        </w:rPr>
        <w:t xml:space="preserve">indirizzano l'energia disponibile dove è </w:t>
      </w:r>
      <w:r w:rsidR="00C25BB3" w:rsidRPr="00EC4C1E">
        <w:rPr>
          <w:rFonts w:ascii="Arial" w:eastAsia="Arial" w:hAnsi="Arial" w:cs="Arial"/>
          <w:sz w:val="22"/>
          <w:lang w:val="it-IT"/>
        </w:rPr>
        <w:t xml:space="preserve">maggiormente </w:t>
      </w:r>
      <w:r w:rsidRPr="00EC4C1E">
        <w:rPr>
          <w:rFonts w:ascii="Arial" w:eastAsia="Arial" w:hAnsi="Arial" w:cs="Arial"/>
          <w:sz w:val="22"/>
          <w:lang w:val="it-IT"/>
        </w:rPr>
        <w:t>necessaria</w:t>
      </w:r>
      <w:r w:rsidR="00724238" w:rsidRPr="00EC4C1E">
        <w:rPr>
          <w:rFonts w:ascii="Arial" w:eastAsia="Arial" w:hAnsi="Arial" w:cs="Arial"/>
          <w:sz w:val="22"/>
          <w:lang w:val="it-IT"/>
        </w:rPr>
        <w:t xml:space="preserve"> (es. </w:t>
      </w:r>
      <w:r w:rsidRPr="00EC4C1E">
        <w:rPr>
          <w:rFonts w:ascii="Arial" w:eastAsia="Arial" w:hAnsi="Arial" w:cs="Arial"/>
          <w:sz w:val="22"/>
          <w:lang w:val="it-IT"/>
        </w:rPr>
        <w:t>ricarica dei veicoli elettrici</w:t>
      </w:r>
      <w:r w:rsidR="00724238" w:rsidRPr="00EC4C1E">
        <w:rPr>
          <w:rFonts w:ascii="Arial" w:eastAsia="Arial" w:hAnsi="Arial" w:cs="Arial"/>
          <w:sz w:val="22"/>
          <w:lang w:val="it-IT"/>
        </w:rPr>
        <w:t>) e dall’altro gestiscono dinamicamente l’intervento delle batterie del sistema</w:t>
      </w:r>
      <w:r w:rsidRPr="00EC4C1E">
        <w:rPr>
          <w:rFonts w:ascii="Arial" w:eastAsia="Arial" w:hAnsi="Arial" w:cs="Arial"/>
          <w:sz w:val="22"/>
          <w:lang w:val="it-IT"/>
        </w:rPr>
        <w:t xml:space="preserve"> </w:t>
      </w:r>
      <w:proofErr w:type="spellStart"/>
      <w:r w:rsidRPr="00EC4C1E">
        <w:rPr>
          <w:rFonts w:ascii="Arial" w:eastAsia="Arial" w:hAnsi="Arial" w:cs="Arial"/>
          <w:sz w:val="22"/>
          <w:lang w:val="it-IT"/>
        </w:rPr>
        <w:t>xStorage</w:t>
      </w:r>
      <w:proofErr w:type="spellEnd"/>
      <w:r w:rsidRPr="00EC4C1E">
        <w:rPr>
          <w:rFonts w:ascii="Arial" w:eastAsia="Arial" w:hAnsi="Arial" w:cs="Arial"/>
          <w:sz w:val="22"/>
          <w:lang w:val="it-IT"/>
        </w:rPr>
        <w:t>, per sostituire l'energia dalla rete quando necessario.</w:t>
      </w:r>
    </w:p>
    <w:p w14:paraId="4D808FC4" w14:textId="7D0BD491" w:rsidR="51EC3EAF" w:rsidRPr="00596EE7" w:rsidRDefault="51EC3EAF" w:rsidP="51EC3EAF">
      <w:pPr>
        <w:spacing w:line="360" w:lineRule="auto"/>
        <w:jc w:val="both"/>
        <w:rPr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</w:p>
    <w:p w14:paraId="56273B37" w14:textId="67FC2132" w:rsidR="51EC3EAF" w:rsidRPr="00596EE7" w:rsidRDefault="154927A2" w:rsidP="154927A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Il software BEMS </w:t>
      </w:r>
      <w:r w:rsidRPr="004167D0">
        <w:rPr>
          <w:rFonts w:ascii="Arial" w:eastAsia="Arial" w:hAnsi="Arial" w:cs="Arial"/>
          <w:sz w:val="22"/>
          <w:lang w:val="it-IT"/>
        </w:rPr>
        <w:t>analizza</w:t>
      </w:r>
      <w:r w:rsidR="00724238" w:rsidRPr="004167D0">
        <w:rPr>
          <w:rFonts w:ascii="Arial" w:eastAsia="Arial" w:hAnsi="Arial" w:cs="Arial"/>
          <w:sz w:val="22"/>
          <w:lang w:val="it-IT"/>
        </w:rPr>
        <w:t xml:space="preserve"> inoltre</w:t>
      </w:r>
      <w:r w:rsidRPr="004167D0">
        <w:rPr>
          <w:rFonts w:ascii="Arial" w:eastAsia="Arial" w:hAnsi="Arial" w:cs="Arial"/>
          <w:sz w:val="22"/>
          <w:lang w:val="it-IT"/>
        </w:rPr>
        <w:t xml:space="preserve"> le </w:t>
      </w:r>
      <w:r w:rsidR="00724238" w:rsidRPr="004167D0">
        <w:rPr>
          <w:rFonts w:ascii="Arial" w:eastAsia="Arial" w:hAnsi="Arial" w:cs="Arial"/>
          <w:sz w:val="22"/>
          <w:lang w:val="it-IT"/>
        </w:rPr>
        <w:t>statistiche</w:t>
      </w:r>
      <w:r w:rsidRPr="004167D0">
        <w:rPr>
          <w:rFonts w:ascii="Arial" w:eastAsia="Arial" w:hAnsi="Arial" w:cs="Arial"/>
          <w:sz w:val="22"/>
          <w:lang w:val="it-IT"/>
        </w:rPr>
        <w:t xml:space="preserve"> di consumo energetico attuali e passate dell'hotel e monitora anche le previsioni meteorologiche per garantire il massimo </w:t>
      </w:r>
      <w:r w:rsidR="00C25BB3" w:rsidRPr="004167D0">
        <w:rPr>
          <w:rFonts w:ascii="Arial" w:eastAsia="Arial" w:hAnsi="Arial" w:cs="Arial"/>
          <w:sz w:val="22"/>
          <w:lang w:val="it-IT"/>
        </w:rPr>
        <w:t>utilizzo dell’energia</w:t>
      </w:r>
      <w:r w:rsidRPr="004167D0">
        <w:rPr>
          <w:rFonts w:ascii="Arial" w:eastAsia="Arial" w:hAnsi="Arial" w:cs="Arial"/>
          <w:sz w:val="22"/>
          <w:lang w:val="it-IT"/>
        </w:rPr>
        <w:t xml:space="preserve"> dei pannelli solari, così da ridurre sia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le spese energetiche che le emissioni di CO2 della struttura.</w:t>
      </w:r>
    </w:p>
    <w:p w14:paraId="0977F046" w14:textId="411D15DB" w:rsidR="20622178" w:rsidRDefault="20622178" w:rsidP="4100904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6C2D6A47" w14:textId="6FFC761A" w:rsidR="30FFB2D7" w:rsidRDefault="154927A2" w:rsidP="154927A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Il proprietario dell'hotel, che preferisce essere conosciuto semplicemente con il suo nome di battesimo - </w:t>
      </w:r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Tony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- è entusiasta del risultato: "</w:t>
      </w:r>
      <w:r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Il sistema Buildings as a </w:t>
      </w:r>
      <w:proofErr w:type="spellStart"/>
      <w:r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Grid</w:t>
      </w:r>
      <w:proofErr w:type="spellEnd"/>
      <w:r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applicato al The Florian sta ottenendo risultati eccezionali. Nel 2022, nonostante l'impennata dei prezzi dell'energia, abbiamo tenuto sotto controllo i costi e ridotto le emissioni di CO2 di oltre 15 tonnellate rispetto alla media di un edificio di dimensioni simili e, cosa fondamentale, siamo rimasti entro i limiti della nostra copertura di rete:</w:t>
      </w:r>
      <w:r w:rsidR="00BB77A0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="00C25BB3" w:rsidRPr="00C25BB3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altrimenti, </w:t>
      </w:r>
      <w:r w:rsidR="00C362F1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avremmo potuto essere </w:t>
      </w:r>
      <w:r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costretti a chiudere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".</w:t>
      </w:r>
    </w:p>
    <w:p w14:paraId="6B6E8404" w14:textId="71EAF114" w:rsidR="30FFB2D7" w:rsidRPr="00596EE7" w:rsidRDefault="30FFB2D7" w:rsidP="30FFB2D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0379984D" w14:textId="3D70F15F" w:rsidR="20622178" w:rsidRDefault="2C7506C7" w:rsidP="2C7506C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Fabrice </w:t>
      </w:r>
      <w:proofErr w:type="spellStart"/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Roudet</w:t>
      </w:r>
      <w:proofErr w:type="spellEnd"/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, </w:t>
      </w:r>
      <w:r w:rsidR="00C25BB3" w:rsidRPr="00563086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General Manager, </w:t>
      </w:r>
      <w:r w:rsidR="00C25BB3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Eaton </w:t>
      </w:r>
      <w:r w:rsidR="00C25BB3" w:rsidRPr="00563086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Energy </w:t>
      </w:r>
      <w:proofErr w:type="spellStart"/>
      <w:r w:rsidR="00C25BB3" w:rsidRPr="00563086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Transition</w:t>
      </w:r>
      <w:proofErr w:type="spellEnd"/>
      <w:r w:rsidR="00C25BB3" w:rsidRPr="00563086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 </w:t>
      </w:r>
      <w:proofErr w:type="spellStart"/>
      <w:r w:rsidR="00C25BB3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Division</w:t>
      </w:r>
      <w:proofErr w:type="spellEnd"/>
      <w:r w:rsidR="00C25BB3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,</w:t>
      </w:r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 EMEA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, ha dichiarato: “</w:t>
      </w:r>
      <w:r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Il risparmio di CO2 aiuterà il The Florian a raggiungere l'obiettivo di sostenibilità aziendale, riducendo</w:t>
      </w:r>
      <w:r w:rsidR="004A5C49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l'impronta ambientale e guardando al net zero. </w:t>
      </w:r>
      <w:r w:rsidR="00C25BB3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Il nostro compito è supportare le aziende in questa transizione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".</w:t>
      </w:r>
    </w:p>
    <w:p w14:paraId="2994CFAF" w14:textId="326D3F9A" w:rsidR="20622178" w:rsidRDefault="20622178" w:rsidP="4100904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20FEDE7B" w14:textId="63468D3A" w:rsidR="20622178" w:rsidRDefault="7B4F07AF" w:rsidP="7B4F07A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lastRenderedPageBreak/>
        <w:t>Nota all’editore</w:t>
      </w:r>
    </w:p>
    <w:p w14:paraId="012FF22E" w14:textId="5CB4907F" w:rsidR="20622178" w:rsidRDefault="20622178" w:rsidP="4100904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4F1E7BD7" w14:textId="1AB9E81A" w:rsidR="20622178" w:rsidRDefault="4BA7EC44" w:rsidP="4BA7EC44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*Il presente comunicato stampa si basa su statistiche tratte dall'Energy </w:t>
      </w:r>
      <w:proofErr w:type="spellStart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Transition</w:t>
      </w:r>
      <w:proofErr w:type="spellEnd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Readiness Index </w:t>
      </w:r>
      <w:r w:rsidR="002D22C1">
        <w:rPr>
          <w:rFonts w:ascii="Arial" w:eastAsia="Arial" w:hAnsi="Arial" w:cs="Arial"/>
          <w:color w:val="000000" w:themeColor="text1"/>
          <w:sz w:val="22"/>
          <w:lang w:val="it-IT"/>
        </w:rPr>
        <w:t xml:space="preserve">(ETRI)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della REA (Association for </w:t>
      </w:r>
      <w:proofErr w:type="spellStart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Renewable</w:t>
      </w:r>
      <w:proofErr w:type="spellEnd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Energy and </w:t>
      </w:r>
      <w:proofErr w:type="spellStart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Clean</w:t>
      </w:r>
      <w:proofErr w:type="spellEnd"/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Technology)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,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un'associazione di categoria senza scopo di lucro, fondata nel 2001, che Eaton supporta sin dall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a sua i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stituzione. Si tratta di un indice che classifica il tasso di progresso verso la transizione energetica di alcuni Paesi europei selezionati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,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dal punto di vista delle imprese e degli investitori. Una volta condotta l’indagine, viene pubblicato un rapporto che illustra nel dettaglio i risultati. 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 xml:space="preserve">A questo </w:t>
      </w:r>
      <w:hyperlink r:id="rId13" w:history="1">
        <w:r w:rsidR="00902F40" w:rsidRPr="00902F40">
          <w:rPr>
            <w:rStyle w:val="Collegamentoipertestuale"/>
            <w:rFonts w:ascii="Arial" w:eastAsia="Arial" w:hAnsi="Arial" w:cs="Arial"/>
            <w:sz w:val="22"/>
            <w:lang w:val="it-IT"/>
          </w:rPr>
          <w:t>link</w:t>
        </w:r>
      </w:hyperlink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 xml:space="preserve"> è possibile consultare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il 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report</w:t>
      </w:r>
      <w:r w:rsidR="00902F40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dell'anno scorso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</w:p>
    <w:p w14:paraId="15FF2095" w14:textId="517A4853" w:rsidR="20622178" w:rsidRPr="00596EE7" w:rsidRDefault="3FE0111C" w:rsidP="611B46D6">
      <w:pPr>
        <w:spacing w:line="360" w:lineRule="auto"/>
        <w:jc w:val="both"/>
        <w:rPr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</w:p>
    <w:p w14:paraId="5A020C64" w14:textId="41A60E25" w:rsidR="3FE0111C" w:rsidRDefault="00BC1813" w:rsidP="65A8ED24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>
        <w:rPr>
          <w:rFonts w:ascii="Arial" w:eastAsia="Arial" w:hAnsi="Arial" w:cs="Arial"/>
          <w:color w:val="000000" w:themeColor="text1"/>
          <w:sz w:val="22"/>
          <w:lang w:val="it-IT"/>
        </w:rPr>
        <w:t>Di seguito è riportata u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na rappresentazione grafica del posizionamento</w:t>
      </w:r>
      <w:r w:rsidR="65A8ED24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di ciascun Paese nel 2022, in termini di </w:t>
      </w:r>
      <w:r w:rsidR="00902F40">
        <w:rPr>
          <w:rFonts w:ascii="Arial" w:eastAsia="Arial" w:hAnsi="Arial" w:cs="Arial"/>
          <w:color w:val="000000" w:themeColor="text1"/>
          <w:sz w:val="22"/>
          <w:lang w:val="it-IT"/>
        </w:rPr>
        <w:t>accessibilità della rete</w:t>
      </w:r>
      <w:r w:rsidR="65A8ED24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. Queste statistiche possono essere citate dai media, a condizione che la fonte 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>venga attribuita a</w:t>
      </w:r>
      <w:r w:rsidR="65A8ED24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hyperlink r:id="rId14">
        <w:r w:rsidR="65A8ED24" w:rsidRPr="00596EE7">
          <w:rPr>
            <w:rStyle w:val="Collegamentoipertestuale"/>
            <w:rFonts w:ascii="Arial" w:eastAsia="Arial" w:hAnsi="Arial" w:cs="Arial"/>
            <w:sz w:val="22"/>
            <w:lang w:val="it-IT"/>
          </w:rPr>
          <w:t>REA</w:t>
        </w:r>
      </w:hyperlink>
      <w:r w:rsidR="65A8ED24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. Commentando i risultati, </w:t>
      </w:r>
      <w:r w:rsidR="65A8ED24" w:rsidRPr="00596EE7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Robert Hull, Survey Leader</w:t>
      </w:r>
      <w:r w:rsidR="65A8ED24" w:rsidRPr="00596EE7">
        <w:rPr>
          <w:rFonts w:ascii="Arial" w:eastAsia="Arial" w:hAnsi="Arial" w:cs="Arial"/>
          <w:color w:val="000000" w:themeColor="text1"/>
          <w:sz w:val="22"/>
          <w:lang w:val="it-IT"/>
        </w:rPr>
        <w:t>, ha dichiarato: "</w:t>
      </w:r>
      <w:r w:rsidR="65A8ED24" w:rsidRPr="00596EE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Gli impedimenti per l'accesso alla rete stradale stanno diventando sempre più critici in diversi Paesi, tra cui Germania, Irlanda, Paesi Bassi, Polonia e Regno Unito</w:t>
      </w:r>
      <w:r w:rsidR="65A8ED24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".  </w:t>
      </w:r>
    </w:p>
    <w:p w14:paraId="0F035465" w14:textId="02E9729D" w:rsidR="3FE0111C" w:rsidRPr="00596EE7" w:rsidRDefault="3FE0111C" w:rsidP="3FE0111C">
      <w:pPr>
        <w:spacing w:line="360" w:lineRule="auto"/>
        <w:jc w:val="both"/>
        <w:rPr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</w:p>
    <w:p w14:paraId="73B1DF1F" w14:textId="2E14E8B0" w:rsidR="20622178" w:rsidRDefault="25BBF87E" w:rsidP="0059410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Il rapporto ETRI 2023 sarà pubblicato </w:t>
      </w:r>
      <w:r w:rsidR="00BC1813">
        <w:rPr>
          <w:rFonts w:ascii="Arial" w:eastAsia="Arial" w:hAnsi="Arial" w:cs="Arial"/>
          <w:color w:val="000000" w:themeColor="text1"/>
          <w:sz w:val="22"/>
          <w:lang w:val="it-IT"/>
        </w:rPr>
        <w:t>a</w:t>
      </w:r>
      <w:r w:rsidR="00BC1813" w:rsidRPr="00596EE7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596EE7">
        <w:rPr>
          <w:rFonts w:ascii="Arial" w:eastAsia="Arial" w:hAnsi="Arial" w:cs="Arial"/>
          <w:color w:val="000000" w:themeColor="text1"/>
          <w:sz w:val="22"/>
          <w:lang w:val="it-IT"/>
        </w:rPr>
        <w:t>novembre 2023.</w:t>
      </w:r>
      <w:r w:rsidR="00D36F00">
        <w:rPr>
          <w:rFonts w:ascii="Arial" w:eastAsia="Arial" w:hAnsi="Arial" w:cs="Arial"/>
          <w:color w:val="000000" w:themeColor="text1"/>
          <w:sz w:val="22"/>
          <w:lang w:val="it-IT"/>
        </w:rPr>
        <w:t xml:space="preserve"> È possibile partecipare all’evento di presentazione cliccando </w:t>
      </w:r>
      <w:hyperlink r:id="rId15" w:history="1">
        <w:r w:rsidR="00D36F00" w:rsidRPr="00D36F00">
          <w:rPr>
            <w:rStyle w:val="Collegamentoipertestuale"/>
            <w:rFonts w:ascii="Arial" w:eastAsia="Arial" w:hAnsi="Arial" w:cs="Arial"/>
            <w:sz w:val="22"/>
            <w:lang w:val="it-IT"/>
          </w:rPr>
          <w:t>qui</w:t>
        </w:r>
      </w:hyperlink>
      <w:r w:rsidR="00D36F00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</w:p>
    <w:p w14:paraId="168B4504" w14:textId="29E70725" w:rsidR="0072259C" w:rsidRDefault="0072259C" w:rsidP="47A3F291">
      <w:pPr>
        <w:widowControl/>
        <w:autoSpaceDE w:val="0"/>
        <w:autoSpaceDN w:val="0"/>
        <w:adjustRightInd w:val="0"/>
        <w:spacing w:line="360" w:lineRule="auto"/>
        <w:rPr>
          <w:rFonts w:ascii="Arial" w:eastAsia="Arial" w:hAnsi="Arial" w:cs="Arial"/>
          <w:color w:val="000000" w:themeColor="text1"/>
          <w:sz w:val="22"/>
          <w:lang w:val="it-IT"/>
        </w:rPr>
      </w:pPr>
      <w:r>
        <w:rPr>
          <w:noProof/>
        </w:rPr>
        <w:drawing>
          <wp:inline distT="0" distB="0" distL="0" distR="0" wp14:anchorId="65981DFD" wp14:editId="2C5478DE">
            <wp:extent cx="5724524" cy="2352675"/>
            <wp:effectExtent l="0" t="0" r="0" b="0"/>
            <wp:docPr id="894990092" name="Picture 89499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783B" w14:textId="77777777" w:rsidR="00BD721B" w:rsidRDefault="00BD721B" w:rsidP="00BD72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</w:p>
    <w:p w14:paraId="046D8B68" w14:textId="1DF2C2F4" w:rsidR="00BD721B" w:rsidRPr="00596EE7" w:rsidRDefault="00BD721B" w:rsidP="00BD72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t>Eaton</w:t>
      </w:r>
      <w:r w:rsidR="002674E4">
        <w:rPr>
          <w:rFonts w:ascii="Arial" w:eastAsia="Arial" w:hAnsi="Arial" w:cs="Arial"/>
          <w:color w:val="000000" w:themeColor="text1"/>
          <w:sz w:val="22"/>
          <w:lang w:val="it-IT"/>
        </w:rPr>
        <w:t xml:space="preserve"> è disponibile per ulteriori informazioni sull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 xml:space="preserve">’approccio </w:t>
      </w:r>
      <w:hyperlink r:id="rId17" w:history="1">
        <w:r w:rsidRPr="00596EE7">
          <w:rPr>
            <w:rFonts w:ascii="Arial" w:eastAsia="Arial" w:hAnsi="Arial" w:cs="Arial"/>
            <w:color w:val="0000FF"/>
            <w:sz w:val="22"/>
            <w:u w:val="single"/>
            <w:lang w:val="it-IT"/>
          </w:rPr>
          <w:t xml:space="preserve">Buildings as a </w:t>
        </w:r>
        <w:proofErr w:type="spellStart"/>
        <w:r w:rsidRPr="00596EE7">
          <w:rPr>
            <w:rFonts w:ascii="Arial" w:eastAsia="Arial" w:hAnsi="Arial" w:cs="Arial"/>
            <w:color w:val="0000FF"/>
            <w:sz w:val="22"/>
            <w:u w:val="single"/>
            <w:lang w:val="it-IT"/>
          </w:rPr>
          <w:t>Grid</w:t>
        </w:r>
        <w:proofErr w:type="spellEnd"/>
      </w:hyperlink>
      <w:r w:rsidRPr="00596EE7">
        <w:rPr>
          <w:rFonts w:ascii="Arial" w:eastAsia="Arial" w:hAnsi="Arial" w:cs="Arial"/>
          <w:sz w:val="22"/>
          <w:lang w:val="it-IT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 xml:space="preserve">e su </w:t>
      </w: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t xml:space="preserve">come il suo ecosistema 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>può trasformare</w:t>
      </w: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t xml:space="preserve"> sia nuovi edifici che 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>strutture oggetto di</w:t>
      </w: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t xml:space="preserve"> ristrutturazione in hub energetici che ottimizzano il consumo di energia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 xml:space="preserve">, supportando </w:t>
      </w: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t>un'infrastruttura di ricarica EV flessibile e scalabile</w:t>
      </w:r>
      <w:r>
        <w:rPr>
          <w:rFonts w:ascii="Arial" w:eastAsia="Arial" w:hAnsi="Arial" w:cs="Arial"/>
          <w:color w:val="000000" w:themeColor="text1"/>
          <w:sz w:val="22"/>
          <w:lang w:val="it-IT"/>
        </w:rPr>
        <w:t xml:space="preserve"> e, al tempo stesso, sistemi di</w:t>
      </w: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t xml:space="preserve"> generazione di energia rinnovabile e </w:t>
      </w:r>
      <w:r w:rsidRPr="001C7BFE">
        <w:rPr>
          <w:rFonts w:ascii="Arial" w:eastAsia="Arial" w:hAnsi="Arial" w:cs="Arial"/>
          <w:color w:val="000000" w:themeColor="text1"/>
          <w:sz w:val="22"/>
          <w:lang w:val="it-IT"/>
        </w:rPr>
        <w:lastRenderedPageBreak/>
        <w:t xml:space="preserve">accumulo di energia. </w:t>
      </w:r>
    </w:p>
    <w:p w14:paraId="64EC0F77" w14:textId="77777777" w:rsidR="00037434" w:rsidRDefault="00037434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</w:pPr>
    </w:p>
    <w:p w14:paraId="141B715F" w14:textId="4A98D9E5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bCs/>
          <w:i/>
          <w:iCs/>
          <w:sz w:val="18"/>
          <w:szCs w:val="18"/>
          <w:lang w:val="it-IT" w:eastAsia="ja-JP"/>
        </w:rPr>
      </w:pPr>
      <w:r w:rsidRPr="00F43CD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Eaton </w:t>
      </w:r>
    </w:p>
    <w:p w14:paraId="7BD8F724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4D8E11AB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Valorizzando </w:t>
      </w:r>
      <w:proofErr w:type="gramStart"/>
      <w:r w:rsidRPr="00F43CD8">
        <w:rPr>
          <w:rFonts w:ascii="Arial" w:hAnsi="Arial" w:cs="Arial"/>
          <w:sz w:val="18"/>
          <w:szCs w:val="18"/>
          <w:lang w:val="it-IT"/>
        </w:rPr>
        <w:t>i principali trend</w:t>
      </w:r>
      <w:proofErr w:type="gramEnd"/>
      <w:r w:rsidRPr="00F43CD8">
        <w:rPr>
          <w:rFonts w:ascii="Arial" w:hAnsi="Arial" w:cs="Arial"/>
          <w:sz w:val="18"/>
          <w:szCs w:val="18"/>
          <w:lang w:val="it-IT"/>
        </w:rPr>
        <w:t xml:space="preserve">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5E48B50C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Fondata nel 1911, Eaton festeggia il suo centesimo anniversario di quotazione alla Borsa di New York. Abbiamo registrato un fatturato di 20,8 miliardi di dollari nel 2022 e serviamo clienti in più di 170 Paesi. Per ulteriori informazioni visitare il sito </w:t>
      </w:r>
      <w:hyperlink r:id="rId18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www.eaton.com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. Seguici su </w:t>
      </w:r>
      <w:hyperlink r:id="rId19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20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>. </w:t>
      </w:r>
    </w:p>
    <w:p w14:paraId="40F48A17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00627385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5BF65CA7" w14:textId="77777777" w:rsidR="0091363B" w:rsidRPr="00D93D80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Contatti stampa:</w:t>
      </w:r>
    </w:p>
    <w:p w14:paraId="154D5A60" w14:textId="77777777" w:rsidR="0091363B" w:rsidRPr="00D93D80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Hotwire</w:t>
      </w:r>
    </w:p>
    <w:p w14:paraId="5390BF5C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Elisa Bortolozzo</w:t>
      </w:r>
    </w:p>
    <w:p w14:paraId="730A05E2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E: EatonIT@hotwireglobal.com | T: 0039 348 634395</w:t>
      </w:r>
    </w:p>
    <w:p w14:paraId="7F2FD13C" w14:textId="77777777" w:rsidR="0027761F" w:rsidRDefault="0027761F" w:rsidP="0027761F">
      <w:pPr>
        <w:spacing w:line="360" w:lineRule="auto"/>
        <w:rPr>
          <w:rFonts w:ascii="Arial" w:hAnsi="Arial" w:cs="Arial"/>
          <w:sz w:val="20"/>
          <w:lang w:val="it-IT"/>
        </w:rPr>
      </w:pPr>
    </w:p>
    <w:p w14:paraId="74CF45C3" w14:textId="79D3892D" w:rsidR="00C17F3F" w:rsidRPr="00D93D80" w:rsidRDefault="00C17F3F" w:rsidP="00C17F3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>
        <w:rPr>
          <w:rFonts w:ascii="Arial" w:eastAsia="Arial" w:hAnsi="Arial"/>
          <w:sz w:val="18"/>
          <w:szCs w:val="18"/>
          <w:lang w:val="it-IT"/>
        </w:rPr>
        <w:t>Eaton</w:t>
      </w:r>
    </w:p>
    <w:p w14:paraId="2B91008F" w14:textId="59526057" w:rsidR="00C17F3F" w:rsidRDefault="00C17F3F" w:rsidP="0027761F">
      <w:pPr>
        <w:spacing w:line="360" w:lineRule="auto"/>
        <w:rPr>
          <w:rFonts w:ascii="Arial" w:eastAsia="Arial" w:hAnsi="Arial"/>
          <w:sz w:val="18"/>
          <w:szCs w:val="18"/>
          <w:lang w:val="it-IT"/>
        </w:rPr>
      </w:pPr>
      <w:r w:rsidRPr="00C17F3F">
        <w:rPr>
          <w:rFonts w:ascii="Arial" w:eastAsia="Arial" w:hAnsi="Arial"/>
          <w:sz w:val="18"/>
          <w:szCs w:val="18"/>
          <w:lang w:val="it-IT"/>
        </w:rPr>
        <w:t>Luca Sarubbi</w:t>
      </w:r>
    </w:p>
    <w:p w14:paraId="5E465DF2" w14:textId="5E171789" w:rsidR="00C17F3F" w:rsidRPr="00C17F3F" w:rsidRDefault="00C17F3F" w:rsidP="0027761F">
      <w:pPr>
        <w:spacing w:line="360" w:lineRule="auto"/>
        <w:rPr>
          <w:rFonts w:ascii="Arial" w:eastAsia="Arial" w:hAnsi="Arial" w:cs="Arial"/>
          <w:sz w:val="18"/>
          <w:szCs w:val="18"/>
          <w:lang w:val="it-IT"/>
        </w:rPr>
      </w:pPr>
      <w:r w:rsidRPr="00C17F3F">
        <w:rPr>
          <w:rFonts w:ascii="Arial" w:eastAsia="Arial" w:hAnsi="Arial" w:cs="Arial"/>
          <w:sz w:val="18"/>
          <w:szCs w:val="18"/>
          <w:lang w:val="it-IT"/>
        </w:rPr>
        <w:t xml:space="preserve">E: </w:t>
      </w:r>
      <w:hyperlink r:id="rId21" w:tgtFrame="_blank" w:history="1">
        <w:r w:rsidRPr="00C17F3F">
          <w:rPr>
            <w:rFonts w:ascii="Arial" w:eastAsia="Arial" w:hAnsi="Arial" w:cs="Arial"/>
            <w:sz w:val="18"/>
            <w:szCs w:val="18"/>
            <w:lang w:val="it-IT"/>
          </w:rPr>
          <w:t>marcom-italia@eaton.com</w:t>
        </w:r>
      </w:hyperlink>
    </w:p>
    <w:p w14:paraId="1C2EEAFF" w14:textId="77777777" w:rsidR="0027761F" w:rsidRPr="0027761F" w:rsidRDefault="0027761F" w:rsidP="00082398">
      <w:pPr>
        <w:autoSpaceDE w:val="0"/>
        <w:autoSpaceDN w:val="0"/>
        <w:adjustRightInd w:val="0"/>
        <w:spacing w:line="360" w:lineRule="auto"/>
        <w:jc w:val="both"/>
        <w:rPr>
          <w:rStyle w:val="normaltextrun"/>
          <w:rFonts w:ascii="Arial" w:hAnsi="Arial" w:cs="Arial"/>
          <w:color w:val="0000FF"/>
          <w:sz w:val="20"/>
          <w:u w:val="single"/>
          <w:lang w:val="it-IT"/>
        </w:rPr>
      </w:pPr>
    </w:p>
    <w:sectPr w:rsidR="0027761F" w:rsidRPr="0027761F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2053" w14:textId="77777777" w:rsidR="000D7E66" w:rsidRDefault="000D7E66">
      <w:r>
        <w:separator/>
      </w:r>
    </w:p>
  </w:endnote>
  <w:endnote w:type="continuationSeparator" w:id="0">
    <w:p w14:paraId="269E299B" w14:textId="77777777" w:rsidR="000D7E66" w:rsidRDefault="000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155DBE" w14:paraId="6C19AB85" w14:textId="77777777" w:rsidTr="42155DBE">
      <w:trPr>
        <w:trHeight w:val="300"/>
      </w:trPr>
      <w:tc>
        <w:tcPr>
          <w:tcW w:w="3005" w:type="dxa"/>
        </w:tcPr>
        <w:p w14:paraId="5BE9DD23" w14:textId="61C83AAC" w:rsidR="42155DBE" w:rsidRDefault="42155DBE" w:rsidP="42155DBE">
          <w:pPr>
            <w:pStyle w:val="Intestazione"/>
            <w:ind w:left="-115"/>
          </w:pPr>
        </w:p>
      </w:tc>
      <w:tc>
        <w:tcPr>
          <w:tcW w:w="3005" w:type="dxa"/>
        </w:tcPr>
        <w:p w14:paraId="1BFA87D0" w14:textId="28DEB35D" w:rsidR="42155DBE" w:rsidRDefault="42155DBE" w:rsidP="42155DBE">
          <w:pPr>
            <w:pStyle w:val="Intestazione"/>
            <w:jc w:val="center"/>
          </w:pPr>
        </w:p>
      </w:tc>
      <w:tc>
        <w:tcPr>
          <w:tcW w:w="3005" w:type="dxa"/>
        </w:tcPr>
        <w:p w14:paraId="5C21A385" w14:textId="040A6EDE" w:rsidR="42155DBE" w:rsidRDefault="42155DBE" w:rsidP="42155DBE">
          <w:pPr>
            <w:pStyle w:val="Intestazione"/>
            <w:ind w:right="-115"/>
            <w:jc w:val="right"/>
          </w:pPr>
        </w:p>
      </w:tc>
    </w:tr>
  </w:tbl>
  <w:p w14:paraId="49282B0F" w14:textId="351EE96D" w:rsidR="42155DBE" w:rsidRDefault="42155DBE" w:rsidP="42155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B5F6" w14:textId="77777777" w:rsidR="000D7E66" w:rsidRDefault="000D7E66">
      <w:r>
        <w:separator/>
      </w:r>
    </w:p>
  </w:footnote>
  <w:footnote w:type="continuationSeparator" w:id="0">
    <w:p w14:paraId="22C2442B" w14:textId="77777777" w:rsidR="000D7E66" w:rsidRDefault="000D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0AA8" w14:textId="77777777" w:rsidR="00991BB8" w:rsidRDefault="00991BB8" w:rsidP="00991BB8">
    <w:pPr>
      <w:spacing w:line="480" w:lineRule="auto"/>
      <w:ind w:left="5664"/>
      <w:rPr>
        <w:lang w:val="it-IT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 wp14:anchorId="4C1EB8FB" wp14:editId="51AB48E1">
          <wp:simplePos x="0" y="0"/>
          <wp:positionH relativeFrom="column">
            <wp:posOffset>5054600</wp:posOffset>
          </wp:positionH>
          <wp:positionV relativeFrom="paragraph">
            <wp:posOffset>6985</wp:posOffset>
          </wp:positionV>
          <wp:extent cx="984250" cy="685800"/>
          <wp:effectExtent l="0" t="0" r="6350" b="0"/>
          <wp:wrapSquare wrapText="bothSides"/>
          <wp:docPr id="8" name="Picture 5" descr="releases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80730" name="Picture 5" descr="releasesqu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317B575" wp14:editId="2F991B8D">
          <wp:simplePos x="0" y="0"/>
          <wp:positionH relativeFrom="column">
            <wp:posOffset>-158750</wp:posOffset>
          </wp:positionH>
          <wp:positionV relativeFrom="paragraph">
            <wp:posOffset>58420</wp:posOffset>
          </wp:positionV>
          <wp:extent cx="1810385" cy="705485"/>
          <wp:effectExtent l="0" t="0" r="0" b="0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7" name="Picture 9" descr="Eaton_PBW_Li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61923" name="Picture 9" descr="Eaton_PBW_Lit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20029" r="8931" b="13933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2C">
      <w:rPr>
        <w:rFonts w:ascii="Arial Narrow" w:eastAsia="Arial Narrow" w:hAnsi="Arial Narrow"/>
        <w:sz w:val="17"/>
        <w:szCs w:val="17"/>
        <w:lang w:val="it-IT"/>
      </w:rPr>
      <w:t>Eaton Industries (Italia) S.r.l</w:t>
    </w:r>
    <w:r>
      <w:rPr>
        <w:rFonts w:ascii="Arial Narrow" w:eastAsia="Arial Narrow" w:hAnsi="Arial Narrow"/>
        <w:sz w:val="17"/>
        <w:szCs w:val="17"/>
        <w:lang w:val="it-IT"/>
      </w:rPr>
      <w:t xml:space="preserve"> 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Via san Bovio 3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20090 Segrate (MI)</w:t>
    </w:r>
  </w:p>
  <w:p w14:paraId="2313EB6B" w14:textId="4E3B2DDB" w:rsidR="0072259C" w:rsidRPr="00241457" w:rsidRDefault="0072259C" w:rsidP="0072259C">
    <w:pPr>
      <w:pStyle w:val="Intestazione"/>
      <w:tabs>
        <w:tab w:val="clear" w:pos="4680"/>
        <w:tab w:val="clear" w:pos="9360"/>
        <w:tab w:val="left" w:pos="6379"/>
        <w:tab w:val="left" w:pos="7440"/>
      </w:tabs>
      <w:rPr>
        <w:lang w:val="it-IT"/>
      </w:rPr>
    </w:pPr>
  </w:p>
  <w:p w14:paraId="61E3EAD5" w14:textId="77777777" w:rsidR="0072259C" w:rsidRPr="00241457" w:rsidRDefault="0072259C" w:rsidP="0072259C">
    <w:pPr>
      <w:pStyle w:val="Intestazione"/>
      <w:tabs>
        <w:tab w:val="clear" w:pos="4680"/>
        <w:tab w:val="clear" w:pos="9360"/>
        <w:tab w:val="left" w:pos="7440"/>
      </w:tabs>
      <w:rPr>
        <w:lang w:val="it-IT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6E"/>
    <w:multiLevelType w:val="hybridMultilevel"/>
    <w:tmpl w:val="4B86E2EC"/>
    <w:lvl w:ilvl="0" w:tplc="07AC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2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E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E086D"/>
    <w:multiLevelType w:val="hybridMultilevel"/>
    <w:tmpl w:val="69567D70"/>
    <w:lvl w:ilvl="0" w:tplc="30626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905"/>
    <w:multiLevelType w:val="hybridMultilevel"/>
    <w:tmpl w:val="643E0984"/>
    <w:lvl w:ilvl="0" w:tplc="9362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2F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9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6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8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B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8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80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2F9"/>
    <w:multiLevelType w:val="hybridMultilevel"/>
    <w:tmpl w:val="3C8AE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E3322"/>
    <w:multiLevelType w:val="hybridMultilevel"/>
    <w:tmpl w:val="5566B8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24358"/>
    <w:multiLevelType w:val="hybridMultilevel"/>
    <w:tmpl w:val="9FD642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B82A87"/>
    <w:multiLevelType w:val="hybridMultilevel"/>
    <w:tmpl w:val="58BEE7E2"/>
    <w:lvl w:ilvl="0" w:tplc="868E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113788"/>
    <w:multiLevelType w:val="hybridMultilevel"/>
    <w:tmpl w:val="1A546A5E"/>
    <w:lvl w:ilvl="0" w:tplc="E760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03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47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1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4E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4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E7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3E9"/>
    <w:multiLevelType w:val="hybridMultilevel"/>
    <w:tmpl w:val="2DC08ACE"/>
    <w:lvl w:ilvl="0" w:tplc="984AD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705AC"/>
    <w:multiLevelType w:val="hybridMultilevel"/>
    <w:tmpl w:val="6DAAA874"/>
    <w:lvl w:ilvl="0" w:tplc="A53A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A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9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4F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0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41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47BC"/>
    <w:multiLevelType w:val="hybridMultilevel"/>
    <w:tmpl w:val="898A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3A22"/>
    <w:multiLevelType w:val="hybridMultilevel"/>
    <w:tmpl w:val="DC88E53E"/>
    <w:lvl w:ilvl="0" w:tplc="006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6A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4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E2700E"/>
    <w:multiLevelType w:val="hybridMultilevel"/>
    <w:tmpl w:val="4B92B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33B8"/>
    <w:multiLevelType w:val="hybridMultilevel"/>
    <w:tmpl w:val="9CD2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769578">
    <w:abstractNumId w:val="7"/>
  </w:num>
  <w:num w:numId="2" w16cid:durableId="1595212041">
    <w:abstractNumId w:val="2"/>
  </w:num>
  <w:num w:numId="3" w16cid:durableId="936714663">
    <w:abstractNumId w:val="9"/>
  </w:num>
  <w:num w:numId="4" w16cid:durableId="1409307841">
    <w:abstractNumId w:val="5"/>
  </w:num>
  <w:num w:numId="5" w16cid:durableId="1197237204">
    <w:abstractNumId w:val="12"/>
  </w:num>
  <w:num w:numId="6" w16cid:durableId="521676334">
    <w:abstractNumId w:val="1"/>
  </w:num>
  <w:num w:numId="7" w16cid:durableId="349643218">
    <w:abstractNumId w:val="3"/>
  </w:num>
  <w:num w:numId="8" w16cid:durableId="480272751">
    <w:abstractNumId w:val="8"/>
  </w:num>
  <w:num w:numId="9" w16cid:durableId="1448740807">
    <w:abstractNumId w:val="4"/>
  </w:num>
  <w:num w:numId="10" w16cid:durableId="2073966243">
    <w:abstractNumId w:val="13"/>
  </w:num>
  <w:num w:numId="11" w16cid:durableId="1992052212">
    <w:abstractNumId w:val="10"/>
  </w:num>
  <w:num w:numId="12" w16cid:durableId="1287394280">
    <w:abstractNumId w:val="11"/>
  </w:num>
  <w:num w:numId="13" w16cid:durableId="501512240">
    <w:abstractNumId w:val="6"/>
  </w:num>
  <w:num w:numId="14" w16cid:durableId="163672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BD"/>
    <w:rsid w:val="000012BB"/>
    <w:rsid w:val="00003B4B"/>
    <w:rsid w:val="0000461F"/>
    <w:rsid w:val="000103DE"/>
    <w:rsid w:val="00014642"/>
    <w:rsid w:val="000218B2"/>
    <w:rsid w:val="00024DA8"/>
    <w:rsid w:val="000276D4"/>
    <w:rsid w:val="000316C2"/>
    <w:rsid w:val="00036B64"/>
    <w:rsid w:val="00037434"/>
    <w:rsid w:val="000407F1"/>
    <w:rsid w:val="00044E57"/>
    <w:rsid w:val="00051FC1"/>
    <w:rsid w:val="00053CFA"/>
    <w:rsid w:val="000567BC"/>
    <w:rsid w:val="00061979"/>
    <w:rsid w:val="000621B3"/>
    <w:rsid w:val="00064C9F"/>
    <w:rsid w:val="00065B34"/>
    <w:rsid w:val="00066EEA"/>
    <w:rsid w:val="000702FE"/>
    <w:rsid w:val="00070E19"/>
    <w:rsid w:val="000725F8"/>
    <w:rsid w:val="000745F4"/>
    <w:rsid w:val="00080FBB"/>
    <w:rsid w:val="00082398"/>
    <w:rsid w:val="00082DA6"/>
    <w:rsid w:val="0008665C"/>
    <w:rsid w:val="00087F38"/>
    <w:rsid w:val="00090C3A"/>
    <w:rsid w:val="000943F5"/>
    <w:rsid w:val="000963AC"/>
    <w:rsid w:val="00096886"/>
    <w:rsid w:val="000A0288"/>
    <w:rsid w:val="000A03E2"/>
    <w:rsid w:val="000A14A3"/>
    <w:rsid w:val="000A237F"/>
    <w:rsid w:val="000A2DED"/>
    <w:rsid w:val="000A7377"/>
    <w:rsid w:val="000B1675"/>
    <w:rsid w:val="000B25C7"/>
    <w:rsid w:val="000B2C21"/>
    <w:rsid w:val="000B33A3"/>
    <w:rsid w:val="000B5AA8"/>
    <w:rsid w:val="000B7E25"/>
    <w:rsid w:val="000C2573"/>
    <w:rsid w:val="000C4D30"/>
    <w:rsid w:val="000C6166"/>
    <w:rsid w:val="000C6B3A"/>
    <w:rsid w:val="000C7B9C"/>
    <w:rsid w:val="000C7DF9"/>
    <w:rsid w:val="000D3EE6"/>
    <w:rsid w:val="000D5B84"/>
    <w:rsid w:val="000D776A"/>
    <w:rsid w:val="000D7E66"/>
    <w:rsid w:val="000E016F"/>
    <w:rsid w:val="000E1446"/>
    <w:rsid w:val="000E1575"/>
    <w:rsid w:val="000E320A"/>
    <w:rsid w:val="000E55A8"/>
    <w:rsid w:val="000F6A6E"/>
    <w:rsid w:val="0010119A"/>
    <w:rsid w:val="00101FBA"/>
    <w:rsid w:val="001030C7"/>
    <w:rsid w:val="00106B59"/>
    <w:rsid w:val="001111FE"/>
    <w:rsid w:val="00112394"/>
    <w:rsid w:val="00113DA1"/>
    <w:rsid w:val="00121426"/>
    <w:rsid w:val="00123CE5"/>
    <w:rsid w:val="00127763"/>
    <w:rsid w:val="00127A8B"/>
    <w:rsid w:val="0013097D"/>
    <w:rsid w:val="00132F2F"/>
    <w:rsid w:val="00135066"/>
    <w:rsid w:val="00136606"/>
    <w:rsid w:val="00140F2F"/>
    <w:rsid w:val="00142377"/>
    <w:rsid w:val="001439C8"/>
    <w:rsid w:val="00144539"/>
    <w:rsid w:val="001454B8"/>
    <w:rsid w:val="00146240"/>
    <w:rsid w:val="0014626D"/>
    <w:rsid w:val="00147670"/>
    <w:rsid w:val="001523C2"/>
    <w:rsid w:val="001553BA"/>
    <w:rsid w:val="0015569F"/>
    <w:rsid w:val="001568BD"/>
    <w:rsid w:val="00156ECF"/>
    <w:rsid w:val="00166CBB"/>
    <w:rsid w:val="001707A5"/>
    <w:rsid w:val="00170FEC"/>
    <w:rsid w:val="0017137F"/>
    <w:rsid w:val="00173390"/>
    <w:rsid w:val="00176C59"/>
    <w:rsid w:val="001801A2"/>
    <w:rsid w:val="00182F9E"/>
    <w:rsid w:val="00183CC0"/>
    <w:rsid w:val="00192EE0"/>
    <w:rsid w:val="00192FC4"/>
    <w:rsid w:val="00194805"/>
    <w:rsid w:val="00194B4A"/>
    <w:rsid w:val="0019689A"/>
    <w:rsid w:val="00196902"/>
    <w:rsid w:val="00196A94"/>
    <w:rsid w:val="001A39D7"/>
    <w:rsid w:val="001B02D1"/>
    <w:rsid w:val="001B068B"/>
    <w:rsid w:val="001B5990"/>
    <w:rsid w:val="001B605B"/>
    <w:rsid w:val="001B7BC4"/>
    <w:rsid w:val="001B7FDD"/>
    <w:rsid w:val="001C120A"/>
    <w:rsid w:val="001C3DC2"/>
    <w:rsid w:val="001C400F"/>
    <w:rsid w:val="001D42BD"/>
    <w:rsid w:val="001D634D"/>
    <w:rsid w:val="001D7F3C"/>
    <w:rsid w:val="001E1E44"/>
    <w:rsid w:val="001F10A1"/>
    <w:rsid w:val="001F1333"/>
    <w:rsid w:val="001F26C2"/>
    <w:rsid w:val="001F443C"/>
    <w:rsid w:val="00200F1F"/>
    <w:rsid w:val="00201889"/>
    <w:rsid w:val="002042FA"/>
    <w:rsid w:val="00204544"/>
    <w:rsid w:val="00210EF5"/>
    <w:rsid w:val="00212283"/>
    <w:rsid w:val="00214280"/>
    <w:rsid w:val="00214A76"/>
    <w:rsid w:val="0021529B"/>
    <w:rsid w:val="00216774"/>
    <w:rsid w:val="00216A32"/>
    <w:rsid w:val="00216C60"/>
    <w:rsid w:val="00225C7F"/>
    <w:rsid w:val="00230CBC"/>
    <w:rsid w:val="00231231"/>
    <w:rsid w:val="002345D7"/>
    <w:rsid w:val="0023473F"/>
    <w:rsid w:val="00234A38"/>
    <w:rsid w:val="00234E38"/>
    <w:rsid w:val="00240EDE"/>
    <w:rsid w:val="00241457"/>
    <w:rsid w:val="00243DFF"/>
    <w:rsid w:val="00261408"/>
    <w:rsid w:val="00264BD7"/>
    <w:rsid w:val="002674E4"/>
    <w:rsid w:val="00271F65"/>
    <w:rsid w:val="0027232D"/>
    <w:rsid w:val="002725D2"/>
    <w:rsid w:val="0027408B"/>
    <w:rsid w:val="00275567"/>
    <w:rsid w:val="00276590"/>
    <w:rsid w:val="0027761F"/>
    <w:rsid w:val="0028045A"/>
    <w:rsid w:val="002809CF"/>
    <w:rsid w:val="00280EFF"/>
    <w:rsid w:val="002841AB"/>
    <w:rsid w:val="00286868"/>
    <w:rsid w:val="00287487"/>
    <w:rsid w:val="00287721"/>
    <w:rsid w:val="00297481"/>
    <w:rsid w:val="002A24F8"/>
    <w:rsid w:val="002A2A22"/>
    <w:rsid w:val="002A2E0E"/>
    <w:rsid w:val="002A7D90"/>
    <w:rsid w:val="002B219D"/>
    <w:rsid w:val="002B3F7A"/>
    <w:rsid w:val="002B6F5A"/>
    <w:rsid w:val="002C176E"/>
    <w:rsid w:val="002C2B5C"/>
    <w:rsid w:val="002C411D"/>
    <w:rsid w:val="002C5D5A"/>
    <w:rsid w:val="002C790E"/>
    <w:rsid w:val="002C7B78"/>
    <w:rsid w:val="002D1CEB"/>
    <w:rsid w:val="002D22C1"/>
    <w:rsid w:val="002E08DD"/>
    <w:rsid w:val="002E558F"/>
    <w:rsid w:val="002F0204"/>
    <w:rsid w:val="002F1BC1"/>
    <w:rsid w:val="002F4EDE"/>
    <w:rsid w:val="002F6906"/>
    <w:rsid w:val="002F7303"/>
    <w:rsid w:val="002F7D9B"/>
    <w:rsid w:val="00301081"/>
    <w:rsid w:val="003016FA"/>
    <w:rsid w:val="00301F18"/>
    <w:rsid w:val="003030DD"/>
    <w:rsid w:val="003032DC"/>
    <w:rsid w:val="00304FF5"/>
    <w:rsid w:val="00306000"/>
    <w:rsid w:val="0030796A"/>
    <w:rsid w:val="00307C9D"/>
    <w:rsid w:val="00307F1B"/>
    <w:rsid w:val="00313F58"/>
    <w:rsid w:val="003216B1"/>
    <w:rsid w:val="0032534C"/>
    <w:rsid w:val="00326C05"/>
    <w:rsid w:val="00327B03"/>
    <w:rsid w:val="00327B0E"/>
    <w:rsid w:val="0033017C"/>
    <w:rsid w:val="00333EC0"/>
    <w:rsid w:val="00335812"/>
    <w:rsid w:val="00340AD4"/>
    <w:rsid w:val="00346576"/>
    <w:rsid w:val="003503EB"/>
    <w:rsid w:val="0035170D"/>
    <w:rsid w:val="0035443D"/>
    <w:rsid w:val="00354577"/>
    <w:rsid w:val="0035548D"/>
    <w:rsid w:val="00356FF2"/>
    <w:rsid w:val="00363FAC"/>
    <w:rsid w:val="0036646B"/>
    <w:rsid w:val="00370488"/>
    <w:rsid w:val="003775D3"/>
    <w:rsid w:val="00380254"/>
    <w:rsid w:val="00386605"/>
    <w:rsid w:val="00387468"/>
    <w:rsid w:val="00394462"/>
    <w:rsid w:val="003A17CA"/>
    <w:rsid w:val="003A3242"/>
    <w:rsid w:val="003A3C98"/>
    <w:rsid w:val="003A41E5"/>
    <w:rsid w:val="003A5533"/>
    <w:rsid w:val="003A60B2"/>
    <w:rsid w:val="003B10AD"/>
    <w:rsid w:val="003B1A97"/>
    <w:rsid w:val="003B29FE"/>
    <w:rsid w:val="003B353D"/>
    <w:rsid w:val="003B6889"/>
    <w:rsid w:val="003B6D17"/>
    <w:rsid w:val="003B7665"/>
    <w:rsid w:val="003C1490"/>
    <w:rsid w:val="003C1E31"/>
    <w:rsid w:val="003C3880"/>
    <w:rsid w:val="003C3D7A"/>
    <w:rsid w:val="003C78BD"/>
    <w:rsid w:val="003D3E3A"/>
    <w:rsid w:val="003D75BC"/>
    <w:rsid w:val="003E0507"/>
    <w:rsid w:val="003E1DA8"/>
    <w:rsid w:val="003E204D"/>
    <w:rsid w:val="003E3B0D"/>
    <w:rsid w:val="003E469B"/>
    <w:rsid w:val="003E5F6F"/>
    <w:rsid w:val="003E6F47"/>
    <w:rsid w:val="003F10F7"/>
    <w:rsid w:val="003F1586"/>
    <w:rsid w:val="003F1DB6"/>
    <w:rsid w:val="003F24F1"/>
    <w:rsid w:val="003F256B"/>
    <w:rsid w:val="003F4875"/>
    <w:rsid w:val="003F541B"/>
    <w:rsid w:val="00401BAF"/>
    <w:rsid w:val="004020FF"/>
    <w:rsid w:val="004052CF"/>
    <w:rsid w:val="00415AB3"/>
    <w:rsid w:val="004167D0"/>
    <w:rsid w:val="004221D9"/>
    <w:rsid w:val="004230D3"/>
    <w:rsid w:val="004230DA"/>
    <w:rsid w:val="00426C36"/>
    <w:rsid w:val="004311BD"/>
    <w:rsid w:val="00432482"/>
    <w:rsid w:val="00433198"/>
    <w:rsid w:val="00433A8E"/>
    <w:rsid w:val="004358BC"/>
    <w:rsid w:val="00436892"/>
    <w:rsid w:val="004370A4"/>
    <w:rsid w:val="00437B3F"/>
    <w:rsid w:val="00444A5F"/>
    <w:rsid w:val="0044665C"/>
    <w:rsid w:val="00450A9F"/>
    <w:rsid w:val="00451102"/>
    <w:rsid w:val="0045486A"/>
    <w:rsid w:val="00455010"/>
    <w:rsid w:val="0045754B"/>
    <w:rsid w:val="0046701B"/>
    <w:rsid w:val="00467902"/>
    <w:rsid w:val="004724FD"/>
    <w:rsid w:val="00473AE8"/>
    <w:rsid w:val="00493E4A"/>
    <w:rsid w:val="004958B9"/>
    <w:rsid w:val="004A252F"/>
    <w:rsid w:val="004A37FF"/>
    <w:rsid w:val="004A5C49"/>
    <w:rsid w:val="004A6484"/>
    <w:rsid w:val="004B2B64"/>
    <w:rsid w:val="004B3182"/>
    <w:rsid w:val="004B3CDF"/>
    <w:rsid w:val="004B432D"/>
    <w:rsid w:val="004B4A9C"/>
    <w:rsid w:val="004B7231"/>
    <w:rsid w:val="004B7460"/>
    <w:rsid w:val="004B7900"/>
    <w:rsid w:val="004B7B62"/>
    <w:rsid w:val="004C5245"/>
    <w:rsid w:val="004C7A44"/>
    <w:rsid w:val="004D26CA"/>
    <w:rsid w:val="004D39FD"/>
    <w:rsid w:val="004D6CBA"/>
    <w:rsid w:val="004E56A5"/>
    <w:rsid w:val="004E5E36"/>
    <w:rsid w:val="004E6F65"/>
    <w:rsid w:val="004F1154"/>
    <w:rsid w:val="004F2789"/>
    <w:rsid w:val="004F288E"/>
    <w:rsid w:val="004F51DD"/>
    <w:rsid w:val="004F6B55"/>
    <w:rsid w:val="00501551"/>
    <w:rsid w:val="00502E78"/>
    <w:rsid w:val="00504C1A"/>
    <w:rsid w:val="00505F1D"/>
    <w:rsid w:val="0051306B"/>
    <w:rsid w:val="00513320"/>
    <w:rsid w:val="0051481B"/>
    <w:rsid w:val="00517001"/>
    <w:rsid w:val="005177DB"/>
    <w:rsid w:val="005178C1"/>
    <w:rsid w:val="005249CD"/>
    <w:rsid w:val="005268C5"/>
    <w:rsid w:val="00532076"/>
    <w:rsid w:val="00536F6F"/>
    <w:rsid w:val="0054077C"/>
    <w:rsid w:val="00540A14"/>
    <w:rsid w:val="005423D6"/>
    <w:rsid w:val="005454AC"/>
    <w:rsid w:val="00547C0F"/>
    <w:rsid w:val="00547C76"/>
    <w:rsid w:val="005529AA"/>
    <w:rsid w:val="00552DFE"/>
    <w:rsid w:val="00555B87"/>
    <w:rsid w:val="00557387"/>
    <w:rsid w:val="005628FC"/>
    <w:rsid w:val="00564590"/>
    <w:rsid w:val="00573051"/>
    <w:rsid w:val="00575753"/>
    <w:rsid w:val="0058387B"/>
    <w:rsid w:val="00586EDE"/>
    <w:rsid w:val="00594102"/>
    <w:rsid w:val="00596EE7"/>
    <w:rsid w:val="005A18AB"/>
    <w:rsid w:val="005A386E"/>
    <w:rsid w:val="005A40EC"/>
    <w:rsid w:val="005B0C4F"/>
    <w:rsid w:val="005B5C07"/>
    <w:rsid w:val="005B5FE0"/>
    <w:rsid w:val="005B6396"/>
    <w:rsid w:val="005B6642"/>
    <w:rsid w:val="005B7E56"/>
    <w:rsid w:val="005C1853"/>
    <w:rsid w:val="005C1B96"/>
    <w:rsid w:val="005C2B3B"/>
    <w:rsid w:val="005C3368"/>
    <w:rsid w:val="005C6194"/>
    <w:rsid w:val="005C6531"/>
    <w:rsid w:val="005C6ADC"/>
    <w:rsid w:val="005C75F8"/>
    <w:rsid w:val="005D0F26"/>
    <w:rsid w:val="005D548C"/>
    <w:rsid w:val="005D6A4C"/>
    <w:rsid w:val="005D7B86"/>
    <w:rsid w:val="005E5DEC"/>
    <w:rsid w:val="005E6F40"/>
    <w:rsid w:val="005E71C1"/>
    <w:rsid w:val="005E7D05"/>
    <w:rsid w:val="005F5DED"/>
    <w:rsid w:val="005F6D07"/>
    <w:rsid w:val="00601B98"/>
    <w:rsid w:val="00602198"/>
    <w:rsid w:val="0060575A"/>
    <w:rsid w:val="00610610"/>
    <w:rsid w:val="00610AE6"/>
    <w:rsid w:val="006115A0"/>
    <w:rsid w:val="00611DDB"/>
    <w:rsid w:val="00615F31"/>
    <w:rsid w:val="00620209"/>
    <w:rsid w:val="00620D5A"/>
    <w:rsid w:val="00621B86"/>
    <w:rsid w:val="00622F9D"/>
    <w:rsid w:val="0062444F"/>
    <w:rsid w:val="00627353"/>
    <w:rsid w:val="00631E1C"/>
    <w:rsid w:val="0063266A"/>
    <w:rsid w:val="00634287"/>
    <w:rsid w:val="00640CAE"/>
    <w:rsid w:val="00640FFE"/>
    <w:rsid w:val="00646822"/>
    <w:rsid w:val="00646E8D"/>
    <w:rsid w:val="00647E06"/>
    <w:rsid w:val="00647E2B"/>
    <w:rsid w:val="00651809"/>
    <w:rsid w:val="00655259"/>
    <w:rsid w:val="00655A4E"/>
    <w:rsid w:val="00660177"/>
    <w:rsid w:val="0066438E"/>
    <w:rsid w:val="00665444"/>
    <w:rsid w:val="00665869"/>
    <w:rsid w:val="00667F46"/>
    <w:rsid w:val="00671BE9"/>
    <w:rsid w:val="00672B88"/>
    <w:rsid w:val="00672F26"/>
    <w:rsid w:val="00676D5D"/>
    <w:rsid w:val="0067766A"/>
    <w:rsid w:val="006800E6"/>
    <w:rsid w:val="00681DA0"/>
    <w:rsid w:val="006834DD"/>
    <w:rsid w:val="00686606"/>
    <w:rsid w:val="00687082"/>
    <w:rsid w:val="00690C78"/>
    <w:rsid w:val="006923E2"/>
    <w:rsid w:val="00693490"/>
    <w:rsid w:val="00693F52"/>
    <w:rsid w:val="006953D9"/>
    <w:rsid w:val="006A1B48"/>
    <w:rsid w:val="006A3F2F"/>
    <w:rsid w:val="006A4436"/>
    <w:rsid w:val="006B5620"/>
    <w:rsid w:val="006B5759"/>
    <w:rsid w:val="006C17AD"/>
    <w:rsid w:val="006C5E04"/>
    <w:rsid w:val="006C7B13"/>
    <w:rsid w:val="006D0951"/>
    <w:rsid w:val="006D3FFF"/>
    <w:rsid w:val="006D466F"/>
    <w:rsid w:val="006D5537"/>
    <w:rsid w:val="006D6BD7"/>
    <w:rsid w:val="006E03C0"/>
    <w:rsid w:val="006E0632"/>
    <w:rsid w:val="006E08FC"/>
    <w:rsid w:val="006E6BE9"/>
    <w:rsid w:val="006E7B28"/>
    <w:rsid w:val="006F3C5F"/>
    <w:rsid w:val="006F470D"/>
    <w:rsid w:val="006F7AEE"/>
    <w:rsid w:val="006F7D6B"/>
    <w:rsid w:val="0070118A"/>
    <w:rsid w:val="007017E2"/>
    <w:rsid w:val="00701AEA"/>
    <w:rsid w:val="00702CA7"/>
    <w:rsid w:val="00704087"/>
    <w:rsid w:val="0070522E"/>
    <w:rsid w:val="00712FE8"/>
    <w:rsid w:val="0071417A"/>
    <w:rsid w:val="00717DEB"/>
    <w:rsid w:val="0072259C"/>
    <w:rsid w:val="00722E12"/>
    <w:rsid w:val="0072417A"/>
    <w:rsid w:val="00724238"/>
    <w:rsid w:val="007262DA"/>
    <w:rsid w:val="00726620"/>
    <w:rsid w:val="00726909"/>
    <w:rsid w:val="0072754F"/>
    <w:rsid w:val="007305BF"/>
    <w:rsid w:val="00730C46"/>
    <w:rsid w:val="00732EEF"/>
    <w:rsid w:val="007363E1"/>
    <w:rsid w:val="0073726D"/>
    <w:rsid w:val="007411E9"/>
    <w:rsid w:val="0074332A"/>
    <w:rsid w:val="0074377E"/>
    <w:rsid w:val="00743CA9"/>
    <w:rsid w:val="00744ED7"/>
    <w:rsid w:val="00744F0A"/>
    <w:rsid w:val="00752B21"/>
    <w:rsid w:val="007568F5"/>
    <w:rsid w:val="00762989"/>
    <w:rsid w:val="00762DD5"/>
    <w:rsid w:val="00764B97"/>
    <w:rsid w:val="007718B5"/>
    <w:rsid w:val="00772A3E"/>
    <w:rsid w:val="007750DD"/>
    <w:rsid w:val="007766B4"/>
    <w:rsid w:val="007770A8"/>
    <w:rsid w:val="007807BB"/>
    <w:rsid w:val="007822A3"/>
    <w:rsid w:val="00782A07"/>
    <w:rsid w:val="00783258"/>
    <w:rsid w:val="00784779"/>
    <w:rsid w:val="00785F64"/>
    <w:rsid w:val="007907E8"/>
    <w:rsid w:val="007927B9"/>
    <w:rsid w:val="007952A2"/>
    <w:rsid w:val="007968FC"/>
    <w:rsid w:val="007978D2"/>
    <w:rsid w:val="007A16E8"/>
    <w:rsid w:val="007A32A0"/>
    <w:rsid w:val="007A3ABF"/>
    <w:rsid w:val="007A3B66"/>
    <w:rsid w:val="007A3E7A"/>
    <w:rsid w:val="007B1A77"/>
    <w:rsid w:val="007B1F8A"/>
    <w:rsid w:val="007C4257"/>
    <w:rsid w:val="007C445A"/>
    <w:rsid w:val="007D46E9"/>
    <w:rsid w:val="007D51B5"/>
    <w:rsid w:val="007D70B8"/>
    <w:rsid w:val="007D78D8"/>
    <w:rsid w:val="007D7C4D"/>
    <w:rsid w:val="007E0089"/>
    <w:rsid w:val="007E0791"/>
    <w:rsid w:val="007E2A60"/>
    <w:rsid w:val="007E5095"/>
    <w:rsid w:val="007E547D"/>
    <w:rsid w:val="007F48D2"/>
    <w:rsid w:val="007F4DAF"/>
    <w:rsid w:val="007F4F18"/>
    <w:rsid w:val="007F6C70"/>
    <w:rsid w:val="007F7401"/>
    <w:rsid w:val="00800AE7"/>
    <w:rsid w:val="00802033"/>
    <w:rsid w:val="00803A86"/>
    <w:rsid w:val="00806BBA"/>
    <w:rsid w:val="008123E2"/>
    <w:rsid w:val="0081334F"/>
    <w:rsid w:val="008139ED"/>
    <w:rsid w:val="0081400F"/>
    <w:rsid w:val="00814D74"/>
    <w:rsid w:val="00815DC1"/>
    <w:rsid w:val="00822613"/>
    <w:rsid w:val="00822E95"/>
    <w:rsid w:val="008261FD"/>
    <w:rsid w:val="00826679"/>
    <w:rsid w:val="008267D6"/>
    <w:rsid w:val="00830953"/>
    <w:rsid w:val="00832DA6"/>
    <w:rsid w:val="008354EE"/>
    <w:rsid w:val="00836272"/>
    <w:rsid w:val="0084119F"/>
    <w:rsid w:val="00844C17"/>
    <w:rsid w:val="00850E48"/>
    <w:rsid w:val="0085404F"/>
    <w:rsid w:val="00855642"/>
    <w:rsid w:val="00861274"/>
    <w:rsid w:val="00861A2A"/>
    <w:rsid w:val="0086204E"/>
    <w:rsid w:val="008631AE"/>
    <w:rsid w:val="008659EB"/>
    <w:rsid w:val="00870133"/>
    <w:rsid w:val="0087203C"/>
    <w:rsid w:val="00874AE4"/>
    <w:rsid w:val="008753B1"/>
    <w:rsid w:val="00882F08"/>
    <w:rsid w:val="00882F31"/>
    <w:rsid w:val="00884381"/>
    <w:rsid w:val="00895489"/>
    <w:rsid w:val="00895654"/>
    <w:rsid w:val="00896759"/>
    <w:rsid w:val="008A0162"/>
    <w:rsid w:val="008B6384"/>
    <w:rsid w:val="008C13E6"/>
    <w:rsid w:val="008C1A23"/>
    <w:rsid w:val="008C296D"/>
    <w:rsid w:val="008C39A0"/>
    <w:rsid w:val="008C6F16"/>
    <w:rsid w:val="008C7C72"/>
    <w:rsid w:val="008D244D"/>
    <w:rsid w:val="008D2F10"/>
    <w:rsid w:val="008E1B1A"/>
    <w:rsid w:val="008E7D74"/>
    <w:rsid w:val="008F1E6A"/>
    <w:rsid w:val="008F26EB"/>
    <w:rsid w:val="008F51C3"/>
    <w:rsid w:val="008F74D6"/>
    <w:rsid w:val="008F74DA"/>
    <w:rsid w:val="00900437"/>
    <w:rsid w:val="009014DE"/>
    <w:rsid w:val="009019A9"/>
    <w:rsid w:val="0090205A"/>
    <w:rsid w:val="00902F40"/>
    <w:rsid w:val="009049CF"/>
    <w:rsid w:val="00910446"/>
    <w:rsid w:val="00911B37"/>
    <w:rsid w:val="009123FA"/>
    <w:rsid w:val="00912B7C"/>
    <w:rsid w:val="00912DED"/>
    <w:rsid w:val="0091363B"/>
    <w:rsid w:val="00913DD5"/>
    <w:rsid w:val="00915F3B"/>
    <w:rsid w:val="00917A65"/>
    <w:rsid w:val="009201E6"/>
    <w:rsid w:val="00921F33"/>
    <w:rsid w:val="009222B4"/>
    <w:rsid w:val="00922936"/>
    <w:rsid w:val="0092453E"/>
    <w:rsid w:val="009268B1"/>
    <w:rsid w:val="0092760B"/>
    <w:rsid w:val="009317C6"/>
    <w:rsid w:val="00932EAD"/>
    <w:rsid w:val="00940540"/>
    <w:rsid w:val="00941530"/>
    <w:rsid w:val="0094208C"/>
    <w:rsid w:val="0094374F"/>
    <w:rsid w:val="00944FA8"/>
    <w:rsid w:val="009457A2"/>
    <w:rsid w:val="009463F7"/>
    <w:rsid w:val="00950F5B"/>
    <w:rsid w:val="009550E2"/>
    <w:rsid w:val="009622D0"/>
    <w:rsid w:val="00963F51"/>
    <w:rsid w:val="00965776"/>
    <w:rsid w:val="0097318A"/>
    <w:rsid w:val="00981B4B"/>
    <w:rsid w:val="0098425A"/>
    <w:rsid w:val="009854F8"/>
    <w:rsid w:val="00991BB8"/>
    <w:rsid w:val="009A27C0"/>
    <w:rsid w:val="009B3348"/>
    <w:rsid w:val="009B5DA3"/>
    <w:rsid w:val="009B60C1"/>
    <w:rsid w:val="009B612F"/>
    <w:rsid w:val="009C2FA1"/>
    <w:rsid w:val="009C5762"/>
    <w:rsid w:val="009C7C67"/>
    <w:rsid w:val="009D1216"/>
    <w:rsid w:val="009D43CB"/>
    <w:rsid w:val="009D5FA7"/>
    <w:rsid w:val="009D6692"/>
    <w:rsid w:val="009D675F"/>
    <w:rsid w:val="009D69C7"/>
    <w:rsid w:val="009E0E17"/>
    <w:rsid w:val="009E2277"/>
    <w:rsid w:val="009E3395"/>
    <w:rsid w:val="009E34D4"/>
    <w:rsid w:val="009E6116"/>
    <w:rsid w:val="009E6B37"/>
    <w:rsid w:val="009F0820"/>
    <w:rsid w:val="009F1C75"/>
    <w:rsid w:val="009F36FF"/>
    <w:rsid w:val="009F3816"/>
    <w:rsid w:val="009F56AE"/>
    <w:rsid w:val="009F6D03"/>
    <w:rsid w:val="00A006D0"/>
    <w:rsid w:val="00A00EB4"/>
    <w:rsid w:val="00A013F9"/>
    <w:rsid w:val="00A03334"/>
    <w:rsid w:val="00A067B3"/>
    <w:rsid w:val="00A10542"/>
    <w:rsid w:val="00A11BDE"/>
    <w:rsid w:val="00A207E3"/>
    <w:rsid w:val="00A22D14"/>
    <w:rsid w:val="00A24482"/>
    <w:rsid w:val="00A250F6"/>
    <w:rsid w:val="00A261D9"/>
    <w:rsid w:val="00A278CD"/>
    <w:rsid w:val="00A30F87"/>
    <w:rsid w:val="00A314A9"/>
    <w:rsid w:val="00A32820"/>
    <w:rsid w:val="00A373CF"/>
    <w:rsid w:val="00A4009B"/>
    <w:rsid w:val="00A40C33"/>
    <w:rsid w:val="00A413DE"/>
    <w:rsid w:val="00A47551"/>
    <w:rsid w:val="00A52D1B"/>
    <w:rsid w:val="00A54B25"/>
    <w:rsid w:val="00A571C0"/>
    <w:rsid w:val="00A647D2"/>
    <w:rsid w:val="00A65530"/>
    <w:rsid w:val="00A66EA8"/>
    <w:rsid w:val="00A702CC"/>
    <w:rsid w:val="00A704B3"/>
    <w:rsid w:val="00A70AA5"/>
    <w:rsid w:val="00A70D11"/>
    <w:rsid w:val="00A7597C"/>
    <w:rsid w:val="00A75CB1"/>
    <w:rsid w:val="00A75CDA"/>
    <w:rsid w:val="00A7621C"/>
    <w:rsid w:val="00A76D67"/>
    <w:rsid w:val="00A76F36"/>
    <w:rsid w:val="00A820A4"/>
    <w:rsid w:val="00A8292A"/>
    <w:rsid w:val="00A92A6D"/>
    <w:rsid w:val="00A9547F"/>
    <w:rsid w:val="00AA12DC"/>
    <w:rsid w:val="00AA1321"/>
    <w:rsid w:val="00AA28A3"/>
    <w:rsid w:val="00AA375B"/>
    <w:rsid w:val="00AA4F5C"/>
    <w:rsid w:val="00AA55BD"/>
    <w:rsid w:val="00AA55BE"/>
    <w:rsid w:val="00AA5A69"/>
    <w:rsid w:val="00AA703D"/>
    <w:rsid w:val="00AB09BE"/>
    <w:rsid w:val="00AB0BCA"/>
    <w:rsid w:val="00AB3339"/>
    <w:rsid w:val="00AB4AA3"/>
    <w:rsid w:val="00AC307E"/>
    <w:rsid w:val="00AD0FB4"/>
    <w:rsid w:val="00AD5E7E"/>
    <w:rsid w:val="00AE25BD"/>
    <w:rsid w:val="00AE5C79"/>
    <w:rsid w:val="00AF1393"/>
    <w:rsid w:val="00AF2746"/>
    <w:rsid w:val="00AF2C67"/>
    <w:rsid w:val="00AF329B"/>
    <w:rsid w:val="00B0331E"/>
    <w:rsid w:val="00B046DC"/>
    <w:rsid w:val="00B2627E"/>
    <w:rsid w:val="00B3479D"/>
    <w:rsid w:val="00B36084"/>
    <w:rsid w:val="00B42309"/>
    <w:rsid w:val="00B44B2F"/>
    <w:rsid w:val="00B64B73"/>
    <w:rsid w:val="00B64E56"/>
    <w:rsid w:val="00B662D2"/>
    <w:rsid w:val="00B702F8"/>
    <w:rsid w:val="00B719DA"/>
    <w:rsid w:val="00B74793"/>
    <w:rsid w:val="00B771C4"/>
    <w:rsid w:val="00B8268A"/>
    <w:rsid w:val="00B83FCA"/>
    <w:rsid w:val="00B85AD6"/>
    <w:rsid w:val="00B85CAD"/>
    <w:rsid w:val="00B95487"/>
    <w:rsid w:val="00B95597"/>
    <w:rsid w:val="00BA70E4"/>
    <w:rsid w:val="00BB0309"/>
    <w:rsid w:val="00BB06DA"/>
    <w:rsid w:val="00BB183B"/>
    <w:rsid w:val="00BB2A26"/>
    <w:rsid w:val="00BB3B85"/>
    <w:rsid w:val="00BB4CD1"/>
    <w:rsid w:val="00BB5551"/>
    <w:rsid w:val="00BB77A0"/>
    <w:rsid w:val="00BB7CAA"/>
    <w:rsid w:val="00BC1813"/>
    <w:rsid w:val="00BC7F87"/>
    <w:rsid w:val="00BD0E35"/>
    <w:rsid w:val="00BD2A6C"/>
    <w:rsid w:val="00BD3527"/>
    <w:rsid w:val="00BD4E81"/>
    <w:rsid w:val="00BD69D3"/>
    <w:rsid w:val="00BD6B97"/>
    <w:rsid w:val="00BD721B"/>
    <w:rsid w:val="00BD727C"/>
    <w:rsid w:val="00BD7361"/>
    <w:rsid w:val="00BE150C"/>
    <w:rsid w:val="00BE18E3"/>
    <w:rsid w:val="00BE3F72"/>
    <w:rsid w:val="00BF3AE5"/>
    <w:rsid w:val="00BF5BE3"/>
    <w:rsid w:val="00C0211A"/>
    <w:rsid w:val="00C05CEA"/>
    <w:rsid w:val="00C074F5"/>
    <w:rsid w:val="00C10C0D"/>
    <w:rsid w:val="00C17F3F"/>
    <w:rsid w:val="00C25BB3"/>
    <w:rsid w:val="00C27E70"/>
    <w:rsid w:val="00C309C0"/>
    <w:rsid w:val="00C30A4B"/>
    <w:rsid w:val="00C3245D"/>
    <w:rsid w:val="00C34C7E"/>
    <w:rsid w:val="00C362F1"/>
    <w:rsid w:val="00C40A61"/>
    <w:rsid w:val="00C41AEE"/>
    <w:rsid w:val="00C42AB0"/>
    <w:rsid w:val="00C43C1B"/>
    <w:rsid w:val="00C44F8E"/>
    <w:rsid w:val="00C46075"/>
    <w:rsid w:val="00C460C3"/>
    <w:rsid w:val="00C47D8F"/>
    <w:rsid w:val="00C51CF0"/>
    <w:rsid w:val="00C53B8F"/>
    <w:rsid w:val="00C5439A"/>
    <w:rsid w:val="00C55086"/>
    <w:rsid w:val="00C561B2"/>
    <w:rsid w:val="00C60EC2"/>
    <w:rsid w:val="00C641C5"/>
    <w:rsid w:val="00C64A7B"/>
    <w:rsid w:val="00C6592A"/>
    <w:rsid w:val="00C66129"/>
    <w:rsid w:val="00C66FDC"/>
    <w:rsid w:val="00C6734D"/>
    <w:rsid w:val="00C67ADF"/>
    <w:rsid w:val="00C67F86"/>
    <w:rsid w:val="00C7190C"/>
    <w:rsid w:val="00C72245"/>
    <w:rsid w:val="00C745DB"/>
    <w:rsid w:val="00C75009"/>
    <w:rsid w:val="00C75FB6"/>
    <w:rsid w:val="00C76F7B"/>
    <w:rsid w:val="00C82473"/>
    <w:rsid w:val="00C84152"/>
    <w:rsid w:val="00C86207"/>
    <w:rsid w:val="00C8721B"/>
    <w:rsid w:val="00C87769"/>
    <w:rsid w:val="00C87F88"/>
    <w:rsid w:val="00C9063D"/>
    <w:rsid w:val="00C91248"/>
    <w:rsid w:val="00C91704"/>
    <w:rsid w:val="00C91710"/>
    <w:rsid w:val="00C972EB"/>
    <w:rsid w:val="00C973FA"/>
    <w:rsid w:val="00CA2FA9"/>
    <w:rsid w:val="00CA31D1"/>
    <w:rsid w:val="00CA6DED"/>
    <w:rsid w:val="00CB33C9"/>
    <w:rsid w:val="00CB3551"/>
    <w:rsid w:val="00CB5023"/>
    <w:rsid w:val="00CC3C7B"/>
    <w:rsid w:val="00CC409B"/>
    <w:rsid w:val="00CC4A7B"/>
    <w:rsid w:val="00CC6562"/>
    <w:rsid w:val="00CC6DD0"/>
    <w:rsid w:val="00CD07BE"/>
    <w:rsid w:val="00CD252D"/>
    <w:rsid w:val="00CD32F7"/>
    <w:rsid w:val="00CE129E"/>
    <w:rsid w:val="00CE7A50"/>
    <w:rsid w:val="00CF0372"/>
    <w:rsid w:val="00CF1B3D"/>
    <w:rsid w:val="00CF2ED0"/>
    <w:rsid w:val="00CF3156"/>
    <w:rsid w:val="00CF3A29"/>
    <w:rsid w:val="00CF6312"/>
    <w:rsid w:val="00D01BCE"/>
    <w:rsid w:val="00D05EA1"/>
    <w:rsid w:val="00D05EF7"/>
    <w:rsid w:val="00D07962"/>
    <w:rsid w:val="00D10F01"/>
    <w:rsid w:val="00D14293"/>
    <w:rsid w:val="00D1762C"/>
    <w:rsid w:val="00D2112F"/>
    <w:rsid w:val="00D220CE"/>
    <w:rsid w:val="00D22F45"/>
    <w:rsid w:val="00D2389F"/>
    <w:rsid w:val="00D25111"/>
    <w:rsid w:val="00D3124B"/>
    <w:rsid w:val="00D33DAE"/>
    <w:rsid w:val="00D34DF0"/>
    <w:rsid w:val="00D36520"/>
    <w:rsid w:val="00D36F00"/>
    <w:rsid w:val="00D436F1"/>
    <w:rsid w:val="00D4556F"/>
    <w:rsid w:val="00D45AAE"/>
    <w:rsid w:val="00D46AD8"/>
    <w:rsid w:val="00D4720C"/>
    <w:rsid w:val="00D53EFE"/>
    <w:rsid w:val="00D55C5B"/>
    <w:rsid w:val="00D57122"/>
    <w:rsid w:val="00D57CC2"/>
    <w:rsid w:val="00D601B9"/>
    <w:rsid w:val="00D61272"/>
    <w:rsid w:val="00D66CAB"/>
    <w:rsid w:val="00D674FC"/>
    <w:rsid w:val="00D80025"/>
    <w:rsid w:val="00D86340"/>
    <w:rsid w:val="00D865E9"/>
    <w:rsid w:val="00D86804"/>
    <w:rsid w:val="00D86A09"/>
    <w:rsid w:val="00D879AE"/>
    <w:rsid w:val="00D87EE9"/>
    <w:rsid w:val="00D92063"/>
    <w:rsid w:val="00D93A83"/>
    <w:rsid w:val="00D93D80"/>
    <w:rsid w:val="00D9546A"/>
    <w:rsid w:val="00D97A11"/>
    <w:rsid w:val="00DB0DE3"/>
    <w:rsid w:val="00DB2667"/>
    <w:rsid w:val="00DB4892"/>
    <w:rsid w:val="00DB5E8B"/>
    <w:rsid w:val="00DC19EF"/>
    <w:rsid w:val="00DC2683"/>
    <w:rsid w:val="00DD7152"/>
    <w:rsid w:val="00DE02B4"/>
    <w:rsid w:val="00DE44D9"/>
    <w:rsid w:val="00DE4F60"/>
    <w:rsid w:val="00DE7C38"/>
    <w:rsid w:val="00DF1B41"/>
    <w:rsid w:val="00DF477B"/>
    <w:rsid w:val="00E01A23"/>
    <w:rsid w:val="00E01D1B"/>
    <w:rsid w:val="00E02F1E"/>
    <w:rsid w:val="00E0533E"/>
    <w:rsid w:val="00E13768"/>
    <w:rsid w:val="00E13CCB"/>
    <w:rsid w:val="00E15E20"/>
    <w:rsid w:val="00E16CF3"/>
    <w:rsid w:val="00E24863"/>
    <w:rsid w:val="00E415F7"/>
    <w:rsid w:val="00E45E72"/>
    <w:rsid w:val="00E47B54"/>
    <w:rsid w:val="00E540A0"/>
    <w:rsid w:val="00E65976"/>
    <w:rsid w:val="00E71730"/>
    <w:rsid w:val="00E72051"/>
    <w:rsid w:val="00E73DAC"/>
    <w:rsid w:val="00E752F2"/>
    <w:rsid w:val="00E75F61"/>
    <w:rsid w:val="00E767D5"/>
    <w:rsid w:val="00E8028E"/>
    <w:rsid w:val="00E80B91"/>
    <w:rsid w:val="00E82398"/>
    <w:rsid w:val="00E83003"/>
    <w:rsid w:val="00E85AD0"/>
    <w:rsid w:val="00E87B50"/>
    <w:rsid w:val="00E902C4"/>
    <w:rsid w:val="00E91B6A"/>
    <w:rsid w:val="00E91E75"/>
    <w:rsid w:val="00E95487"/>
    <w:rsid w:val="00E96047"/>
    <w:rsid w:val="00EA74E8"/>
    <w:rsid w:val="00EB01F1"/>
    <w:rsid w:val="00EB0B1C"/>
    <w:rsid w:val="00EB3E7A"/>
    <w:rsid w:val="00EC3507"/>
    <w:rsid w:val="00EC3CBD"/>
    <w:rsid w:val="00EC3F98"/>
    <w:rsid w:val="00EC4C1E"/>
    <w:rsid w:val="00EC6520"/>
    <w:rsid w:val="00EC73FC"/>
    <w:rsid w:val="00ED0377"/>
    <w:rsid w:val="00ED121D"/>
    <w:rsid w:val="00ED3E4C"/>
    <w:rsid w:val="00ED423D"/>
    <w:rsid w:val="00ED6638"/>
    <w:rsid w:val="00EE3937"/>
    <w:rsid w:val="00EF40B7"/>
    <w:rsid w:val="00EF5C1D"/>
    <w:rsid w:val="00F00117"/>
    <w:rsid w:val="00F00911"/>
    <w:rsid w:val="00F0112C"/>
    <w:rsid w:val="00F14E87"/>
    <w:rsid w:val="00F15C9A"/>
    <w:rsid w:val="00F15EB0"/>
    <w:rsid w:val="00F21838"/>
    <w:rsid w:val="00F27261"/>
    <w:rsid w:val="00F274EA"/>
    <w:rsid w:val="00F278BB"/>
    <w:rsid w:val="00F32444"/>
    <w:rsid w:val="00F353A1"/>
    <w:rsid w:val="00F35A49"/>
    <w:rsid w:val="00F41789"/>
    <w:rsid w:val="00F456B4"/>
    <w:rsid w:val="00F46073"/>
    <w:rsid w:val="00F4688B"/>
    <w:rsid w:val="00F52AC7"/>
    <w:rsid w:val="00F5662C"/>
    <w:rsid w:val="00F56B98"/>
    <w:rsid w:val="00F608DE"/>
    <w:rsid w:val="00F706EA"/>
    <w:rsid w:val="00F7187D"/>
    <w:rsid w:val="00F71CBD"/>
    <w:rsid w:val="00F75D70"/>
    <w:rsid w:val="00F76018"/>
    <w:rsid w:val="00F812F6"/>
    <w:rsid w:val="00F8599E"/>
    <w:rsid w:val="00F91DC2"/>
    <w:rsid w:val="00F9322D"/>
    <w:rsid w:val="00F94FEB"/>
    <w:rsid w:val="00F95E47"/>
    <w:rsid w:val="00FA21D8"/>
    <w:rsid w:val="00FB221D"/>
    <w:rsid w:val="00FB4599"/>
    <w:rsid w:val="00FB4F61"/>
    <w:rsid w:val="00FC12BA"/>
    <w:rsid w:val="00FC2A89"/>
    <w:rsid w:val="00FC2EB6"/>
    <w:rsid w:val="00FC6FB9"/>
    <w:rsid w:val="00FD31AB"/>
    <w:rsid w:val="00FD7E03"/>
    <w:rsid w:val="00FE0150"/>
    <w:rsid w:val="00FE089C"/>
    <w:rsid w:val="00FE261E"/>
    <w:rsid w:val="00FE4359"/>
    <w:rsid w:val="00FF3DF7"/>
    <w:rsid w:val="0232E654"/>
    <w:rsid w:val="034FEB74"/>
    <w:rsid w:val="038592FE"/>
    <w:rsid w:val="04137A90"/>
    <w:rsid w:val="07060BAD"/>
    <w:rsid w:val="08827802"/>
    <w:rsid w:val="0AEE540B"/>
    <w:rsid w:val="10DDE784"/>
    <w:rsid w:val="12A5C062"/>
    <w:rsid w:val="1468F785"/>
    <w:rsid w:val="154927A2"/>
    <w:rsid w:val="173D9A94"/>
    <w:rsid w:val="17AC5D29"/>
    <w:rsid w:val="18BC3BDB"/>
    <w:rsid w:val="1976F079"/>
    <w:rsid w:val="19DBCAD5"/>
    <w:rsid w:val="19FBE39E"/>
    <w:rsid w:val="1A58FF55"/>
    <w:rsid w:val="1D83519F"/>
    <w:rsid w:val="1DE18D35"/>
    <w:rsid w:val="20622178"/>
    <w:rsid w:val="20757CB0"/>
    <w:rsid w:val="21ADBD0C"/>
    <w:rsid w:val="25BBF87E"/>
    <w:rsid w:val="2761EC0C"/>
    <w:rsid w:val="27F7A165"/>
    <w:rsid w:val="2A43F89F"/>
    <w:rsid w:val="2C3E86C8"/>
    <w:rsid w:val="2C7506C7"/>
    <w:rsid w:val="2FDFCD62"/>
    <w:rsid w:val="308D023B"/>
    <w:rsid w:val="30E1AF91"/>
    <w:rsid w:val="30FFB2D7"/>
    <w:rsid w:val="31F4B571"/>
    <w:rsid w:val="341F9A20"/>
    <w:rsid w:val="349FCA73"/>
    <w:rsid w:val="359C0DE3"/>
    <w:rsid w:val="377DD86C"/>
    <w:rsid w:val="3816831D"/>
    <w:rsid w:val="3FE0111C"/>
    <w:rsid w:val="4100904E"/>
    <w:rsid w:val="4128C873"/>
    <w:rsid w:val="42155DBE"/>
    <w:rsid w:val="43175B55"/>
    <w:rsid w:val="4317CA94"/>
    <w:rsid w:val="43730EA3"/>
    <w:rsid w:val="454B9C7C"/>
    <w:rsid w:val="46371CC5"/>
    <w:rsid w:val="47A3F291"/>
    <w:rsid w:val="4A838973"/>
    <w:rsid w:val="4B81F559"/>
    <w:rsid w:val="4BA7EC44"/>
    <w:rsid w:val="4BC162C1"/>
    <w:rsid w:val="51EC3EAF"/>
    <w:rsid w:val="569AACF9"/>
    <w:rsid w:val="5A41CB96"/>
    <w:rsid w:val="5AAA4F63"/>
    <w:rsid w:val="5AC51823"/>
    <w:rsid w:val="5B625F1B"/>
    <w:rsid w:val="611B46D6"/>
    <w:rsid w:val="61BF49C3"/>
    <w:rsid w:val="6523B284"/>
    <w:rsid w:val="65A8ED24"/>
    <w:rsid w:val="698F4A7D"/>
    <w:rsid w:val="6D4EEF51"/>
    <w:rsid w:val="7181B9CB"/>
    <w:rsid w:val="72506BC7"/>
    <w:rsid w:val="7273B656"/>
    <w:rsid w:val="736BB2C1"/>
    <w:rsid w:val="747F7852"/>
    <w:rsid w:val="7544B4C4"/>
    <w:rsid w:val="75773D5D"/>
    <w:rsid w:val="760E4D73"/>
    <w:rsid w:val="7753E1A3"/>
    <w:rsid w:val="7B4F07AF"/>
    <w:rsid w:val="7DF2BACA"/>
    <w:rsid w:val="7F62F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D9E8"/>
  <w15:docId w15:val="{5B3DE19F-6CD0-4A9D-9A5A-9333F9D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F3F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paragraph" w:styleId="Titolo1">
    <w:name w:val="heading 1"/>
    <w:basedOn w:val="Normale"/>
    <w:link w:val="Titolo1Carattere"/>
    <w:uiPriority w:val="9"/>
    <w:qFormat/>
    <w:rsid w:val="00882F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me">
    <w:name w:val="Name"/>
    <w:rsid w:val="005454AC"/>
    <w:rPr>
      <w:b/>
      <w:i w:val="0"/>
      <w:kern w:val="0"/>
      <w:u w:val="none"/>
      <w:vertAlign w:val="baseli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454A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54AC"/>
    <w:rPr>
      <w:rFonts w:ascii="Consolas" w:hAnsi="Consolas" w:cs="Courier New"/>
      <w:sz w:val="21"/>
      <w:szCs w:val="21"/>
    </w:rPr>
  </w:style>
  <w:style w:type="character" w:customStyle="1" w:styleId="ActiveLink">
    <w:name w:val="Active Link"/>
    <w:rsid w:val="005454AC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rsid w:val="005454AC"/>
    <w:rPr>
      <w:b w:val="0"/>
      <w:i w:val="0"/>
      <w:color w:val="FF0000"/>
      <w:kern w:val="0"/>
      <w:u w:val="none"/>
      <w:vertAlign w:val="baseline"/>
    </w:rPr>
  </w:style>
  <w:style w:type="paragraph" w:styleId="Nessunaspaziatura">
    <w:name w:val="No Spacing"/>
    <w:aliases w:val="~BaseStyle"/>
    <w:qFormat/>
    <w:rsid w:val="001D42BD"/>
    <w:pPr>
      <w:spacing w:after="0" w:line="240" w:lineRule="auto"/>
    </w:pPr>
    <w:rPr>
      <w:rFonts w:eastAsia="Batang"/>
      <w:lang w:val="en-GB" w:eastAsia="en-US"/>
    </w:rPr>
  </w:style>
  <w:style w:type="character" w:styleId="Collegamentoipertestuale">
    <w:name w:val="Hyperlink"/>
    <w:aliases w:val="~HyperLink"/>
    <w:basedOn w:val="Carpredefinitoparagrafo"/>
    <w:rsid w:val="001D42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D42B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D4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42BD"/>
    <w:pPr>
      <w:widowControl/>
    </w:pPr>
    <w:rPr>
      <w:rFonts w:asciiTheme="minorHAnsi" w:eastAsia="Batang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42BD"/>
    <w:rPr>
      <w:rFonts w:eastAsia="Batang"/>
      <w:sz w:val="20"/>
      <w:szCs w:val="20"/>
      <w:lang w:val="en-GB" w:eastAsia="en-US"/>
    </w:rPr>
  </w:style>
  <w:style w:type="paragraph" w:styleId="Paragrafoelenco">
    <w:name w:val="List Paragraph"/>
    <w:basedOn w:val="Normale"/>
    <w:uiPriority w:val="1"/>
    <w:qFormat/>
    <w:rsid w:val="001D42BD"/>
    <w:pPr>
      <w:widowControl/>
      <w:ind w:left="720"/>
      <w:contextualSpacing/>
    </w:pPr>
    <w:rPr>
      <w:rFonts w:asciiTheme="minorHAnsi" w:eastAsia="Batang" w:hAnsiTheme="minorHAnsi" w:cstheme="minorBidi"/>
      <w:sz w:val="22"/>
      <w:lang w:val="en-GB" w:eastAsia="en-US"/>
    </w:rPr>
  </w:style>
  <w:style w:type="paragraph" w:styleId="Didascalia">
    <w:name w:val="caption"/>
    <w:aliases w:val="~Caption"/>
    <w:basedOn w:val="Normale"/>
    <w:next w:val="Normale"/>
    <w:link w:val="DidascaliaCarattere"/>
    <w:uiPriority w:val="6"/>
    <w:qFormat/>
    <w:rsid w:val="001D42BD"/>
    <w:pPr>
      <w:keepNext/>
      <w:widowControl/>
      <w:tabs>
        <w:tab w:val="left" w:pos="851"/>
      </w:tabs>
      <w:spacing w:before="240" w:after="60" w:line="312" w:lineRule="auto"/>
    </w:pPr>
    <w:rPr>
      <w:rFonts w:asciiTheme="minorHAnsi" w:eastAsia="Calibri" w:hAnsiTheme="minorHAnsi" w:cs="Arial"/>
      <w:b/>
      <w:color w:val="000000" w:themeColor="text1"/>
      <w:sz w:val="18"/>
      <w:szCs w:val="18"/>
      <w:lang w:eastAsia="en-US"/>
    </w:rPr>
  </w:style>
  <w:style w:type="character" w:customStyle="1" w:styleId="DidascaliaCarattere">
    <w:name w:val="Didascalia Carattere"/>
    <w:aliases w:val="~Caption Carattere"/>
    <w:basedOn w:val="Carpredefinitoparagrafo"/>
    <w:link w:val="Didascalia"/>
    <w:uiPriority w:val="6"/>
    <w:rsid w:val="001D42BD"/>
    <w:rPr>
      <w:rFonts w:eastAsia="Calibri" w:cs="Arial"/>
      <w:b/>
      <w:color w:val="000000" w:themeColor="text1"/>
      <w:sz w:val="18"/>
      <w:szCs w:val="18"/>
      <w:lang w:eastAsia="en-US"/>
    </w:rPr>
  </w:style>
  <w:style w:type="paragraph" w:customStyle="1" w:styleId="GraphicLeft">
    <w:name w:val="~GraphicLeft"/>
    <w:basedOn w:val="Nessunaspaziatura"/>
    <w:uiPriority w:val="14"/>
    <w:qFormat/>
    <w:rsid w:val="001D42BD"/>
    <w:rPr>
      <w:color w:val="000000" w:themeColor="text1"/>
      <w:sz w:val="18"/>
      <w:szCs w:val="20"/>
      <w:lang w:val="en-US"/>
    </w:rPr>
  </w:style>
  <w:style w:type="paragraph" w:customStyle="1" w:styleId="Source">
    <w:name w:val="~Source"/>
    <w:basedOn w:val="Normale"/>
    <w:next w:val="Normale"/>
    <w:uiPriority w:val="14"/>
    <w:qFormat/>
    <w:rsid w:val="001D42BD"/>
    <w:pPr>
      <w:widowControl/>
      <w:spacing w:before="60" w:after="120" w:line="312" w:lineRule="auto"/>
    </w:pPr>
    <w:rPr>
      <w:rFonts w:asciiTheme="minorHAnsi" w:eastAsia="Calibri" w:hAnsiTheme="minorHAnsi" w:cs="Arial"/>
      <w:i/>
      <w:color w:val="000000" w:themeColor="text1"/>
      <w:sz w:val="18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B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902"/>
    <w:pPr>
      <w:widowControl w:val="0"/>
    </w:pPr>
    <w:rPr>
      <w:rFonts w:ascii="Courier New" w:eastAsiaTheme="minorEastAsia" w:hAnsi="Courier New" w:cs="Courier New"/>
      <w:b/>
      <w:bCs/>
      <w:lang w:val="en-US"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902"/>
    <w:rPr>
      <w:rFonts w:ascii="Courier New" w:eastAsia="Batang" w:hAnsi="Courier New" w:cs="Courier New"/>
      <w:b/>
      <w:bCs/>
      <w:sz w:val="20"/>
      <w:szCs w:val="20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C46"/>
    <w:rPr>
      <w:rFonts w:ascii="Courier New" w:hAnsi="Courier New" w:cs="Courier New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C46"/>
    <w:rPr>
      <w:rFonts w:ascii="Courier New" w:hAnsi="Courier New" w:cs="Courier New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7A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A65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7A65"/>
    <w:rPr>
      <w:vertAlign w:val="superscript"/>
    </w:rPr>
  </w:style>
  <w:style w:type="paragraph" w:styleId="Revisione">
    <w:name w:val="Revision"/>
    <w:hidden/>
    <w:uiPriority w:val="99"/>
    <w:semiHidden/>
    <w:rsid w:val="005423D6"/>
    <w:pPr>
      <w:spacing w:after="0" w:line="240" w:lineRule="auto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uiPriority w:val="99"/>
    <w:unhideWhenUsed/>
    <w:rsid w:val="005A38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15C9A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13DD5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5F5DED"/>
    <w:pPr>
      <w:widowControl/>
    </w:pPr>
    <w:rPr>
      <w:rFonts w:ascii="Calibri" w:eastAsiaTheme="minorHAnsi" w:hAnsi="Calibri" w:cs="Calibri"/>
      <w:sz w:val="22"/>
      <w:lang w:val="es-ES" w:eastAsia="es-ES"/>
    </w:rPr>
  </w:style>
  <w:style w:type="character" w:styleId="Enfasicorsivo">
    <w:name w:val="Emphasis"/>
    <w:basedOn w:val="Carpredefinitoparagrafo"/>
    <w:uiPriority w:val="20"/>
    <w:qFormat/>
    <w:rsid w:val="003E6F47"/>
    <w:rPr>
      <w:i/>
      <w:iCs/>
    </w:rPr>
  </w:style>
  <w:style w:type="paragraph" w:customStyle="1" w:styleId="paragraph">
    <w:name w:val="paragraph"/>
    <w:basedOn w:val="Normale"/>
    <w:rsid w:val="00394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altextrun">
    <w:name w:val="normaltextrun"/>
    <w:basedOn w:val="Carpredefinitoparagrafo"/>
    <w:rsid w:val="00394462"/>
  </w:style>
  <w:style w:type="character" w:customStyle="1" w:styleId="eop">
    <w:name w:val="eop"/>
    <w:basedOn w:val="Carpredefinitoparagrafo"/>
    <w:rsid w:val="00394462"/>
  </w:style>
  <w:style w:type="character" w:customStyle="1" w:styleId="spellingerror">
    <w:name w:val="spellingerror"/>
    <w:basedOn w:val="Carpredefinitoparagrafo"/>
    <w:rsid w:val="00394462"/>
  </w:style>
  <w:style w:type="character" w:customStyle="1" w:styleId="Mencinsinresolver2">
    <w:name w:val="Mención sin resolver2"/>
    <w:basedOn w:val="Carpredefinitoparagrafo"/>
    <w:uiPriority w:val="99"/>
    <w:semiHidden/>
    <w:unhideWhenUsed/>
    <w:rsid w:val="003944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245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E1DA8"/>
    <w:pPr>
      <w:spacing w:after="0" w:line="240" w:lineRule="auto"/>
    </w:pPr>
    <w:rPr>
      <w:sz w:val="21"/>
      <w:szCs w:val="2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2F3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contextualspellingandgrammarerror">
    <w:name w:val="contextualspellingandgrammarerror"/>
    <w:basedOn w:val="Carpredefinitoparagrafo"/>
    <w:rsid w:val="002F7D9B"/>
  </w:style>
  <w:style w:type="character" w:customStyle="1" w:styleId="Mencinsinresolver3">
    <w:name w:val="Mención sin resolver3"/>
    <w:basedOn w:val="Carpredefinitoparagrafo"/>
    <w:uiPriority w:val="99"/>
    <w:semiHidden/>
    <w:unhideWhenUsed/>
    <w:rsid w:val="001E1E44"/>
    <w:rPr>
      <w:color w:val="605E5C"/>
      <w:shd w:val="clear" w:color="auto" w:fill="E1DFDD"/>
    </w:rPr>
  </w:style>
  <w:style w:type="character" w:customStyle="1" w:styleId="A7">
    <w:name w:val="A7"/>
    <w:uiPriority w:val="99"/>
    <w:rsid w:val="00655259"/>
    <w:rPr>
      <w:rFonts w:cs="Univers LT Std"/>
      <w:color w:val="221E1F"/>
      <w:sz w:val="14"/>
      <w:szCs w:val="14"/>
    </w:rPr>
  </w:style>
  <w:style w:type="paragraph" w:customStyle="1" w:styleId="ContactPara">
    <w:name w:val="ContactPara"/>
    <w:basedOn w:val="Normale"/>
    <w:link w:val="ContactParaChar"/>
    <w:rsid w:val="0072259C"/>
    <w:pPr>
      <w:widowControl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tactParaChar">
    <w:name w:val="ContactPara Char"/>
    <w:link w:val="ContactPara"/>
    <w:rsid w:val="0072259C"/>
    <w:rPr>
      <w:rFonts w:ascii="Arial" w:eastAsia="Times New Roman" w:hAnsi="Arial" w:cs="Arial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632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F477B"/>
    <w:rPr>
      <w:rFonts w:ascii="Segoe UI" w:hAnsi="Segoe UI" w:cs="Segoe UI" w:hint="default"/>
      <w:color w:val="333F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aton.com/content/dam/eaton/company/news-insights/eaton-210917_rea-etri-2022-en-us.pdf" TargetMode="External"/><Relationship Id="rId18" Type="http://schemas.openxmlformats.org/officeDocument/2006/relationships/hyperlink" Target="http://www.eaton.com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mailto:marcom-italia@eaton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aton.com/it/it-it/company/news-insights/energy-transition/buildings-as-a-grid.html?source=post:1681678193008231548" TargetMode="External"/><Relationship Id="rId17" Type="http://schemas.openxmlformats.org/officeDocument/2006/relationships/hyperlink" Target="https://www.eaton.com/it/it-it/company/news-insights/energy-transition/buildings-as-a-grid.html?source=post:168167819300823154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yperlink" Target="https://www.linkedin.com/company/eat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orian-hotels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-e-a.net/events/energy-transition-readiness-index-etri-2023-london-launch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witter.com/eatoncor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-e-a.ne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5650822F244DBCE2D4F6994E6F20" ma:contentTypeVersion="5" ma:contentTypeDescription="Create a new document." ma:contentTypeScope="" ma:versionID="e05903416fb9d59a85378ab82b234325">
  <xsd:schema xmlns:xsd="http://www.w3.org/2001/XMLSchema" xmlns:xs="http://www.w3.org/2001/XMLSchema" xmlns:p="http://schemas.microsoft.com/office/2006/metadata/properties" xmlns:ns2="cd062533-5875-423a-9bdf-b59ec714f41f" xmlns:ns3="c46354fa-0ed2-4d0d-9858-4def69d791cc" targetNamespace="http://schemas.microsoft.com/office/2006/metadata/properties" ma:root="true" ma:fieldsID="3d644eda440b15a8989629a5ba317e26" ns2:_="" ns3:_="">
    <xsd:import namespace="cd062533-5875-423a-9bdf-b59ec714f41f"/>
    <xsd:import namespace="c46354fa-0ed2-4d0d-9858-4def69d79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2533-5875-423a-9bdf-b59ec714f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4fa-0ed2-4d0d-9858-4def69d79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62533-5875-423a-9bdf-b59ec714f41f">
      <UserInfo>
        <DisplayName>Alice Zerbinati</DisplayName>
        <AccountId>318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8967AF-4288-4509-AE8A-97092657C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2533-5875-423a-9bdf-b59ec714f41f"/>
    <ds:schemaRef ds:uri="c46354fa-0ed2-4d0d-9858-4def69d79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D8CC0-AB77-4FD6-B97D-F5260DF87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057380-E9B1-402B-BAF3-BF5C7E144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1C44C-E2D8-4204-B7DC-6B68C29865EC}">
  <ds:schemaRefs>
    <ds:schemaRef ds:uri="http://schemas.microsoft.com/office/2006/metadata/properties"/>
    <ds:schemaRef ds:uri="http://schemas.microsoft.com/office/infopath/2007/PartnerControls"/>
    <ds:schemaRef ds:uri="cd062533-5875-423a-9bdf-b59ec714f4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Bloomberg LP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vhenze</dc:creator>
  <cp:keywords/>
  <dc:description/>
  <cp:lastModifiedBy>Chiara Parma</cp:lastModifiedBy>
  <cp:revision>20</cp:revision>
  <cp:lastPrinted>2020-01-15T10:39:00Z</cp:lastPrinted>
  <dcterms:created xsi:type="dcterms:W3CDTF">2023-09-13T10:03:00Z</dcterms:created>
  <dcterms:modified xsi:type="dcterms:W3CDTF">2023-09-25T07:55:00Z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0x01010022095650822F244DBCE2D4F6994E6F20</vt:lpwstr>
  </property>
</Properties>
</file>