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A9CA" w14:textId="77777777" w:rsidR="00E23E68" w:rsidRDefault="00E23E68">
      <w:pPr>
        <w:widowControl w:val="0"/>
        <w:pBdr>
          <w:top w:val="nil"/>
          <w:left w:val="nil"/>
          <w:bottom w:val="nil"/>
          <w:right w:val="nil"/>
          <w:between w:val="nil"/>
        </w:pBdr>
        <w:rPr>
          <w:color w:val="000000"/>
        </w:rPr>
      </w:pPr>
      <w:bookmarkStart w:id="0" w:name="_heading=h.1fob9te" w:colFirst="0" w:colLast="0"/>
      <w:bookmarkStart w:id="1" w:name="_GoBack"/>
      <w:bookmarkEnd w:id="0"/>
      <w:bookmarkEnd w:id="1"/>
    </w:p>
    <w:tbl>
      <w:tblPr>
        <w:tblStyle w:val="a6"/>
        <w:tblW w:w="9786" w:type="dxa"/>
        <w:tblInd w:w="-113" w:type="dxa"/>
        <w:tblBorders>
          <w:top w:val="nil"/>
          <w:left w:val="nil"/>
          <w:bottom w:val="nil"/>
          <w:right w:val="nil"/>
          <w:insideH w:val="nil"/>
          <w:insideV w:val="nil"/>
        </w:tblBorders>
        <w:tblLayout w:type="fixed"/>
        <w:tblLook w:val="0400" w:firstRow="0" w:lastRow="0" w:firstColumn="0" w:lastColumn="0" w:noHBand="0" w:noVBand="1"/>
      </w:tblPr>
      <w:tblGrid>
        <w:gridCol w:w="3246"/>
        <w:gridCol w:w="6540"/>
      </w:tblGrid>
      <w:tr w:rsidR="00E23E68" w14:paraId="141B3D2C" w14:textId="77777777">
        <w:trPr>
          <w:trHeight w:val="2239"/>
        </w:trPr>
        <w:tc>
          <w:tcPr>
            <w:tcW w:w="3246" w:type="dxa"/>
            <w:vAlign w:val="center"/>
          </w:tcPr>
          <w:p w14:paraId="5BBDAD5B" w14:textId="77777777" w:rsidR="00E23E68" w:rsidRDefault="009C61F3">
            <w:pPr>
              <w:jc w:val="center"/>
            </w:pPr>
            <w:r>
              <w:rPr>
                <w:noProof/>
              </w:rPr>
              <w:drawing>
                <wp:inline distT="0" distB="0" distL="0" distR="0" wp14:anchorId="55B0593F" wp14:editId="695CA0C6">
                  <wp:extent cx="1978015" cy="66102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78015" cy="661029"/>
                          </a:xfrm>
                          <a:prstGeom prst="rect">
                            <a:avLst/>
                          </a:prstGeom>
                          <a:ln/>
                        </pic:spPr>
                      </pic:pic>
                    </a:graphicData>
                  </a:graphic>
                </wp:inline>
              </w:drawing>
            </w:r>
          </w:p>
          <w:p w14:paraId="16B06962" w14:textId="77777777" w:rsidR="00E23E68" w:rsidRDefault="009C61F3">
            <w:pPr>
              <w:tabs>
                <w:tab w:val="left" w:pos="560"/>
                <w:tab w:val="left" w:pos="900"/>
                <w:tab w:val="left" w:pos="6521"/>
                <w:tab w:val="left" w:pos="7797"/>
              </w:tabs>
              <w:jc w:val="center"/>
              <w:rPr>
                <w:rFonts w:ascii="Arial" w:eastAsia="Arial" w:hAnsi="Arial" w:cs="Arial"/>
                <w:i/>
                <w:color w:val="2170A5"/>
                <w:sz w:val="18"/>
                <w:szCs w:val="18"/>
              </w:rPr>
            </w:pPr>
            <w:r>
              <w:rPr>
                <w:rFonts w:ascii="Arial" w:eastAsia="Arial" w:hAnsi="Arial" w:cs="Arial"/>
                <w:i/>
                <w:color w:val="2170A5"/>
                <w:sz w:val="18"/>
                <w:szCs w:val="18"/>
              </w:rPr>
              <w:t>Viale Regina Elena, 299</w:t>
            </w:r>
          </w:p>
          <w:p w14:paraId="08C7889B" w14:textId="77777777" w:rsidR="00E23E68" w:rsidRDefault="009C61F3">
            <w:pPr>
              <w:tabs>
                <w:tab w:val="left" w:pos="560"/>
                <w:tab w:val="left" w:pos="900"/>
                <w:tab w:val="left" w:pos="6521"/>
                <w:tab w:val="left" w:pos="7797"/>
              </w:tabs>
              <w:jc w:val="center"/>
              <w:rPr>
                <w:rFonts w:ascii="Arial" w:eastAsia="Arial" w:hAnsi="Arial" w:cs="Arial"/>
                <w:i/>
                <w:color w:val="2170A5"/>
                <w:sz w:val="18"/>
                <w:szCs w:val="18"/>
              </w:rPr>
            </w:pPr>
            <w:r>
              <w:rPr>
                <w:rFonts w:ascii="Arial" w:eastAsia="Arial" w:hAnsi="Arial" w:cs="Arial"/>
                <w:i/>
                <w:color w:val="2170A5"/>
                <w:sz w:val="18"/>
                <w:szCs w:val="18"/>
              </w:rPr>
              <w:t>00161 Roma</w:t>
            </w:r>
          </w:p>
          <w:p w14:paraId="69D05808" w14:textId="77777777" w:rsidR="00E23E68" w:rsidRDefault="009C61F3">
            <w:pPr>
              <w:tabs>
                <w:tab w:val="left" w:pos="360"/>
                <w:tab w:val="left" w:pos="6521"/>
                <w:tab w:val="left" w:pos="7797"/>
              </w:tabs>
              <w:ind w:left="39"/>
              <w:rPr>
                <w:rFonts w:ascii="Arial" w:eastAsia="Arial" w:hAnsi="Arial" w:cs="Arial"/>
                <w:color w:val="2170A5"/>
                <w:sz w:val="18"/>
                <w:szCs w:val="18"/>
              </w:rPr>
            </w:pPr>
            <w:r>
              <w:rPr>
                <w:rFonts w:ascii="Arial" w:eastAsia="Arial" w:hAnsi="Arial" w:cs="Arial"/>
                <w:color w:val="2170A5"/>
                <w:sz w:val="18"/>
                <w:szCs w:val="18"/>
              </w:rPr>
              <w:t>-------------------------------------------------</w:t>
            </w:r>
          </w:p>
          <w:p w14:paraId="78CE0DCF" w14:textId="77777777" w:rsidR="00E23E68" w:rsidRDefault="009C61F3">
            <w:pPr>
              <w:keepNext/>
              <w:tabs>
                <w:tab w:val="left" w:pos="426"/>
              </w:tabs>
              <w:ind w:left="39"/>
              <w:jc w:val="center"/>
              <w:rPr>
                <w:rFonts w:ascii="Arial" w:eastAsia="Arial" w:hAnsi="Arial" w:cs="Arial"/>
                <w:sz w:val="18"/>
                <w:szCs w:val="18"/>
              </w:rPr>
            </w:pPr>
            <w:bookmarkStart w:id="2" w:name="_Hlk146615831"/>
            <w:r>
              <w:rPr>
                <w:rFonts w:ascii="Arial" w:eastAsia="Arial" w:hAnsi="Arial" w:cs="Arial"/>
                <w:sz w:val="18"/>
                <w:szCs w:val="18"/>
              </w:rPr>
              <w:t>Tel.</w:t>
            </w:r>
            <w:r>
              <w:rPr>
                <w:rFonts w:ascii="Arial" w:eastAsia="Arial" w:hAnsi="Arial" w:cs="Arial"/>
                <w:sz w:val="18"/>
                <w:szCs w:val="18"/>
              </w:rPr>
              <w:tab/>
              <w:t xml:space="preserve"> +39 06 4990.6601</w:t>
            </w:r>
          </w:p>
          <w:p w14:paraId="13F4B56A" w14:textId="77777777" w:rsidR="00E23E68" w:rsidRDefault="009C61F3">
            <w:pPr>
              <w:keepNext/>
              <w:tabs>
                <w:tab w:val="left" w:pos="426"/>
              </w:tabs>
              <w:ind w:left="39"/>
              <w:jc w:val="center"/>
              <w:rPr>
                <w:rFonts w:ascii="Arial" w:eastAsia="Arial" w:hAnsi="Arial" w:cs="Arial"/>
                <w:b/>
                <w:color w:val="548DD4"/>
                <w:sz w:val="18"/>
                <w:szCs w:val="18"/>
              </w:rPr>
            </w:pPr>
            <w:r>
              <w:rPr>
                <w:rFonts w:ascii="Arial" w:eastAsia="Arial" w:hAnsi="Arial" w:cs="Arial"/>
                <w:sz w:val="18"/>
                <w:szCs w:val="18"/>
              </w:rPr>
              <w:t xml:space="preserve">e-mail: </w:t>
            </w:r>
            <w:hyperlink r:id="rId7">
              <w:r>
                <w:rPr>
                  <w:rFonts w:ascii="Arial" w:eastAsia="Arial" w:hAnsi="Arial" w:cs="Arial"/>
                  <w:b/>
                  <w:color w:val="548DD4"/>
                  <w:sz w:val="18"/>
                  <w:szCs w:val="18"/>
                  <w:u w:val="single"/>
                </w:rPr>
                <w:t>ufficio.stampa@iss.it</w:t>
              </w:r>
            </w:hyperlink>
          </w:p>
          <w:p w14:paraId="2DE056AF" w14:textId="77777777" w:rsidR="00E23E68" w:rsidRDefault="00017CF9">
            <w:pPr>
              <w:ind w:left="39"/>
              <w:jc w:val="center"/>
              <w:rPr>
                <w:rFonts w:ascii="Arial" w:eastAsia="Arial" w:hAnsi="Arial" w:cs="Arial"/>
                <w:i/>
                <w:color w:val="2170A5"/>
                <w:sz w:val="18"/>
                <w:szCs w:val="18"/>
              </w:rPr>
            </w:pPr>
            <w:hyperlink r:id="rId8">
              <w:r w:rsidR="009C61F3">
                <w:rPr>
                  <w:rFonts w:ascii="Arial" w:eastAsia="Arial" w:hAnsi="Arial" w:cs="Arial"/>
                  <w:b/>
                  <w:color w:val="548DD4"/>
                  <w:sz w:val="18"/>
                  <w:szCs w:val="18"/>
                  <w:u w:val="single"/>
                </w:rPr>
                <w:t>www.iss.it</w:t>
              </w:r>
            </w:hyperlink>
            <w:bookmarkEnd w:id="2"/>
          </w:p>
        </w:tc>
        <w:tc>
          <w:tcPr>
            <w:tcW w:w="6540" w:type="dxa"/>
          </w:tcPr>
          <w:p w14:paraId="126A53BD" w14:textId="5552804E" w:rsidR="00E23E68" w:rsidRDefault="007C7262">
            <w:pPr>
              <w:jc w:val="right"/>
            </w:pPr>
            <w:r>
              <w:rPr>
                <w:rFonts w:ascii="Calibri" w:eastAsia="Calibri" w:hAnsi="Calibri" w:cs="Calibri"/>
                <w:noProof/>
                <w:sz w:val="28"/>
                <w:szCs w:val="28"/>
              </w:rPr>
              <w:drawing>
                <wp:inline distT="0" distB="0" distL="0" distR="0" wp14:anchorId="59111D6E" wp14:editId="625CE5C8">
                  <wp:extent cx="2564765" cy="1174114"/>
                  <wp:effectExtent l="0" t="0" r="6985" b="7620"/>
                  <wp:docPr id="1773737743"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737743" name="Immagine 1" descr="Immagine che contiene testo, Carattere, logo, simbol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2594544" cy="1187746"/>
                          </a:xfrm>
                          <a:prstGeom prst="rect">
                            <a:avLst/>
                          </a:prstGeom>
                        </pic:spPr>
                      </pic:pic>
                    </a:graphicData>
                  </a:graphic>
                </wp:inline>
              </w:drawing>
            </w:r>
          </w:p>
        </w:tc>
      </w:tr>
    </w:tbl>
    <w:p w14:paraId="74068DB5" w14:textId="77777777" w:rsidR="00E23E68" w:rsidRDefault="00E23E68">
      <w:pPr>
        <w:jc w:val="both"/>
        <w:rPr>
          <w:rFonts w:ascii="Calibri" w:eastAsia="Calibri" w:hAnsi="Calibri" w:cs="Calibri"/>
          <w:sz w:val="28"/>
          <w:szCs w:val="28"/>
        </w:rPr>
      </w:pPr>
    </w:p>
    <w:p w14:paraId="3A7758F5" w14:textId="03618834" w:rsidR="00E23E68" w:rsidRDefault="009C61F3">
      <w:pPr>
        <w:spacing w:line="240" w:lineRule="auto"/>
        <w:jc w:val="right"/>
        <w:rPr>
          <w:rFonts w:ascii="Calibri" w:eastAsia="Calibri" w:hAnsi="Calibri" w:cs="Calibri"/>
          <w:sz w:val="28"/>
          <w:szCs w:val="28"/>
        </w:rPr>
      </w:pPr>
      <w:r>
        <w:rPr>
          <w:rFonts w:ascii="Calibri" w:eastAsia="Calibri" w:hAnsi="Calibri" w:cs="Calibri"/>
          <w:sz w:val="28"/>
          <w:szCs w:val="28"/>
        </w:rPr>
        <w:t>Roma, 2</w:t>
      </w:r>
      <w:r w:rsidR="007C7262">
        <w:rPr>
          <w:rFonts w:ascii="Calibri" w:eastAsia="Calibri" w:hAnsi="Calibri" w:cs="Calibri"/>
          <w:sz w:val="28"/>
          <w:szCs w:val="28"/>
        </w:rPr>
        <w:t>7</w:t>
      </w:r>
      <w:r>
        <w:rPr>
          <w:rFonts w:ascii="Calibri" w:eastAsia="Calibri" w:hAnsi="Calibri" w:cs="Calibri"/>
          <w:sz w:val="28"/>
          <w:szCs w:val="28"/>
        </w:rPr>
        <w:t xml:space="preserve"> settembre 2023</w:t>
      </w:r>
    </w:p>
    <w:p w14:paraId="0F9C80C1" w14:textId="77777777" w:rsidR="00E23E68" w:rsidRDefault="00E23E68">
      <w:pPr>
        <w:spacing w:line="240" w:lineRule="auto"/>
        <w:jc w:val="right"/>
        <w:rPr>
          <w:rFonts w:ascii="Calibri" w:eastAsia="Calibri" w:hAnsi="Calibri" w:cs="Calibri"/>
          <w:sz w:val="32"/>
          <w:szCs w:val="32"/>
        </w:rPr>
      </w:pPr>
    </w:p>
    <w:p w14:paraId="0204261D" w14:textId="77777777" w:rsidR="00E23E68" w:rsidRDefault="00E23E68">
      <w:pPr>
        <w:spacing w:line="240" w:lineRule="auto"/>
        <w:jc w:val="right"/>
        <w:rPr>
          <w:rFonts w:ascii="Calibri" w:eastAsia="Calibri" w:hAnsi="Calibri" w:cs="Calibri"/>
          <w:sz w:val="32"/>
          <w:szCs w:val="32"/>
        </w:rPr>
      </w:pPr>
    </w:p>
    <w:p w14:paraId="7436CA46" w14:textId="27B1F127" w:rsidR="00E23E68" w:rsidRDefault="009C61F3">
      <w:pPr>
        <w:spacing w:line="360" w:lineRule="auto"/>
        <w:jc w:val="center"/>
        <w:rPr>
          <w:rFonts w:ascii="Calibri" w:eastAsia="Calibri" w:hAnsi="Calibri" w:cs="Calibri"/>
          <w:b/>
          <w:sz w:val="40"/>
          <w:szCs w:val="40"/>
        </w:rPr>
      </w:pPr>
      <w:bookmarkStart w:id="3" w:name="_heading=h.gjdgxs" w:colFirst="0" w:colLast="0"/>
      <w:bookmarkEnd w:id="3"/>
      <w:r>
        <w:rPr>
          <w:rFonts w:ascii="Calibri" w:eastAsia="Calibri" w:hAnsi="Calibri" w:cs="Calibri"/>
          <w:b/>
          <w:sz w:val="40"/>
          <w:szCs w:val="40"/>
        </w:rPr>
        <w:t xml:space="preserve">Comunicato Stampa </w:t>
      </w:r>
    </w:p>
    <w:p w14:paraId="6A997316" w14:textId="77777777" w:rsidR="009C61F3" w:rsidRPr="0032079D" w:rsidRDefault="009C61F3" w:rsidP="009C61F3">
      <w:pPr>
        <w:rPr>
          <w:b/>
          <w:bCs/>
          <w:sz w:val="28"/>
          <w:szCs w:val="28"/>
        </w:rPr>
      </w:pPr>
      <w:r>
        <w:rPr>
          <w:b/>
          <w:bCs/>
          <w:sz w:val="28"/>
          <w:szCs w:val="28"/>
        </w:rPr>
        <w:t>Tumori: polmone, mortalità in calo negli ultimi 30 anni anche per le donne</w:t>
      </w:r>
    </w:p>
    <w:p w14:paraId="55542A44" w14:textId="77777777" w:rsidR="00E23E68" w:rsidRDefault="00E23E68">
      <w:pPr>
        <w:spacing w:after="160" w:line="259" w:lineRule="auto"/>
        <w:jc w:val="center"/>
        <w:rPr>
          <w:rFonts w:ascii="Calibri" w:eastAsia="Calibri" w:hAnsi="Calibri" w:cs="Calibri"/>
          <w:b/>
          <w:sz w:val="28"/>
          <w:szCs w:val="28"/>
        </w:rPr>
      </w:pPr>
    </w:p>
    <w:p w14:paraId="58CAF105" w14:textId="69DE9C3D" w:rsidR="009C61F3" w:rsidRPr="009C61F3" w:rsidRDefault="009C61F3" w:rsidP="009C61F3">
      <w:pPr>
        <w:spacing w:after="160" w:line="259" w:lineRule="auto"/>
        <w:jc w:val="both"/>
        <w:rPr>
          <w:rFonts w:ascii="Calibri" w:eastAsia="Calibri" w:hAnsi="Calibri" w:cs="Calibri"/>
          <w:sz w:val="28"/>
          <w:szCs w:val="28"/>
        </w:rPr>
      </w:pPr>
      <w:proofErr w:type="gramStart"/>
      <w:r w:rsidRPr="009C61F3">
        <w:rPr>
          <w:rFonts w:ascii="Calibri" w:eastAsia="Calibri" w:hAnsi="Calibri" w:cs="Calibri"/>
          <w:sz w:val="28"/>
          <w:szCs w:val="28"/>
        </w:rPr>
        <w:t>E’</w:t>
      </w:r>
      <w:proofErr w:type="gramEnd"/>
      <w:r w:rsidRPr="009C61F3">
        <w:rPr>
          <w:rFonts w:ascii="Calibri" w:eastAsia="Calibri" w:hAnsi="Calibri" w:cs="Calibri"/>
          <w:sz w:val="28"/>
          <w:szCs w:val="28"/>
        </w:rPr>
        <w:t xml:space="preserve"> in calo negli ultimi 30 anni la mortalità per tumore al polmone in Italia non solo tra gli uomini, come ampiamente documentato, ma anche tra le donne. Lo afferma uno </w:t>
      </w:r>
      <w:hyperlink r:id="rId10" w:history="1">
        <w:r w:rsidRPr="00BD7174">
          <w:rPr>
            <w:rStyle w:val="Collegamentoipertestuale"/>
            <w:rFonts w:ascii="Calibri" w:eastAsia="Calibri" w:hAnsi="Calibri" w:cs="Calibri"/>
            <w:sz w:val="28"/>
            <w:szCs w:val="28"/>
          </w:rPr>
          <w:t>studio</w:t>
        </w:r>
      </w:hyperlink>
      <w:r w:rsidRPr="009C61F3">
        <w:rPr>
          <w:rFonts w:ascii="Calibri" w:eastAsia="Calibri" w:hAnsi="Calibri" w:cs="Calibri"/>
          <w:sz w:val="28"/>
          <w:szCs w:val="28"/>
        </w:rPr>
        <w:t xml:space="preserve"> condotto da Istituto Superiore di Sanità, Istituto Nazionale di Statistica, Registro Tumori dell’Emilia-Romagna</w:t>
      </w:r>
      <w:r>
        <w:rPr>
          <w:rFonts w:ascii="Calibri" w:eastAsia="Calibri" w:hAnsi="Calibri" w:cs="Calibri"/>
          <w:sz w:val="28"/>
          <w:szCs w:val="28"/>
        </w:rPr>
        <w:t xml:space="preserve"> </w:t>
      </w:r>
      <w:r w:rsidRPr="009C61F3">
        <w:rPr>
          <w:rFonts w:ascii="Calibri" w:eastAsia="Calibri" w:hAnsi="Calibri" w:cs="Calibri"/>
          <w:sz w:val="28"/>
          <w:szCs w:val="28"/>
        </w:rPr>
        <w:t xml:space="preserve">e Università di Padova pubblicato dall’International Journal of Cancer. </w:t>
      </w:r>
    </w:p>
    <w:p w14:paraId="7C8D3A35" w14:textId="52A061F6" w:rsidR="009C61F3" w:rsidRPr="009C61F3" w:rsidRDefault="009C61F3" w:rsidP="009C61F3">
      <w:pPr>
        <w:spacing w:after="160" w:line="259" w:lineRule="auto"/>
        <w:jc w:val="both"/>
        <w:rPr>
          <w:rFonts w:ascii="Calibri" w:eastAsia="Calibri" w:hAnsi="Calibri" w:cs="Calibri"/>
          <w:sz w:val="28"/>
          <w:szCs w:val="28"/>
        </w:rPr>
      </w:pPr>
      <w:r w:rsidRPr="009C61F3">
        <w:rPr>
          <w:rFonts w:ascii="Calibri" w:eastAsia="Calibri" w:hAnsi="Calibri" w:cs="Calibri"/>
          <w:sz w:val="28"/>
          <w:szCs w:val="28"/>
        </w:rPr>
        <w:t>Lo studio, utilizzando la banca dati I</w:t>
      </w:r>
      <w:r>
        <w:rPr>
          <w:rFonts w:ascii="Calibri" w:eastAsia="Calibri" w:hAnsi="Calibri" w:cs="Calibri"/>
          <w:sz w:val="28"/>
          <w:szCs w:val="28"/>
        </w:rPr>
        <w:t>stat</w:t>
      </w:r>
      <w:r w:rsidRPr="009C61F3">
        <w:rPr>
          <w:rFonts w:ascii="Calibri" w:eastAsia="Calibri" w:hAnsi="Calibri" w:cs="Calibri"/>
          <w:sz w:val="28"/>
          <w:szCs w:val="28"/>
        </w:rPr>
        <w:t xml:space="preserve"> di mortalità per gli ultimi 30 anni, analizza l’andamento della mortalità per tumore al polmone utilizzando l’analisi per coorte di nascita come asse temporale principale e valutandone anche la diversa evoluzione a livello provinciale. Dall’analisi si conferma il declino generalizzato della mortalità negli uomini, a partire dal picco osservato nella generazione dei nati nel decennio 1920-1929 (tra questa coorte e l’ultima coorte osservata</w:t>
      </w:r>
      <w:r>
        <w:rPr>
          <w:rFonts w:ascii="Calibri" w:eastAsia="Calibri" w:hAnsi="Calibri" w:cs="Calibri"/>
          <w:sz w:val="28"/>
          <w:szCs w:val="28"/>
        </w:rPr>
        <w:t>, quella 1960-1969</w:t>
      </w:r>
      <w:r w:rsidR="007C7262">
        <w:rPr>
          <w:rFonts w:ascii="Calibri" w:eastAsia="Calibri" w:hAnsi="Calibri" w:cs="Calibri"/>
          <w:sz w:val="28"/>
          <w:szCs w:val="28"/>
        </w:rPr>
        <w:t>,</w:t>
      </w:r>
      <w:r w:rsidRPr="009C61F3">
        <w:rPr>
          <w:rFonts w:ascii="Calibri" w:eastAsia="Calibri" w:hAnsi="Calibri" w:cs="Calibri"/>
          <w:sz w:val="28"/>
          <w:szCs w:val="28"/>
        </w:rPr>
        <w:t xml:space="preserve"> il rischio diminuisce dell’83%). Nelle donne invece si osserva un picco nella coorte delle nate nel decennio 1955-1964, con un ritardo di circa 35 anni rispetto agli uomini, a cui fa seguito una decrescita (la coorte più giovane ha un rischio minore del 43%). Questi andamenti sono stati dimostrati per la prima volta grazie all’analisi per coorte di nascita e non sarebbero apprezzabili seguendo l’usuale approccio di periodo.</w:t>
      </w:r>
    </w:p>
    <w:p w14:paraId="50FF0AF3" w14:textId="6214FDB0" w:rsidR="009C61F3" w:rsidRPr="009C61F3" w:rsidRDefault="009C61F3" w:rsidP="009C61F3">
      <w:pPr>
        <w:spacing w:after="160" w:line="259" w:lineRule="auto"/>
        <w:jc w:val="both"/>
        <w:rPr>
          <w:rFonts w:ascii="Calibri" w:eastAsia="Calibri" w:hAnsi="Calibri" w:cs="Calibri"/>
          <w:sz w:val="28"/>
          <w:szCs w:val="28"/>
        </w:rPr>
      </w:pPr>
      <w:r w:rsidRPr="009C61F3">
        <w:rPr>
          <w:rFonts w:ascii="Calibri" w:eastAsia="Calibri" w:hAnsi="Calibri" w:cs="Calibri"/>
          <w:sz w:val="28"/>
          <w:szCs w:val="28"/>
        </w:rPr>
        <w:lastRenderedPageBreak/>
        <w:t>In Italia, come in altri paesi europei, maschi e femmine si trovano quindi in fasi diverse dell'epidemia di cancro al polmone, legate alle variazioni dei comportamenti e degli stili di vita. Dallo studio è emerso anche un forte differenziale geografico. Per le coorti più anziane nel paese si osserva un gradiente di mortalità nord-sud</w:t>
      </w:r>
      <w:r w:rsidR="007C7262">
        <w:rPr>
          <w:rFonts w:ascii="Calibri" w:eastAsia="Calibri" w:hAnsi="Calibri" w:cs="Calibri"/>
          <w:sz w:val="28"/>
          <w:szCs w:val="28"/>
        </w:rPr>
        <w:t>,</w:t>
      </w:r>
      <w:r w:rsidRPr="009C61F3">
        <w:rPr>
          <w:rFonts w:ascii="Calibri" w:eastAsia="Calibri" w:hAnsi="Calibri" w:cs="Calibri"/>
          <w:sz w:val="28"/>
          <w:szCs w:val="28"/>
        </w:rPr>
        <w:t xml:space="preserve"> con le regioni settentrionali a rischio maggiore</w:t>
      </w:r>
      <w:r w:rsidR="007C7262">
        <w:rPr>
          <w:rFonts w:ascii="Calibri" w:eastAsia="Calibri" w:hAnsi="Calibri" w:cs="Calibri"/>
          <w:sz w:val="28"/>
          <w:szCs w:val="28"/>
        </w:rPr>
        <w:t>,</w:t>
      </w:r>
      <w:r w:rsidRPr="009C61F3">
        <w:rPr>
          <w:rFonts w:ascii="Calibri" w:eastAsia="Calibri" w:hAnsi="Calibri" w:cs="Calibri"/>
          <w:sz w:val="28"/>
          <w:szCs w:val="28"/>
        </w:rPr>
        <w:t xml:space="preserve"> che è stato sostituito nelle coorti più giovani da un gradiente est-ovest</w:t>
      </w:r>
      <w:r w:rsidR="007C7262">
        <w:rPr>
          <w:rFonts w:ascii="Calibri" w:eastAsia="Calibri" w:hAnsi="Calibri" w:cs="Calibri"/>
          <w:sz w:val="28"/>
          <w:szCs w:val="28"/>
        </w:rPr>
        <w:t>,</w:t>
      </w:r>
      <w:r w:rsidRPr="009C61F3">
        <w:rPr>
          <w:rFonts w:ascii="Calibri" w:eastAsia="Calibri" w:hAnsi="Calibri" w:cs="Calibri"/>
          <w:sz w:val="28"/>
          <w:szCs w:val="28"/>
        </w:rPr>
        <w:t xml:space="preserve"> con le regioni occidentali a mortalità più elevata. Nelle coorti più giovani, Napoli è la provincia a più alta mortalità in Italia, sia tra gli uomini ma soprattutto tra le donne (nelle donne la coorte più giovane ha un rischio di mortalità di 2.2 volte la media nazionale). Questo andamento è coerente con una maggiore prevalenza dei fattori di rischio, soprattutto l’abitudine al fumo, per il tumore al polmone nelle popolazioni residenti nel sud-ovest del Paese. </w:t>
      </w:r>
    </w:p>
    <w:p w14:paraId="5B04795A" w14:textId="6353E451" w:rsidR="00E23E68" w:rsidRDefault="009C61F3" w:rsidP="009C61F3">
      <w:pPr>
        <w:spacing w:after="160" w:line="259" w:lineRule="auto"/>
        <w:jc w:val="both"/>
        <w:rPr>
          <w:rFonts w:ascii="Calibri" w:eastAsia="Calibri" w:hAnsi="Calibri" w:cs="Calibri"/>
          <w:sz w:val="28"/>
          <w:szCs w:val="28"/>
        </w:rPr>
      </w:pPr>
      <w:r w:rsidRPr="009C61F3">
        <w:rPr>
          <w:rFonts w:ascii="Calibri" w:eastAsia="Calibri" w:hAnsi="Calibri" w:cs="Calibri"/>
          <w:sz w:val="28"/>
          <w:szCs w:val="28"/>
        </w:rPr>
        <w:t>“Questo cambiamento – sottolineano gli autori - pone due problemi. Il primo, relativo alla disponibilità di terapie adeguate, è che il rischio massimo di mortalità osservato in quelle aree geografiche si correla ad una sopravvivenza netta (di tumore al polmone) a 5 anni standardizzata per età (Italia sud-occidentale maschi, 13%; femmine, 18%) più bassa che nel resto del Paese (Italia nord-orientale: maschi, 16%; femmine, 20%). Il secondo problema è che la progettazione delle campagne di prevenzione e disassuefazione dal fumo deve essere riconsiderata, per determinare se esse debbano essere adattate a una popolazione a rischio in evoluzione”.</w:t>
      </w:r>
    </w:p>
    <w:p w14:paraId="1EB7E4C0" w14:textId="77777777" w:rsidR="007C7262" w:rsidRDefault="007C7262" w:rsidP="009C61F3">
      <w:pPr>
        <w:spacing w:after="160" w:line="259" w:lineRule="auto"/>
        <w:jc w:val="both"/>
        <w:rPr>
          <w:rFonts w:ascii="Calibri" w:eastAsia="Calibri" w:hAnsi="Calibri" w:cs="Calibri"/>
          <w:sz w:val="28"/>
          <w:szCs w:val="28"/>
        </w:rPr>
      </w:pPr>
    </w:p>
    <w:p w14:paraId="135809A9" w14:textId="77777777"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UFFICIO STAMPA UNIVERSITA' DI PADOVA</w:t>
      </w:r>
    </w:p>
    <w:p w14:paraId="33774235" w14:textId="77777777"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Via VIII febbraio, 2 – 35122 Padova</w:t>
      </w:r>
    </w:p>
    <w:p w14:paraId="0133AC5F" w14:textId="77777777"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e-mail: stampa@unipd.it</w:t>
      </w:r>
    </w:p>
    <w:p w14:paraId="36686612" w14:textId="77777777"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http://www.unipd.it/comunicati</w:t>
      </w:r>
    </w:p>
    <w:p w14:paraId="23788634" w14:textId="5E2084CC" w:rsid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tel. 049-8273066/3041</w:t>
      </w:r>
    </w:p>
    <w:p w14:paraId="6B3E17B0" w14:textId="77777777" w:rsidR="007C7262" w:rsidRDefault="007C7262" w:rsidP="007C7262">
      <w:pPr>
        <w:spacing w:after="160" w:line="259" w:lineRule="auto"/>
        <w:jc w:val="both"/>
        <w:rPr>
          <w:rFonts w:ascii="Calibri" w:eastAsia="Calibri" w:hAnsi="Calibri" w:cs="Calibri"/>
        </w:rPr>
      </w:pPr>
    </w:p>
    <w:p w14:paraId="1E188804" w14:textId="557C9B3D" w:rsidR="007C7262" w:rsidRDefault="007C7262" w:rsidP="007C7262">
      <w:pPr>
        <w:spacing w:after="160" w:line="259" w:lineRule="auto"/>
        <w:jc w:val="both"/>
        <w:rPr>
          <w:rFonts w:ascii="Calibri" w:eastAsia="Calibri" w:hAnsi="Calibri" w:cs="Calibri"/>
        </w:rPr>
      </w:pPr>
      <w:r>
        <w:rPr>
          <w:rFonts w:ascii="Calibri" w:eastAsia="Calibri" w:hAnsi="Calibri" w:cs="Calibri"/>
        </w:rPr>
        <w:t>UFFICIO STAMPA ISS</w:t>
      </w:r>
    </w:p>
    <w:p w14:paraId="6C6B73BD" w14:textId="285C4762"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Tel. +39 06 4990.6601</w:t>
      </w:r>
    </w:p>
    <w:p w14:paraId="71441524" w14:textId="77777777"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e-mail: ufficio.stampa@iss.it</w:t>
      </w:r>
    </w:p>
    <w:p w14:paraId="024A3DA0" w14:textId="5BEBED1A" w:rsidR="007C7262" w:rsidRPr="007C7262" w:rsidRDefault="007C7262" w:rsidP="007C7262">
      <w:pPr>
        <w:spacing w:after="160" w:line="259" w:lineRule="auto"/>
        <w:jc w:val="both"/>
        <w:rPr>
          <w:rFonts w:ascii="Calibri" w:eastAsia="Calibri" w:hAnsi="Calibri" w:cs="Calibri"/>
        </w:rPr>
      </w:pPr>
      <w:r w:rsidRPr="007C7262">
        <w:rPr>
          <w:rFonts w:ascii="Calibri" w:eastAsia="Calibri" w:hAnsi="Calibri" w:cs="Calibri"/>
        </w:rPr>
        <w:t>www.iss.it</w:t>
      </w:r>
    </w:p>
    <w:sectPr w:rsidR="007C7262" w:rsidRPr="007C7262">
      <w:pgSz w:w="12240" w:h="15840"/>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80"/>
    <w:multiLevelType w:val="multilevel"/>
    <w:tmpl w:val="BA1A0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68"/>
    <w:rsid w:val="00017CF9"/>
    <w:rsid w:val="007C7262"/>
    <w:rsid w:val="009C61F3"/>
    <w:rsid w:val="00BD7174"/>
    <w:rsid w:val="00E13250"/>
    <w:rsid w:val="00E23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1262"/>
  <w15:docId w15:val="{3E475423-643F-44D4-8665-E9D5C895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table" w:customStyle="1" w:styleId="a">
    <w:basedOn w:val="TableNormal6"/>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A74374"/>
    <w:pPr>
      <w:ind w:left="720"/>
      <w:contextualSpacing/>
    </w:pPr>
  </w:style>
  <w:style w:type="paragraph" w:styleId="NormaleWeb">
    <w:name w:val="Normal (Web)"/>
    <w:basedOn w:val="Normale"/>
    <w:uiPriority w:val="99"/>
    <w:unhideWhenUsed/>
    <w:rsid w:val="00A743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6"/>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5"/>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5"/>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3"/>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2"/>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BD7174"/>
    <w:rPr>
      <w:color w:val="0000FF" w:themeColor="hyperlink"/>
      <w:u w:val="single"/>
    </w:rPr>
  </w:style>
  <w:style w:type="character" w:customStyle="1" w:styleId="UnresolvedMention">
    <w:name w:val="Unresolved Mention"/>
    <w:basedOn w:val="Carpredefinitoparagrafo"/>
    <w:uiPriority w:val="99"/>
    <w:semiHidden/>
    <w:unhideWhenUsed/>
    <w:rsid w:val="00BD7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it/" TargetMode="External"/><Relationship Id="rId3" Type="http://schemas.openxmlformats.org/officeDocument/2006/relationships/styles" Target="styles.xml"/><Relationship Id="rId7" Type="http://schemas.openxmlformats.org/officeDocument/2006/relationships/hyperlink" Target="mailto:ufficio.stampa@iss.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library.wiley.com/doi/10.1002/ijc.34657"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LptJSQUQlSV4TACk5E1/FDJrTw==">AMUW2mUT1AH3PNtr1avLqnO+bsZRy/xfhJA3u60e8GblzENH5nDvYoaj4FJUs1XoDKzeJ61AUdbzmttH3qSq9vdmxYwrYnoyexwyzUcGuS8eeA6RPkJBTxybW7Y9EPFSbGSF+F/VgW8ZUDR1pGkmoboiZvRJMNCFvw==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Malloni Pier David</dc:creator>
  <cp:lastModifiedBy>Milan Marco</cp:lastModifiedBy>
  <cp:revision>2</cp:revision>
  <dcterms:created xsi:type="dcterms:W3CDTF">2023-09-26T10:27:00Z</dcterms:created>
  <dcterms:modified xsi:type="dcterms:W3CDTF">2023-09-26T10:27:00Z</dcterms:modified>
</cp:coreProperties>
</file>