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0269" w14:textId="3C02E2F5" w:rsidR="00660367" w:rsidRPr="00A33B15" w:rsidRDefault="00202DF2" w:rsidP="00847CA1">
      <w:pPr>
        <w:rPr>
          <w:rFonts w:ascii="Calibri" w:eastAsia="Times New Roman" w:hAnsi="Calibri" w:cs="Calibri"/>
          <w:b/>
          <w:bCs/>
          <w:kern w:val="36"/>
          <w:sz w:val="22"/>
          <w:szCs w:val="22"/>
          <w:lang w:val="it-IT" w:eastAsia="en-GB"/>
          <w14:ligatures w14:val="none"/>
        </w:rPr>
      </w:pPr>
      <w:r w:rsidRPr="00A33B15">
        <w:rPr>
          <w:rFonts w:ascii="Calibri" w:eastAsia="Times New Roman" w:hAnsi="Calibri" w:cs="Calibri"/>
          <w:b/>
          <w:bCs/>
          <w:kern w:val="36"/>
          <w:sz w:val="22"/>
          <w:szCs w:val="22"/>
          <w:lang w:val="it-IT" w:eastAsia="en-GB"/>
          <w14:ligatures w14:val="none"/>
        </w:rPr>
        <w:t>Schroders: m</w:t>
      </w:r>
      <w:r w:rsidR="00847CA1" w:rsidRPr="00A33B15">
        <w:rPr>
          <w:rFonts w:ascii="Calibri" w:eastAsia="Times New Roman" w:hAnsi="Calibri" w:cs="Calibri"/>
          <w:b/>
          <w:bCs/>
          <w:kern w:val="36"/>
          <w:sz w:val="22"/>
          <w:szCs w:val="22"/>
          <w:lang w:val="it-IT" w:eastAsia="en-GB"/>
          <w14:ligatures w14:val="none"/>
        </w:rPr>
        <w:t>ercati azionari della sostenibilità</w:t>
      </w:r>
      <w:r w:rsidRPr="00A33B15">
        <w:rPr>
          <w:rFonts w:ascii="Calibri" w:eastAsia="Times New Roman" w:hAnsi="Calibri" w:cs="Calibri"/>
          <w:b/>
          <w:bCs/>
          <w:kern w:val="36"/>
          <w:sz w:val="22"/>
          <w:szCs w:val="22"/>
          <w:lang w:val="it-IT" w:eastAsia="en-GB"/>
          <w14:ligatures w14:val="none"/>
        </w:rPr>
        <w:t>,</w:t>
      </w:r>
      <w:r w:rsidR="00847CA1" w:rsidRPr="00A33B15">
        <w:rPr>
          <w:rFonts w:ascii="Calibri" w:eastAsia="Times New Roman" w:hAnsi="Calibri" w:cs="Calibri"/>
          <w:b/>
          <w:bCs/>
          <w:kern w:val="36"/>
          <w:sz w:val="22"/>
          <w:szCs w:val="22"/>
          <w:lang w:val="it-IT" w:eastAsia="en-GB"/>
          <w14:ligatures w14:val="none"/>
        </w:rPr>
        <w:t xml:space="preserve"> i </w:t>
      </w:r>
      <w:r w:rsidR="001B7963">
        <w:rPr>
          <w:rFonts w:ascii="Calibri" w:eastAsia="Times New Roman" w:hAnsi="Calibri" w:cs="Calibri"/>
          <w:b/>
          <w:bCs/>
          <w:kern w:val="36"/>
          <w:sz w:val="22"/>
          <w:szCs w:val="22"/>
          <w:lang w:val="it-IT" w:eastAsia="en-GB"/>
          <w14:ligatures w14:val="none"/>
        </w:rPr>
        <w:t>migliori e i peggiori</w:t>
      </w:r>
    </w:p>
    <w:p w14:paraId="0368780D" w14:textId="77777777" w:rsidR="00202DF2" w:rsidRPr="00A33B15" w:rsidRDefault="00202DF2" w:rsidP="00847CA1">
      <w:pPr>
        <w:rPr>
          <w:rFonts w:ascii="Calibri" w:eastAsia="Times New Roman" w:hAnsi="Calibri" w:cs="Calibri"/>
          <w:b/>
          <w:bCs/>
          <w:kern w:val="36"/>
          <w:sz w:val="22"/>
          <w:szCs w:val="22"/>
          <w:lang w:val="it-IT" w:eastAsia="en-GB"/>
          <w14:ligatures w14:val="none"/>
        </w:rPr>
      </w:pPr>
    </w:p>
    <w:p w14:paraId="7AC6FA6B" w14:textId="68744247" w:rsidR="00847CA1" w:rsidRPr="00A33B15" w:rsidRDefault="00847CA1" w:rsidP="00847CA1">
      <w:pPr>
        <w:rPr>
          <w:rFonts w:ascii="Calibri" w:eastAsia="Times New Roman" w:hAnsi="Calibri" w:cs="Calibri"/>
          <w:b/>
          <w:bCs/>
          <w:kern w:val="0"/>
          <w:sz w:val="22"/>
          <w:szCs w:val="22"/>
          <w:lang w:eastAsia="en-GB"/>
          <w14:ligatures w14:val="none"/>
        </w:rPr>
      </w:pPr>
      <w:r w:rsidRPr="00A33B15">
        <w:rPr>
          <w:rFonts w:ascii="Calibri" w:hAnsi="Calibri" w:cs="Calibri"/>
          <w:sz w:val="22"/>
          <w:szCs w:val="22"/>
        </w:rPr>
        <w:t xml:space="preserve">A </w:t>
      </w:r>
      <w:proofErr w:type="spellStart"/>
      <w:r w:rsidRPr="00A33B15">
        <w:rPr>
          <w:rFonts w:ascii="Calibri" w:hAnsi="Calibri" w:cs="Calibri"/>
          <w:sz w:val="22"/>
          <w:szCs w:val="22"/>
        </w:rPr>
        <w:t>cura</w:t>
      </w:r>
      <w:proofErr w:type="spellEnd"/>
      <w:r w:rsidRPr="00A33B15">
        <w:rPr>
          <w:rFonts w:ascii="Calibri" w:hAnsi="Calibri" w:cs="Calibri"/>
          <w:sz w:val="22"/>
          <w:szCs w:val="22"/>
        </w:rPr>
        <w:t xml:space="preserve"> di</w:t>
      </w:r>
      <w:r w:rsidRPr="00A33B15">
        <w:rPr>
          <w:rFonts w:ascii="Calibri" w:hAnsi="Calibri" w:cs="Calibri"/>
          <w:b/>
          <w:bCs/>
          <w:sz w:val="22"/>
          <w:szCs w:val="22"/>
        </w:rPr>
        <w:t xml:space="preserve"> </w:t>
      </w:r>
      <w:r w:rsidRPr="00A33B15">
        <w:rPr>
          <w:rFonts w:ascii="Calibri" w:eastAsia="Times New Roman" w:hAnsi="Calibri" w:cs="Calibri"/>
          <w:b/>
          <w:bCs/>
          <w:kern w:val="0"/>
          <w:sz w:val="22"/>
          <w:szCs w:val="22"/>
          <w:lang w:eastAsia="en-GB"/>
          <w14:ligatures w14:val="none"/>
        </w:rPr>
        <w:t xml:space="preserve">Duncan </w:t>
      </w:r>
      <w:bookmarkStart w:id="0" w:name="_Hlk147390830"/>
      <w:r w:rsidRPr="00A33B15">
        <w:rPr>
          <w:rFonts w:ascii="Calibri" w:eastAsia="Times New Roman" w:hAnsi="Calibri" w:cs="Calibri"/>
          <w:b/>
          <w:bCs/>
          <w:kern w:val="0"/>
          <w:sz w:val="22"/>
          <w:szCs w:val="22"/>
          <w:lang w:eastAsia="en-GB"/>
          <w14:ligatures w14:val="none"/>
        </w:rPr>
        <w:t>Lamont</w:t>
      </w:r>
      <w:bookmarkEnd w:id="0"/>
      <w:r w:rsidR="00202DF2">
        <w:rPr>
          <w:rFonts w:ascii="Calibri" w:eastAsia="Times New Roman" w:hAnsi="Calibri" w:cs="Calibri"/>
          <w:b/>
          <w:bCs/>
          <w:kern w:val="0"/>
          <w:sz w:val="22"/>
          <w:szCs w:val="22"/>
          <w:lang w:eastAsia="en-GB"/>
          <w14:ligatures w14:val="none"/>
        </w:rPr>
        <w:t>,</w:t>
      </w:r>
      <w:r w:rsidR="00202DF2" w:rsidRPr="00A33B15">
        <w:rPr>
          <w:rFonts w:ascii="Calibri" w:eastAsia="Times New Roman" w:hAnsi="Calibri" w:cs="Calibri"/>
          <w:b/>
          <w:bCs/>
          <w:kern w:val="0"/>
          <w:sz w:val="22"/>
          <w:szCs w:val="22"/>
          <w:lang w:eastAsia="en-GB"/>
          <w14:ligatures w14:val="none"/>
        </w:rPr>
        <w:t xml:space="preserve"> </w:t>
      </w:r>
      <w:r w:rsidRPr="00A33B15">
        <w:rPr>
          <w:rFonts w:ascii="Calibri" w:eastAsia="Times New Roman" w:hAnsi="Calibri" w:cs="Calibri"/>
          <w:b/>
          <w:bCs/>
          <w:kern w:val="0"/>
          <w:sz w:val="22"/>
          <w:szCs w:val="22"/>
          <w:lang w:eastAsia="en-GB"/>
          <w14:ligatures w14:val="none"/>
        </w:rPr>
        <w:t xml:space="preserve">Head of Strategic Research, </w:t>
      </w:r>
      <w:r w:rsidRPr="00A33B15">
        <w:rPr>
          <w:rFonts w:ascii="Calibri" w:eastAsia="Times New Roman" w:hAnsi="Calibri" w:cs="Calibri"/>
          <w:kern w:val="0"/>
          <w:sz w:val="22"/>
          <w:szCs w:val="22"/>
          <w:lang w:eastAsia="en-GB"/>
          <w14:ligatures w14:val="none"/>
        </w:rPr>
        <w:t>e</w:t>
      </w:r>
      <w:r w:rsidRPr="00A33B15">
        <w:rPr>
          <w:rFonts w:ascii="Calibri" w:eastAsia="Times New Roman" w:hAnsi="Calibri" w:cs="Calibri"/>
          <w:b/>
          <w:bCs/>
          <w:kern w:val="0"/>
          <w:sz w:val="22"/>
          <w:szCs w:val="22"/>
          <w:lang w:eastAsia="en-GB"/>
          <w14:ligatures w14:val="none"/>
        </w:rPr>
        <w:t xml:space="preserve"> Hettie </w:t>
      </w:r>
      <w:proofErr w:type="spellStart"/>
      <w:r w:rsidRPr="00A33B15">
        <w:rPr>
          <w:rFonts w:ascii="Calibri" w:eastAsia="Times New Roman" w:hAnsi="Calibri" w:cs="Calibri"/>
          <w:b/>
          <w:bCs/>
          <w:kern w:val="0"/>
          <w:sz w:val="22"/>
          <w:szCs w:val="22"/>
          <w:lang w:eastAsia="en-GB"/>
          <w14:ligatures w14:val="none"/>
        </w:rPr>
        <w:t>Mccarthy</w:t>
      </w:r>
      <w:proofErr w:type="spellEnd"/>
      <w:r w:rsidRPr="00A33B15">
        <w:rPr>
          <w:rFonts w:ascii="Calibri" w:eastAsia="Times New Roman" w:hAnsi="Calibri" w:cs="Calibri"/>
          <w:b/>
          <w:bCs/>
          <w:kern w:val="0"/>
          <w:sz w:val="22"/>
          <w:szCs w:val="22"/>
          <w:lang w:eastAsia="en-GB"/>
          <w14:ligatures w14:val="none"/>
        </w:rPr>
        <w:t>, Quantitative Analyst</w:t>
      </w:r>
      <w:r w:rsidR="00202DF2" w:rsidRPr="00A33B15">
        <w:rPr>
          <w:rFonts w:ascii="Calibri" w:eastAsia="Times New Roman" w:hAnsi="Calibri" w:cs="Calibri"/>
          <w:b/>
          <w:bCs/>
          <w:kern w:val="0"/>
          <w:sz w:val="22"/>
          <w:szCs w:val="22"/>
          <w:lang w:eastAsia="en-GB"/>
          <w14:ligatures w14:val="none"/>
        </w:rPr>
        <w:t xml:space="preserve"> </w:t>
      </w:r>
      <w:r w:rsidR="00202DF2">
        <w:rPr>
          <w:rFonts w:ascii="Calibri" w:eastAsia="Times New Roman" w:hAnsi="Calibri" w:cs="Calibri"/>
          <w:b/>
          <w:bCs/>
          <w:kern w:val="0"/>
          <w:sz w:val="22"/>
          <w:szCs w:val="22"/>
          <w:lang w:eastAsia="en-GB"/>
          <w14:ligatures w14:val="none"/>
        </w:rPr>
        <w:t>–</w:t>
      </w:r>
      <w:r w:rsidRPr="00A33B15">
        <w:rPr>
          <w:rFonts w:ascii="Calibri" w:eastAsia="Times New Roman" w:hAnsi="Calibri" w:cs="Calibri"/>
          <w:b/>
          <w:bCs/>
          <w:kern w:val="0"/>
          <w:sz w:val="22"/>
          <w:szCs w:val="22"/>
          <w:lang w:eastAsia="en-GB"/>
          <w14:ligatures w14:val="none"/>
        </w:rPr>
        <w:t xml:space="preserve"> Schroders Systematic Investments, Schroders</w:t>
      </w:r>
    </w:p>
    <w:p w14:paraId="458EB6C8" w14:textId="1D9088D7" w:rsidR="007A2ED1" w:rsidRPr="00A33B15" w:rsidRDefault="007F7D16" w:rsidP="007A2ED1">
      <w:pPr>
        <w:spacing w:before="100" w:beforeAutospacing="1" w:after="100" w:afterAutospacing="1"/>
        <w:outlineLvl w:val="1"/>
        <w:rPr>
          <w:rFonts w:ascii="Calibri" w:eastAsia="Times New Roman" w:hAnsi="Calibri" w:cs="Calibri"/>
          <w:color w:val="000000"/>
          <w:kern w:val="0"/>
          <w:sz w:val="22"/>
          <w:szCs w:val="22"/>
          <w:lang w:val="it-IT" w:eastAsia="en-GB"/>
          <w14:ligatures w14:val="none"/>
        </w:rPr>
      </w:pPr>
      <w:r w:rsidRPr="00A33B15">
        <w:rPr>
          <w:rFonts w:ascii="Calibri" w:eastAsia="Times New Roman" w:hAnsi="Calibri" w:cs="Calibri"/>
          <w:color w:val="000000"/>
          <w:kern w:val="0"/>
          <w:sz w:val="22"/>
          <w:szCs w:val="22"/>
          <w:lang w:val="it-IT" w:eastAsia="en-GB"/>
          <w14:ligatures w14:val="none"/>
        </w:rPr>
        <w:t xml:space="preserve">Schroders ha stilato una classifica dei </w:t>
      </w:r>
      <w:r w:rsidRPr="008E6B7F">
        <w:rPr>
          <w:rFonts w:ascii="Calibri" w:eastAsia="Times New Roman" w:hAnsi="Calibri" w:cs="Calibri"/>
          <w:b/>
          <w:bCs/>
          <w:color w:val="000000"/>
          <w:kern w:val="0"/>
          <w:sz w:val="22"/>
          <w:szCs w:val="22"/>
          <w:lang w:val="it-IT" w:eastAsia="en-GB"/>
          <w14:ligatures w14:val="none"/>
        </w:rPr>
        <w:t>20 maggiori mercati azionari</w:t>
      </w:r>
      <w:r w:rsidR="000D09AA" w:rsidRPr="008E6B7F">
        <w:rPr>
          <w:rFonts w:ascii="Calibri" w:eastAsia="Times New Roman" w:hAnsi="Calibri" w:cs="Calibri"/>
          <w:b/>
          <w:bCs/>
          <w:color w:val="000000"/>
          <w:kern w:val="0"/>
          <w:sz w:val="22"/>
          <w:szCs w:val="22"/>
          <w:lang w:val="it-IT" w:eastAsia="en-GB"/>
          <w14:ligatures w14:val="none"/>
        </w:rPr>
        <w:t>*</w:t>
      </w:r>
      <w:r w:rsidRPr="008E6B7F">
        <w:rPr>
          <w:rFonts w:ascii="Calibri" w:eastAsia="Times New Roman" w:hAnsi="Calibri" w:cs="Calibri"/>
          <w:b/>
          <w:bCs/>
          <w:color w:val="000000"/>
          <w:kern w:val="0"/>
          <w:sz w:val="22"/>
          <w:szCs w:val="22"/>
          <w:lang w:val="it-IT" w:eastAsia="en-GB"/>
          <w14:ligatures w14:val="none"/>
        </w:rPr>
        <w:t xml:space="preserve"> in base alle loro credenziali di sostenibilità</w:t>
      </w:r>
      <w:r w:rsidRPr="00A33B15">
        <w:rPr>
          <w:rFonts w:ascii="Calibri" w:eastAsia="Times New Roman" w:hAnsi="Calibri" w:cs="Calibri"/>
          <w:color w:val="000000"/>
          <w:kern w:val="0"/>
          <w:sz w:val="22"/>
          <w:szCs w:val="22"/>
          <w:lang w:val="it-IT" w:eastAsia="en-GB"/>
          <w14:ligatures w14:val="none"/>
        </w:rPr>
        <w:t>.</w:t>
      </w:r>
      <w:r w:rsidR="00202DF2">
        <w:rPr>
          <w:rFonts w:ascii="Calibri" w:eastAsia="Times New Roman" w:hAnsi="Calibri" w:cs="Calibri"/>
          <w:color w:val="000000"/>
          <w:kern w:val="0"/>
          <w:sz w:val="22"/>
          <w:szCs w:val="22"/>
          <w:lang w:val="it-IT" w:eastAsia="en-GB"/>
          <w14:ligatures w14:val="none"/>
        </w:rPr>
        <w:t xml:space="preserve"> </w:t>
      </w:r>
      <w:r w:rsidRPr="00A33B15">
        <w:rPr>
          <w:rFonts w:ascii="Calibri" w:eastAsia="Times New Roman" w:hAnsi="Calibri" w:cs="Calibri"/>
          <w:color w:val="000000"/>
          <w:kern w:val="0"/>
          <w:sz w:val="22"/>
          <w:szCs w:val="22"/>
          <w:lang w:val="it-IT" w:eastAsia="en-GB"/>
          <w14:ligatures w14:val="none"/>
        </w:rPr>
        <w:t>I</w:t>
      </w:r>
      <w:r w:rsidR="00202DF2">
        <w:rPr>
          <w:rFonts w:ascii="Calibri" w:eastAsia="Times New Roman" w:hAnsi="Calibri" w:cs="Calibri"/>
          <w:color w:val="000000"/>
          <w:kern w:val="0"/>
          <w:sz w:val="22"/>
          <w:szCs w:val="22"/>
          <w:lang w:val="it-IT" w:eastAsia="en-GB"/>
          <w14:ligatures w14:val="none"/>
        </w:rPr>
        <w:t>n testa, i</w:t>
      </w:r>
      <w:r w:rsidRPr="00A33B15">
        <w:rPr>
          <w:rFonts w:ascii="Calibri" w:eastAsia="Times New Roman" w:hAnsi="Calibri" w:cs="Calibri"/>
          <w:color w:val="000000"/>
          <w:kern w:val="0"/>
          <w:sz w:val="22"/>
          <w:szCs w:val="22"/>
          <w:lang w:val="it-IT" w:eastAsia="en-GB"/>
          <w14:ligatures w14:val="none"/>
        </w:rPr>
        <w:t xml:space="preserve"> mercati azionari spagnolo, tedesco e danese, mentre Regno Unito e Paesi Bassi sono in ritardo. Il motivo è da ricercarsi nelle diverse composizioni settoriali.</w:t>
      </w:r>
      <w:r w:rsidR="00202DF2">
        <w:rPr>
          <w:rFonts w:ascii="Calibri" w:eastAsia="Times New Roman" w:hAnsi="Calibri" w:cs="Calibri"/>
          <w:color w:val="000000"/>
          <w:kern w:val="0"/>
          <w:sz w:val="22"/>
          <w:szCs w:val="22"/>
          <w:lang w:val="it-IT" w:eastAsia="en-GB"/>
          <w14:ligatures w14:val="none"/>
        </w:rPr>
        <w:t xml:space="preserve"> </w:t>
      </w:r>
    </w:p>
    <w:p w14:paraId="58AD8285" w14:textId="3BA85DC1" w:rsidR="001431E2" w:rsidRPr="00A33B15" w:rsidRDefault="007F7D16" w:rsidP="00ED0E83">
      <w:pPr>
        <w:spacing w:before="100" w:beforeAutospacing="1" w:after="100" w:afterAutospacing="1"/>
        <w:outlineLvl w:val="1"/>
        <w:rPr>
          <w:rFonts w:ascii="Calibri" w:eastAsia="Times New Roman" w:hAnsi="Calibri" w:cs="Calibri"/>
          <w:kern w:val="0"/>
          <w:sz w:val="22"/>
          <w:szCs w:val="22"/>
          <w:lang w:val="it-IT" w:eastAsia="en-GB"/>
          <w14:ligatures w14:val="none"/>
        </w:rPr>
      </w:pPr>
      <w:r w:rsidRPr="00F13E91">
        <w:rPr>
          <w:rFonts w:ascii="Calibri" w:eastAsia="Times New Roman" w:hAnsi="Calibri" w:cs="Calibri"/>
          <w:kern w:val="0"/>
          <w:sz w:val="22"/>
          <w:szCs w:val="22"/>
          <w:u w:val="single"/>
          <w:lang w:val="it-IT" w:eastAsia="en-GB"/>
          <w14:ligatures w14:val="none"/>
        </w:rPr>
        <w:t>Le credenziali sociali del mercato azionario spagnolo</w:t>
      </w:r>
      <w:r w:rsidR="00202DF2">
        <w:rPr>
          <w:rFonts w:ascii="Calibri" w:eastAsia="Times New Roman" w:hAnsi="Calibri" w:cs="Calibri"/>
          <w:color w:val="000000"/>
          <w:kern w:val="0"/>
          <w:sz w:val="22"/>
          <w:szCs w:val="22"/>
          <w:lang w:val="it-IT" w:eastAsia="en-GB"/>
          <w14:ligatures w14:val="none"/>
        </w:rPr>
        <w:br/>
      </w:r>
      <w:r w:rsidR="001431E2" w:rsidRPr="00A33B15">
        <w:rPr>
          <w:rFonts w:ascii="Calibri" w:eastAsia="Times New Roman" w:hAnsi="Calibri" w:cs="Calibri"/>
          <w:color w:val="000000"/>
          <w:kern w:val="0"/>
          <w:sz w:val="22"/>
          <w:szCs w:val="22"/>
          <w:lang w:val="it-IT" w:eastAsia="en-GB"/>
          <w14:ligatures w14:val="none"/>
        </w:rPr>
        <w:t>Un dato del 3,3% per il mercato spagnolo significa che, in aggregato, le società quotate hanno un effetto positivo non riconosciuto sulla società pari al 3,3% del loro fatturato.</w:t>
      </w:r>
      <w:r w:rsidR="00202DF2">
        <w:rPr>
          <w:rFonts w:ascii="Calibri" w:eastAsia="Times New Roman" w:hAnsi="Calibri" w:cs="Calibri"/>
          <w:color w:val="000000"/>
          <w:kern w:val="0"/>
          <w:sz w:val="22"/>
          <w:szCs w:val="22"/>
          <w:lang w:val="it-IT" w:eastAsia="en-GB"/>
          <w14:ligatures w14:val="none"/>
        </w:rPr>
        <w:t xml:space="preserve"> </w:t>
      </w:r>
      <w:r w:rsidR="001431E2" w:rsidRPr="00A33B15">
        <w:rPr>
          <w:rFonts w:ascii="Calibri" w:eastAsia="Times New Roman" w:hAnsi="Calibri" w:cs="Calibri"/>
          <w:color w:val="000000"/>
          <w:kern w:val="0"/>
          <w:sz w:val="22"/>
          <w:szCs w:val="22"/>
          <w:lang w:val="it-IT" w:eastAsia="en-GB"/>
          <w14:ligatures w14:val="none"/>
        </w:rPr>
        <w:t>In prospettiva, le previsioni di consenso indicano che i margini di profitto delle imprese spagnole saranno dell’11,3% nei prossimi 12 mesi. Ma se queste esternalità positive si concretizzassero in termini finanziari, la percentuale salirebbe al 14,6%. In termini monetari, per ogni 100 euro di ricavi, gli utili sarebbero di 14,60 euro e non di 11,30 euro, con un aumento del 29%. Non è una cosa da ignorare.</w:t>
      </w:r>
      <w:r w:rsidR="00500E37">
        <w:rPr>
          <w:rFonts w:ascii="Calibri" w:eastAsia="Times New Roman" w:hAnsi="Calibri" w:cs="Calibri"/>
          <w:color w:val="000000"/>
          <w:kern w:val="0"/>
          <w:sz w:val="22"/>
          <w:szCs w:val="22"/>
          <w:lang w:val="it-IT" w:eastAsia="en-GB"/>
          <w14:ligatures w14:val="none"/>
        </w:rPr>
        <w:t xml:space="preserve"> </w:t>
      </w:r>
      <w:r w:rsidR="001431E2" w:rsidRPr="008E6B7F">
        <w:rPr>
          <w:rFonts w:ascii="Calibri" w:eastAsia="Times New Roman" w:hAnsi="Calibri" w:cs="Calibri"/>
          <w:b/>
          <w:bCs/>
          <w:color w:val="000000"/>
          <w:kern w:val="0"/>
          <w:sz w:val="22"/>
          <w:szCs w:val="22"/>
          <w:lang w:val="it-IT" w:eastAsia="en-GB"/>
          <w14:ligatures w14:val="none"/>
        </w:rPr>
        <w:t>A differenza della Spagna, le società della maggior parte dei mercati azionari hanno un effetto negativo sull’ambiente e sulla società</w:t>
      </w:r>
      <w:r w:rsidR="001431E2" w:rsidRPr="00A33B15">
        <w:rPr>
          <w:rFonts w:ascii="Calibri" w:eastAsia="Times New Roman" w:hAnsi="Calibri" w:cs="Calibri"/>
          <w:color w:val="000000"/>
          <w:kern w:val="0"/>
          <w:sz w:val="22"/>
          <w:szCs w:val="22"/>
          <w:lang w:val="it-IT" w:eastAsia="en-GB"/>
          <w14:ligatures w14:val="none"/>
        </w:rPr>
        <w:t xml:space="preserve">. Se il costo in dollari di queste esternalità negative si riflettesse </w:t>
      </w:r>
      <w:r w:rsidR="00966009">
        <w:rPr>
          <w:rFonts w:ascii="Calibri" w:eastAsia="Times New Roman" w:hAnsi="Calibri" w:cs="Calibri"/>
          <w:color w:val="000000"/>
          <w:kern w:val="0"/>
          <w:sz w:val="22"/>
          <w:szCs w:val="22"/>
          <w:lang w:val="it-IT" w:eastAsia="en-GB"/>
          <w14:ligatures w14:val="none"/>
        </w:rPr>
        <w:t>su</w:t>
      </w:r>
      <w:r w:rsidR="001431E2" w:rsidRPr="00A33B15">
        <w:rPr>
          <w:rFonts w:ascii="Calibri" w:eastAsia="Times New Roman" w:hAnsi="Calibri" w:cs="Calibri"/>
          <w:color w:val="000000"/>
          <w:kern w:val="0"/>
          <w:sz w:val="22"/>
          <w:szCs w:val="22"/>
          <w:lang w:val="it-IT" w:eastAsia="en-GB"/>
          <w14:ligatures w14:val="none"/>
        </w:rPr>
        <w:t>i loro profitti</w:t>
      </w:r>
      <w:r w:rsidR="00966009">
        <w:rPr>
          <w:rFonts w:ascii="Calibri" w:eastAsia="Times New Roman" w:hAnsi="Calibri" w:cs="Calibri"/>
          <w:color w:val="000000"/>
          <w:kern w:val="0"/>
          <w:sz w:val="22"/>
          <w:szCs w:val="22"/>
          <w:lang w:val="it-IT" w:eastAsia="en-GB"/>
          <w14:ligatures w14:val="none"/>
        </w:rPr>
        <w:t>, questi</w:t>
      </w:r>
      <w:r w:rsidR="001431E2" w:rsidRPr="00A33B15">
        <w:rPr>
          <w:rFonts w:ascii="Calibri" w:eastAsia="Times New Roman" w:hAnsi="Calibri" w:cs="Calibri"/>
          <w:color w:val="000000"/>
          <w:kern w:val="0"/>
          <w:sz w:val="22"/>
          <w:szCs w:val="22"/>
          <w:lang w:val="it-IT" w:eastAsia="en-GB"/>
          <w14:ligatures w14:val="none"/>
        </w:rPr>
        <w:t xml:space="preserve"> verrebbero falcidiati.</w:t>
      </w:r>
      <w:r w:rsidR="004566DB">
        <w:rPr>
          <w:rFonts w:ascii="Calibri" w:eastAsia="Times New Roman" w:hAnsi="Calibri" w:cs="Calibri"/>
          <w:color w:val="000000"/>
          <w:kern w:val="0"/>
          <w:sz w:val="22"/>
          <w:szCs w:val="22"/>
          <w:lang w:val="it-IT" w:eastAsia="en-GB"/>
          <w14:ligatures w14:val="none"/>
        </w:rPr>
        <w:t xml:space="preserve"> </w:t>
      </w:r>
      <w:r w:rsidR="001431E2" w:rsidRPr="00A33B15">
        <w:rPr>
          <w:rFonts w:ascii="Calibri" w:eastAsia="Times New Roman" w:hAnsi="Calibri" w:cs="Calibri"/>
          <w:color w:val="000000"/>
          <w:kern w:val="0"/>
          <w:sz w:val="22"/>
          <w:szCs w:val="22"/>
          <w:lang w:val="it-IT" w:eastAsia="en-GB"/>
          <w14:ligatures w14:val="none"/>
        </w:rPr>
        <w:t xml:space="preserve">Cosa c’è dietro il buon andamento del mercato spagnolo? </w:t>
      </w:r>
      <w:r w:rsidR="001431E2" w:rsidRPr="00ED0E83">
        <w:rPr>
          <w:rFonts w:ascii="Calibri" w:eastAsia="Times New Roman" w:hAnsi="Calibri" w:cs="Calibri"/>
          <w:b/>
          <w:bCs/>
          <w:color w:val="000000"/>
          <w:kern w:val="0"/>
          <w:sz w:val="22"/>
          <w:szCs w:val="22"/>
          <w:lang w:val="it-IT" w:eastAsia="en-GB"/>
          <w14:ligatures w14:val="none"/>
        </w:rPr>
        <w:t xml:space="preserve">Le sue grandi aziende di servizi e telecomunicazioni forniscono servizi preziosi per la società. </w:t>
      </w:r>
      <w:r w:rsidR="00010222">
        <w:rPr>
          <w:rFonts w:ascii="Calibri" w:eastAsia="Times New Roman" w:hAnsi="Calibri" w:cs="Calibri"/>
          <w:color w:val="000000"/>
          <w:kern w:val="0"/>
          <w:sz w:val="22"/>
          <w:szCs w:val="22"/>
          <w:lang w:val="it-IT" w:eastAsia="en-GB"/>
          <w14:ligatures w14:val="none"/>
        </w:rPr>
        <w:t>Per</w:t>
      </w:r>
      <w:r w:rsidR="00010222" w:rsidRPr="00A33B15">
        <w:rPr>
          <w:rFonts w:ascii="Calibri" w:eastAsia="Times New Roman" w:hAnsi="Calibri" w:cs="Calibri"/>
          <w:color w:val="000000"/>
          <w:kern w:val="0"/>
          <w:sz w:val="22"/>
          <w:szCs w:val="22"/>
          <w:lang w:val="it-IT" w:eastAsia="en-GB"/>
          <w14:ligatures w14:val="none"/>
        </w:rPr>
        <w:t xml:space="preserve"> </w:t>
      </w:r>
      <w:r w:rsidR="001431E2" w:rsidRPr="00A33B15">
        <w:rPr>
          <w:rFonts w:ascii="Calibri" w:eastAsia="Times New Roman" w:hAnsi="Calibri" w:cs="Calibri"/>
          <w:color w:val="000000"/>
          <w:kern w:val="0"/>
          <w:sz w:val="22"/>
          <w:szCs w:val="22"/>
          <w:lang w:val="it-IT" w:eastAsia="en-GB"/>
          <w14:ligatures w14:val="none"/>
        </w:rPr>
        <w:t>esempio, i servizi di pubblica utilità forniscono acqua potabile, fognature e servizi igienici</w:t>
      </w:r>
      <w:r w:rsidR="00202F63">
        <w:rPr>
          <w:rFonts w:ascii="Calibri" w:eastAsia="Times New Roman" w:hAnsi="Calibri" w:cs="Calibri"/>
          <w:color w:val="000000"/>
          <w:kern w:val="0"/>
          <w:sz w:val="22"/>
          <w:szCs w:val="22"/>
          <w:lang w:val="it-IT" w:eastAsia="en-GB"/>
          <w14:ligatures w14:val="none"/>
        </w:rPr>
        <w:t xml:space="preserve">. </w:t>
      </w:r>
      <w:r w:rsidR="001431E2" w:rsidRPr="00A33B15">
        <w:rPr>
          <w:rFonts w:ascii="Calibri" w:eastAsia="Times New Roman" w:hAnsi="Calibri" w:cs="Calibri"/>
          <w:color w:val="000000"/>
          <w:kern w:val="0"/>
          <w:sz w:val="22"/>
          <w:szCs w:val="22"/>
          <w:lang w:val="it-IT" w:eastAsia="en-GB"/>
          <w14:ligatures w14:val="none"/>
        </w:rPr>
        <w:t xml:space="preserve">Le aziende ovviamente generano reddito da questi servizi, ma i loro prezzi sono ben al di sotto del valore sociale. Alcuni servizi di pubblica utilità hanno anche un forte effetto negativo sull’ambiente </w:t>
      </w:r>
      <w:r w:rsidR="007230E8" w:rsidRPr="00A33B15">
        <w:rPr>
          <w:rFonts w:ascii="Calibri" w:eastAsia="Times New Roman" w:hAnsi="Calibri" w:cs="Calibri"/>
          <w:color w:val="000000"/>
          <w:kern w:val="0"/>
          <w:sz w:val="22"/>
          <w:szCs w:val="22"/>
          <w:lang w:val="it-IT" w:eastAsia="en-GB"/>
          <w14:ligatures w14:val="none"/>
        </w:rPr>
        <w:t>–</w:t>
      </w:r>
      <w:r w:rsidR="001431E2" w:rsidRPr="00A33B15">
        <w:rPr>
          <w:rFonts w:ascii="Calibri" w:eastAsia="Times New Roman" w:hAnsi="Calibri" w:cs="Calibri"/>
          <w:color w:val="000000"/>
          <w:kern w:val="0"/>
          <w:sz w:val="22"/>
          <w:szCs w:val="22"/>
          <w:lang w:val="it-IT" w:eastAsia="en-GB"/>
          <w14:ligatures w14:val="none"/>
        </w:rPr>
        <w:t xml:space="preserve"> e</w:t>
      </w:r>
      <w:r w:rsidR="007230E8" w:rsidRPr="00A33B15">
        <w:rPr>
          <w:rFonts w:ascii="Calibri" w:eastAsia="Times New Roman" w:hAnsi="Calibri" w:cs="Calibri"/>
          <w:color w:val="000000"/>
          <w:kern w:val="0"/>
          <w:sz w:val="22"/>
          <w:szCs w:val="22"/>
          <w:lang w:val="it-IT" w:eastAsia="en-GB"/>
          <w14:ligatures w14:val="none"/>
        </w:rPr>
        <w:t xml:space="preserve"> </w:t>
      </w:r>
      <w:r w:rsidR="001431E2" w:rsidRPr="00A33B15">
        <w:rPr>
          <w:rFonts w:ascii="Calibri" w:eastAsia="Times New Roman" w:hAnsi="Calibri" w:cs="Calibri"/>
          <w:color w:val="000000"/>
          <w:kern w:val="0"/>
          <w:sz w:val="22"/>
          <w:szCs w:val="22"/>
          <w:lang w:val="it-IT" w:eastAsia="en-GB"/>
          <w14:ligatures w14:val="none"/>
        </w:rPr>
        <w:t xml:space="preserve">il mercato spagnolo è solo il </w:t>
      </w:r>
      <w:r w:rsidR="007230E8" w:rsidRPr="00A33B15">
        <w:rPr>
          <w:rFonts w:ascii="Calibri" w:eastAsia="Times New Roman" w:hAnsi="Calibri" w:cs="Calibri"/>
          <w:color w:val="000000"/>
          <w:kern w:val="0"/>
          <w:sz w:val="22"/>
          <w:szCs w:val="22"/>
          <w:lang w:val="it-IT" w:eastAsia="en-GB"/>
          <w14:ligatures w14:val="none"/>
        </w:rPr>
        <w:t>settimo</w:t>
      </w:r>
      <w:r w:rsidR="001431E2" w:rsidRPr="00A33B15">
        <w:rPr>
          <w:rFonts w:ascii="Calibri" w:eastAsia="Times New Roman" w:hAnsi="Calibri" w:cs="Calibri"/>
          <w:color w:val="000000"/>
          <w:kern w:val="0"/>
          <w:sz w:val="22"/>
          <w:szCs w:val="22"/>
          <w:lang w:val="it-IT" w:eastAsia="en-GB"/>
          <w14:ligatures w14:val="none"/>
        </w:rPr>
        <w:t xml:space="preserve"> migliore su questo fronte </w:t>
      </w:r>
      <w:r w:rsidR="007230E8" w:rsidRPr="00A33B15">
        <w:rPr>
          <w:rFonts w:ascii="Calibri" w:eastAsia="Times New Roman" w:hAnsi="Calibri" w:cs="Calibri"/>
          <w:color w:val="000000"/>
          <w:kern w:val="0"/>
          <w:sz w:val="22"/>
          <w:szCs w:val="22"/>
          <w:lang w:val="it-IT" w:eastAsia="en-GB"/>
          <w14:ligatures w14:val="none"/>
        </w:rPr>
        <w:t>–</w:t>
      </w:r>
      <w:r w:rsidR="001431E2" w:rsidRPr="00A33B15">
        <w:rPr>
          <w:rFonts w:ascii="Calibri" w:eastAsia="Times New Roman" w:hAnsi="Calibri" w:cs="Calibri"/>
          <w:color w:val="000000"/>
          <w:kern w:val="0"/>
          <w:sz w:val="22"/>
          <w:szCs w:val="22"/>
          <w:lang w:val="it-IT" w:eastAsia="en-GB"/>
          <w14:ligatures w14:val="none"/>
        </w:rPr>
        <w:t xml:space="preserve"> anche</w:t>
      </w:r>
      <w:r w:rsidR="007230E8" w:rsidRPr="00A33B15">
        <w:rPr>
          <w:rFonts w:ascii="Calibri" w:eastAsia="Times New Roman" w:hAnsi="Calibri" w:cs="Calibri"/>
          <w:color w:val="000000"/>
          <w:kern w:val="0"/>
          <w:sz w:val="22"/>
          <w:szCs w:val="22"/>
          <w:lang w:val="it-IT" w:eastAsia="en-GB"/>
          <w14:ligatures w14:val="none"/>
        </w:rPr>
        <w:t xml:space="preserve"> </w:t>
      </w:r>
      <w:r w:rsidR="001431E2" w:rsidRPr="00A33B15">
        <w:rPr>
          <w:rFonts w:ascii="Calibri" w:eastAsia="Times New Roman" w:hAnsi="Calibri" w:cs="Calibri"/>
          <w:color w:val="000000"/>
          <w:kern w:val="0"/>
          <w:sz w:val="22"/>
          <w:szCs w:val="22"/>
          <w:lang w:val="it-IT" w:eastAsia="en-GB"/>
          <w14:ligatures w14:val="none"/>
        </w:rPr>
        <w:t>se questo varia notevolmente da azienda ad azienda.</w:t>
      </w:r>
      <w:r w:rsidR="004566DB">
        <w:rPr>
          <w:rFonts w:ascii="Calibri" w:eastAsia="Times New Roman" w:hAnsi="Calibri" w:cs="Calibri"/>
          <w:color w:val="000000"/>
          <w:kern w:val="0"/>
          <w:sz w:val="22"/>
          <w:szCs w:val="22"/>
          <w:lang w:val="it-IT" w:eastAsia="en-GB"/>
          <w14:ligatures w14:val="none"/>
        </w:rPr>
        <w:t xml:space="preserve"> </w:t>
      </w:r>
      <w:r w:rsidR="001431E2" w:rsidRPr="00A33B15">
        <w:rPr>
          <w:rFonts w:ascii="Calibri" w:eastAsia="Times New Roman" w:hAnsi="Calibri" w:cs="Calibri"/>
          <w:color w:val="000000"/>
          <w:kern w:val="0"/>
          <w:sz w:val="22"/>
          <w:szCs w:val="22"/>
          <w:lang w:val="it-IT" w:eastAsia="en-GB"/>
          <w14:ligatures w14:val="none"/>
        </w:rPr>
        <w:t>Ma non sono solo le grandi aziende del mercato spagnolo a guidare le sue solide credenziali. Il mercato spagnolo è anche al secondo posto per quanto riguarda la media</w:t>
      </w:r>
      <w:r w:rsidR="00966009">
        <w:rPr>
          <w:rFonts w:ascii="Calibri" w:eastAsia="Times New Roman" w:hAnsi="Calibri" w:cs="Calibri"/>
          <w:color w:val="000000"/>
          <w:kern w:val="0"/>
          <w:sz w:val="22"/>
          <w:szCs w:val="22"/>
          <w:lang w:val="it-IT" w:eastAsia="en-GB"/>
          <w14:ligatures w14:val="none"/>
        </w:rPr>
        <w:t>na</w:t>
      </w:r>
      <w:r w:rsidR="001431E2" w:rsidRPr="00A33B15">
        <w:rPr>
          <w:rFonts w:ascii="Calibri" w:eastAsia="Times New Roman" w:hAnsi="Calibri" w:cs="Calibri"/>
          <w:color w:val="000000"/>
          <w:kern w:val="0"/>
          <w:sz w:val="22"/>
          <w:szCs w:val="22"/>
          <w:lang w:val="it-IT" w:eastAsia="en-GB"/>
          <w14:ligatures w14:val="none"/>
        </w:rPr>
        <w:t xml:space="preserve"> delle </w:t>
      </w:r>
      <w:r w:rsidR="001431E2" w:rsidRPr="00A33B15">
        <w:rPr>
          <w:rFonts w:ascii="Calibri" w:eastAsia="Times New Roman" w:hAnsi="Calibri" w:cs="Calibri"/>
          <w:kern w:val="0"/>
          <w:sz w:val="22"/>
          <w:szCs w:val="22"/>
          <w:lang w:val="it-IT" w:eastAsia="en-GB"/>
          <w14:ligatures w14:val="none"/>
        </w:rPr>
        <w:t>aziende.</w:t>
      </w:r>
    </w:p>
    <w:p w14:paraId="60BCEF1B" w14:textId="48B750ED" w:rsidR="00746437" w:rsidRPr="00A33B15" w:rsidRDefault="008A2D31" w:rsidP="00ED0E83">
      <w:pPr>
        <w:spacing w:before="100" w:beforeAutospacing="1" w:after="100" w:afterAutospacing="1"/>
        <w:rPr>
          <w:rFonts w:ascii="Calibri" w:eastAsia="Times New Roman" w:hAnsi="Calibri" w:cs="Calibri"/>
          <w:kern w:val="0"/>
          <w:sz w:val="22"/>
          <w:szCs w:val="22"/>
          <w:lang w:val="it-IT" w:eastAsia="en-GB"/>
          <w14:ligatures w14:val="none"/>
        </w:rPr>
      </w:pPr>
      <w:proofErr w:type="gramStart"/>
      <w:r w:rsidRPr="00F13E91">
        <w:rPr>
          <w:rFonts w:ascii="Calibri" w:eastAsia="Times New Roman" w:hAnsi="Calibri" w:cs="Calibri"/>
          <w:kern w:val="0"/>
          <w:sz w:val="22"/>
          <w:szCs w:val="22"/>
          <w:u w:val="single"/>
          <w:lang w:val="it-IT" w:eastAsia="en-GB"/>
          <w14:ligatures w14:val="none"/>
        </w:rPr>
        <w:t>I</w:t>
      </w:r>
      <w:r w:rsidR="001431E2" w:rsidRPr="00F13E91">
        <w:rPr>
          <w:rFonts w:ascii="Calibri" w:eastAsia="Times New Roman" w:hAnsi="Calibri" w:cs="Calibri"/>
          <w:kern w:val="0"/>
          <w:sz w:val="22"/>
          <w:szCs w:val="22"/>
          <w:u w:val="single"/>
          <w:lang w:val="it-IT" w:eastAsia="en-GB"/>
          <w14:ligatures w14:val="none"/>
        </w:rPr>
        <w:t>I</w:t>
      </w:r>
      <w:proofErr w:type="gramEnd"/>
      <w:r w:rsidR="001431E2" w:rsidRPr="00F13E91">
        <w:rPr>
          <w:rFonts w:ascii="Calibri" w:eastAsia="Times New Roman" w:hAnsi="Calibri" w:cs="Calibri"/>
          <w:kern w:val="0"/>
          <w:sz w:val="22"/>
          <w:szCs w:val="22"/>
          <w:u w:val="single"/>
          <w:lang w:val="it-IT" w:eastAsia="en-GB"/>
          <w14:ligatures w14:val="none"/>
        </w:rPr>
        <w:t xml:space="preserve"> mercat</w:t>
      </w:r>
      <w:r w:rsidRPr="00F13E91">
        <w:rPr>
          <w:rFonts w:ascii="Calibri" w:eastAsia="Times New Roman" w:hAnsi="Calibri" w:cs="Calibri"/>
          <w:kern w:val="0"/>
          <w:sz w:val="22"/>
          <w:szCs w:val="22"/>
          <w:u w:val="single"/>
          <w:lang w:val="it-IT" w:eastAsia="en-GB"/>
          <w14:ligatures w14:val="none"/>
        </w:rPr>
        <w:t>o</w:t>
      </w:r>
      <w:r w:rsidR="001431E2" w:rsidRPr="00F13E91">
        <w:rPr>
          <w:rFonts w:ascii="Calibri" w:eastAsia="Times New Roman" w:hAnsi="Calibri" w:cs="Calibri"/>
          <w:kern w:val="0"/>
          <w:sz w:val="22"/>
          <w:szCs w:val="22"/>
          <w:u w:val="single"/>
          <w:lang w:val="it-IT" w:eastAsia="en-GB"/>
          <w14:ligatures w14:val="none"/>
        </w:rPr>
        <w:t xml:space="preserve"> azionari</w:t>
      </w:r>
      <w:r w:rsidR="00156FD1" w:rsidRPr="00F13E91">
        <w:rPr>
          <w:rFonts w:ascii="Calibri" w:eastAsia="Times New Roman" w:hAnsi="Calibri" w:cs="Calibri"/>
          <w:kern w:val="0"/>
          <w:sz w:val="22"/>
          <w:szCs w:val="22"/>
          <w:u w:val="single"/>
          <w:lang w:val="it-IT" w:eastAsia="en-GB"/>
          <w14:ligatures w14:val="none"/>
        </w:rPr>
        <w:t xml:space="preserve">o </w:t>
      </w:r>
      <w:r w:rsidR="001431E2" w:rsidRPr="00F13E91">
        <w:rPr>
          <w:rFonts w:ascii="Calibri" w:eastAsia="Times New Roman" w:hAnsi="Calibri" w:cs="Calibri"/>
          <w:kern w:val="0"/>
          <w:sz w:val="22"/>
          <w:szCs w:val="22"/>
          <w:u w:val="single"/>
          <w:lang w:val="it-IT" w:eastAsia="en-GB"/>
          <w14:ligatures w14:val="none"/>
        </w:rPr>
        <w:t>danese in forte crescita</w:t>
      </w:r>
      <w:r w:rsidR="001431E2" w:rsidRPr="00A33B15">
        <w:rPr>
          <w:rFonts w:ascii="Calibri" w:eastAsia="Times New Roman" w:hAnsi="Calibri" w:cs="Calibri"/>
          <w:b/>
          <w:bCs/>
          <w:kern w:val="0"/>
          <w:sz w:val="22"/>
          <w:szCs w:val="22"/>
          <w:lang w:val="it-IT" w:eastAsia="en-GB"/>
          <w14:ligatures w14:val="none"/>
        </w:rPr>
        <w:t xml:space="preserve"> </w:t>
      </w:r>
      <w:r w:rsidR="00010222">
        <w:rPr>
          <w:rFonts w:ascii="Calibri" w:eastAsia="Times New Roman" w:hAnsi="Calibri" w:cs="Calibri"/>
          <w:color w:val="000000"/>
          <w:kern w:val="0"/>
          <w:sz w:val="22"/>
          <w:szCs w:val="22"/>
          <w:lang w:val="it-IT" w:eastAsia="en-GB"/>
          <w14:ligatures w14:val="none"/>
        </w:rPr>
        <w:br/>
      </w:r>
      <w:r w:rsidR="007A2ED1" w:rsidRPr="008E6B7F">
        <w:rPr>
          <w:rFonts w:ascii="Calibri" w:eastAsia="Times New Roman" w:hAnsi="Calibri" w:cs="Calibri"/>
          <w:b/>
          <w:bCs/>
          <w:color w:val="000000"/>
          <w:kern w:val="0"/>
          <w:sz w:val="22"/>
          <w:szCs w:val="22"/>
          <w:lang w:val="it-IT" w:eastAsia="en-GB"/>
          <w14:ligatures w14:val="none"/>
        </w:rPr>
        <w:t>E</w:t>
      </w:r>
      <w:r w:rsidR="00746437" w:rsidRPr="008E6B7F">
        <w:rPr>
          <w:rFonts w:ascii="Calibri" w:eastAsia="Times New Roman" w:hAnsi="Calibri" w:cs="Calibri"/>
          <w:b/>
          <w:bCs/>
          <w:color w:val="000000"/>
          <w:kern w:val="0"/>
          <w:sz w:val="22"/>
          <w:szCs w:val="22"/>
          <w:lang w:val="it-IT" w:eastAsia="en-GB"/>
          <w14:ligatures w14:val="none"/>
        </w:rPr>
        <w:t>sistono solo pochi altri mercati azionari le cui esternalità nette delle aziende sono positive.</w:t>
      </w:r>
      <w:r w:rsidR="00010222" w:rsidRPr="008E6B7F">
        <w:rPr>
          <w:rFonts w:ascii="Calibri" w:eastAsia="Times New Roman" w:hAnsi="Calibri" w:cs="Calibri"/>
          <w:b/>
          <w:bCs/>
          <w:color w:val="000000"/>
          <w:kern w:val="0"/>
          <w:sz w:val="22"/>
          <w:szCs w:val="22"/>
          <w:lang w:val="it-IT" w:eastAsia="en-GB"/>
          <w14:ligatures w14:val="none"/>
        </w:rPr>
        <w:t xml:space="preserve"> </w:t>
      </w:r>
      <w:r w:rsidR="00746437" w:rsidRPr="008E6B7F">
        <w:rPr>
          <w:rFonts w:ascii="Calibri" w:eastAsia="Times New Roman" w:hAnsi="Calibri" w:cs="Calibri"/>
          <w:b/>
          <w:bCs/>
          <w:color w:val="000000"/>
          <w:kern w:val="0"/>
          <w:sz w:val="22"/>
          <w:szCs w:val="22"/>
          <w:lang w:val="it-IT" w:eastAsia="en-GB"/>
          <w14:ligatures w14:val="none"/>
        </w:rPr>
        <w:t>Vale la pena sottolineare il mercato danese.</w:t>
      </w:r>
      <w:r w:rsidR="00746437" w:rsidRPr="00A33B15">
        <w:rPr>
          <w:rFonts w:ascii="Calibri" w:eastAsia="Times New Roman" w:hAnsi="Calibri" w:cs="Calibri"/>
          <w:color w:val="000000"/>
          <w:kern w:val="0"/>
          <w:sz w:val="22"/>
          <w:szCs w:val="22"/>
          <w:lang w:val="it-IT" w:eastAsia="en-GB"/>
          <w14:ligatures w14:val="none"/>
        </w:rPr>
        <w:t xml:space="preserve"> Non solo si colloca al terzo posto quando si aggregano le esternalità nette di tutte le sue società, ma è anche al primo posto per la sua società mediana. Ed è l’unico mercato </w:t>
      </w:r>
      <w:r w:rsidR="007A2ED1">
        <w:rPr>
          <w:rFonts w:ascii="Calibri" w:eastAsia="Times New Roman" w:hAnsi="Calibri" w:cs="Calibri"/>
          <w:color w:val="000000"/>
          <w:kern w:val="0"/>
          <w:sz w:val="22"/>
          <w:szCs w:val="22"/>
          <w:lang w:val="it-IT" w:eastAsia="en-GB"/>
          <w14:ligatures w14:val="none"/>
        </w:rPr>
        <w:t xml:space="preserve">in cui le </w:t>
      </w:r>
      <w:r w:rsidR="00746437" w:rsidRPr="00A33B15">
        <w:rPr>
          <w:rFonts w:ascii="Calibri" w:eastAsia="Times New Roman" w:hAnsi="Calibri" w:cs="Calibri"/>
          <w:color w:val="000000"/>
          <w:kern w:val="0"/>
          <w:sz w:val="22"/>
          <w:szCs w:val="22"/>
          <w:lang w:val="it-IT" w:eastAsia="en-GB"/>
          <w14:ligatures w14:val="none"/>
        </w:rPr>
        <w:t xml:space="preserve">aziende, in aggregato, </w:t>
      </w:r>
      <w:r w:rsidR="007A2ED1">
        <w:rPr>
          <w:rFonts w:ascii="Calibri" w:eastAsia="Times New Roman" w:hAnsi="Calibri" w:cs="Calibri"/>
          <w:color w:val="000000"/>
          <w:kern w:val="0"/>
          <w:sz w:val="22"/>
          <w:szCs w:val="22"/>
          <w:lang w:val="it-IT" w:eastAsia="en-GB"/>
          <w14:ligatures w14:val="none"/>
        </w:rPr>
        <w:t>hanno</w:t>
      </w:r>
      <w:r w:rsidR="00746437" w:rsidRPr="00A33B15">
        <w:rPr>
          <w:rFonts w:ascii="Calibri" w:eastAsia="Times New Roman" w:hAnsi="Calibri" w:cs="Calibri"/>
          <w:color w:val="000000"/>
          <w:kern w:val="0"/>
          <w:sz w:val="22"/>
          <w:szCs w:val="22"/>
          <w:lang w:val="it-IT" w:eastAsia="en-GB"/>
          <w14:ligatures w14:val="none"/>
        </w:rPr>
        <w:t xml:space="preserve"> un effetto netto positivo sull’ambiente. Quest’ultimo punto è in gran parte dovuto alla presenza del grande produttore di turbine eoliche Vestas.</w:t>
      </w:r>
      <w:r w:rsidR="00ED0E83">
        <w:rPr>
          <w:rFonts w:ascii="Calibri" w:eastAsia="Times New Roman" w:hAnsi="Calibri" w:cs="Calibri"/>
          <w:color w:val="000000"/>
          <w:kern w:val="0"/>
          <w:sz w:val="22"/>
          <w:szCs w:val="22"/>
          <w:lang w:val="it-IT" w:eastAsia="en-GB"/>
          <w14:ligatures w14:val="none"/>
        </w:rPr>
        <w:t xml:space="preserve"> </w:t>
      </w:r>
      <w:r w:rsidR="00746437" w:rsidRPr="008E6B7F">
        <w:rPr>
          <w:rFonts w:ascii="Calibri" w:eastAsia="Times New Roman" w:hAnsi="Calibri" w:cs="Calibri"/>
          <w:b/>
          <w:bCs/>
          <w:color w:val="000000"/>
          <w:kern w:val="0"/>
          <w:sz w:val="22"/>
          <w:szCs w:val="22"/>
          <w:lang w:val="it-IT" w:eastAsia="en-GB"/>
          <w14:ligatures w14:val="none"/>
        </w:rPr>
        <w:t>A differenza della Spagna, tuttavia, il mercato azionario danese ottiene un punteggio relativamente basso sul fronte sociale (18/20).</w:t>
      </w:r>
      <w:r w:rsidR="00746437" w:rsidRPr="00A33B15">
        <w:rPr>
          <w:rFonts w:ascii="Calibri" w:eastAsia="Times New Roman" w:hAnsi="Calibri" w:cs="Calibri"/>
          <w:color w:val="000000"/>
          <w:kern w:val="0"/>
          <w:sz w:val="22"/>
          <w:szCs w:val="22"/>
          <w:lang w:val="it-IT" w:eastAsia="en-GB"/>
          <w14:ligatures w14:val="none"/>
        </w:rPr>
        <w:t xml:space="preserve"> La società di bevande alcoliche Carlsberg è la principale responsabile.</w:t>
      </w:r>
      <w:r w:rsidR="00010222">
        <w:rPr>
          <w:rFonts w:ascii="Calibri" w:eastAsia="Times New Roman" w:hAnsi="Calibri" w:cs="Calibri"/>
          <w:color w:val="000000"/>
          <w:kern w:val="0"/>
          <w:sz w:val="22"/>
          <w:szCs w:val="22"/>
          <w:lang w:val="it-IT" w:eastAsia="en-GB"/>
          <w14:ligatures w14:val="none"/>
        </w:rPr>
        <w:t xml:space="preserve"> </w:t>
      </w:r>
      <w:r w:rsidR="00746437" w:rsidRPr="00A33B15">
        <w:rPr>
          <w:rFonts w:ascii="Calibri" w:eastAsia="Times New Roman" w:hAnsi="Calibri" w:cs="Calibri"/>
          <w:color w:val="000000"/>
          <w:kern w:val="0"/>
          <w:sz w:val="22"/>
          <w:szCs w:val="22"/>
          <w:lang w:val="it-IT" w:eastAsia="en-GB"/>
          <w14:ligatures w14:val="none"/>
        </w:rPr>
        <w:t xml:space="preserve">Anche se gli studi variano, la maggior parte di essi mostra che i costi associati alla salute e alla criminalità </w:t>
      </w:r>
      <w:r w:rsidR="00ED4FC9">
        <w:rPr>
          <w:rFonts w:ascii="Calibri" w:eastAsia="Times New Roman" w:hAnsi="Calibri" w:cs="Calibri"/>
          <w:color w:val="000000"/>
          <w:kern w:val="0"/>
          <w:sz w:val="22"/>
          <w:szCs w:val="22"/>
          <w:lang w:val="it-IT" w:eastAsia="en-GB"/>
          <w14:ligatures w14:val="none"/>
        </w:rPr>
        <w:t>costituiscono</w:t>
      </w:r>
      <w:r w:rsidR="00ED4FC9" w:rsidRPr="00A33B15">
        <w:rPr>
          <w:rFonts w:ascii="Calibri" w:eastAsia="Times New Roman" w:hAnsi="Calibri" w:cs="Calibri"/>
          <w:color w:val="000000"/>
          <w:kern w:val="0"/>
          <w:sz w:val="22"/>
          <w:szCs w:val="22"/>
          <w:lang w:val="it-IT" w:eastAsia="en-GB"/>
          <w14:ligatures w14:val="none"/>
        </w:rPr>
        <w:t xml:space="preserve"> </w:t>
      </w:r>
      <w:r w:rsidR="00746437" w:rsidRPr="00A33B15">
        <w:rPr>
          <w:rFonts w:ascii="Calibri" w:eastAsia="Times New Roman" w:hAnsi="Calibri" w:cs="Calibri"/>
          <w:color w:val="000000"/>
          <w:kern w:val="0"/>
          <w:sz w:val="22"/>
          <w:szCs w:val="22"/>
          <w:lang w:val="it-IT" w:eastAsia="en-GB"/>
          <w14:ligatures w14:val="none"/>
        </w:rPr>
        <w:t xml:space="preserve">circa la metà del totale derivante dal consumo di alcol, mentre i costi indiretti legati alla disoccupazione, all’assenteismo e alla produttività rappresentano il resto. La maggior parte degli studi indica inoltre che il </w:t>
      </w:r>
      <w:proofErr w:type="spellStart"/>
      <w:r w:rsidR="00746437" w:rsidRPr="00A33B15">
        <w:rPr>
          <w:rFonts w:ascii="Calibri" w:eastAsia="Times New Roman" w:hAnsi="Calibri" w:cs="Calibri"/>
          <w:color w:val="000000"/>
          <w:kern w:val="0"/>
          <w:sz w:val="22"/>
          <w:szCs w:val="22"/>
          <w:lang w:val="it-IT" w:eastAsia="en-GB"/>
          <w14:ligatures w14:val="none"/>
        </w:rPr>
        <w:t>binge</w:t>
      </w:r>
      <w:proofErr w:type="spellEnd"/>
      <w:r w:rsidR="00746437" w:rsidRPr="00A33B15">
        <w:rPr>
          <w:rFonts w:ascii="Calibri" w:eastAsia="Times New Roman" w:hAnsi="Calibri" w:cs="Calibri"/>
          <w:color w:val="000000"/>
          <w:kern w:val="0"/>
          <w:sz w:val="22"/>
          <w:szCs w:val="22"/>
          <w:lang w:val="it-IT" w:eastAsia="en-GB"/>
          <w14:ligatures w14:val="none"/>
        </w:rPr>
        <w:t xml:space="preserve"> drinking è la fonte dominante dei costi, piuttosto che il consumo sociale</w:t>
      </w:r>
      <w:r w:rsidR="00010222">
        <w:rPr>
          <w:rFonts w:ascii="Calibri" w:eastAsia="Times New Roman" w:hAnsi="Calibri" w:cs="Calibri"/>
          <w:color w:val="000000"/>
          <w:kern w:val="0"/>
          <w:sz w:val="22"/>
          <w:szCs w:val="22"/>
          <w:lang w:val="it-IT" w:eastAsia="en-GB"/>
          <w14:ligatures w14:val="none"/>
        </w:rPr>
        <w:t xml:space="preserve">. </w:t>
      </w:r>
      <w:r w:rsidR="00746437" w:rsidRPr="00A33B15">
        <w:rPr>
          <w:rFonts w:ascii="Calibri" w:eastAsia="Times New Roman" w:hAnsi="Calibri" w:cs="Calibri"/>
          <w:color w:val="000000"/>
          <w:kern w:val="0"/>
          <w:sz w:val="22"/>
          <w:szCs w:val="22"/>
          <w:lang w:val="it-IT" w:eastAsia="en-GB"/>
          <w14:ligatures w14:val="none"/>
        </w:rPr>
        <w:t xml:space="preserve">Ciò evidenzia un punto importante. Molte società e mercati ottengono buoni risultati per una delle E, S o G dell’ESG, ma pessimi per un’altra: </w:t>
      </w:r>
      <w:r w:rsidR="00010222">
        <w:rPr>
          <w:rFonts w:ascii="Calibri" w:eastAsia="Times New Roman" w:hAnsi="Calibri" w:cs="Calibri"/>
          <w:color w:val="000000"/>
          <w:kern w:val="0"/>
          <w:sz w:val="22"/>
          <w:szCs w:val="22"/>
          <w:lang w:val="it-IT" w:eastAsia="en-GB"/>
          <w14:ligatures w14:val="none"/>
        </w:rPr>
        <w:t>per</w:t>
      </w:r>
      <w:r w:rsidR="00746437" w:rsidRPr="00A33B15">
        <w:rPr>
          <w:rFonts w:ascii="Calibri" w:eastAsia="Times New Roman" w:hAnsi="Calibri" w:cs="Calibri"/>
          <w:color w:val="000000"/>
          <w:kern w:val="0"/>
          <w:sz w:val="22"/>
          <w:szCs w:val="22"/>
          <w:lang w:val="it-IT" w:eastAsia="en-GB"/>
          <w14:ligatures w14:val="none"/>
        </w:rPr>
        <w:t xml:space="preserve"> esempio, Spagna e Danimarca. </w:t>
      </w:r>
    </w:p>
    <w:p w14:paraId="31052B23" w14:textId="3901A7BC" w:rsidR="007A2ED1" w:rsidRPr="00A33B15" w:rsidRDefault="00746437" w:rsidP="00A33B15">
      <w:pPr>
        <w:spacing w:before="100" w:beforeAutospacing="1" w:after="100" w:afterAutospacing="1"/>
        <w:rPr>
          <w:rFonts w:ascii="Calibri" w:eastAsia="Times New Roman" w:hAnsi="Calibri" w:cs="Calibri"/>
          <w:kern w:val="0"/>
          <w:sz w:val="22"/>
          <w:szCs w:val="22"/>
          <w:lang w:val="it-IT" w:eastAsia="en-GB"/>
          <w14:ligatures w14:val="none"/>
        </w:rPr>
      </w:pPr>
      <w:r w:rsidRPr="00F13E91">
        <w:rPr>
          <w:rFonts w:ascii="Calibri" w:eastAsia="Times New Roman" w:hAnsi="Calibri" w:cs="Calibri"/>
          <w:kern w:val="0"/>
          <w:sz w:val="22"/>
          <w:szCs w:val="22"/>
          <w:u w:val="single"/>
          <w:lang w:val="it-IT" w:eastAsia="en-GB"/>
          <w14:ligatures w14:val="none"/>
        </w:rPr>
        <w:t>Lo scarso status dei mercati del Regno Unito e dei Paesi Bassi</w:t>
      </w:r>
      <w:r w:rsidR="00010222" w:rsidRPr="00A33B15">
        <w:rPr>
          <w:rFonts w:ascii="Calibri" w:eastAsia="Times New Roman" w:hAnsi="Calibri" w:cs="Calibri"/>
          <w:kern w:val="0"/>
          <w:sz w:val="22"/>
          <w:szCs w:val="22"/>
          <w:lang w:val="it-IT" w:eastAsia="en-GB"/>
          <w14:ligatures w14:val="none"/>
        </w:rPr>
        <w:br/>
      </w:r>
      <w:r w:rsidRPr="008E6B7F">
        <w:rPr>
          <w:rFonts w:ascii="Calibri" w:eastAsia="Times New Roman" w:hAnsi="Calibri" w:cs="Calibri"/>
          <w:b/>
          <w:bCs/>
          <w:kern w:val="0"/>
          <w:sz w:val="22"/>
          <w:szCs w:val="22"/>
          <w:lang w:val="it-IT" w:eastAsia="en-GB"/>
          <w14:ligatures w14:val="none"/>
        </w:rPr>
        <w:t>All’estremità opposta del grafico si trovano i mercati azionari del Regno Unito e dei Paesi Bassi</w:t>
      </w:r>
      <w:r w:rsidRPr="00A33B15">
        <w:rPr>
          <w:rFonts w:ascii="Calibri" w:eastAsia="Times New Roman" w:hAnsi="Calibri" w:cs="Calibri"/>
          <w:kern w:val="0"/>
          <w:sz w:val="22"/>
          <w:szCs w:val="22"/>
          <w:lang w:val="it-IT" w:eastAsia="en-GB"/>
          <w14:ligatures w14:val="none"/>
        </w:rPr>
        <w:t>, entrambi con risultati ben peggiori rispetto al rivale più prossimo, l’India</w:t>
      </w:r>
      <w:r w:rsidR="00010222" w:rsidRPr="00A33B15">
        <w:rPr>
          <w:rFonts w:ascii="Calibri" w:eastAsia="Times New Roman" w:hAnsi="Calibri" w:cs="Calibri"/>
          <w:kern w:val="0"/>
          <w:sz w:val="22"/>
          <w:szCs w:val="22"/>
          <w:lang w:val="it-IT" w:eastAsia="en-GB"/>
          <w14:ligatures w14:val="none"/>
        </w:rPr>
        <w:t xml:space="preserve">. </w:t>
      </w:r>
      <w:r w:rsidRPr="00A33B15">
        <w:rPr>
          <w:rFonts w:ascii="Calibri" w:eastAsia="Times New Roman" w:hAnsi="Calibri" w:cs="Calibri"/>
          <w:kern w:val="0"/>
          <w:sz w:val="22"/>
          <w:szCs w:val="22"/>
          <w:lang w:val="it-IT" w:eastAsia="en-GB"/>
          <w14:ligatures w14:val="none"/>
        </w:rPr>
        <w:t xml:space="preserve">Per entrambi i mercati, i costi non riconosciuti delle attività delle società quotate in borsa sono superiori ai loro profitti. Se venissero cristallizzati come costi nei loro conti economici, si annullerebbero tutti i profitti, e non solo. Pur non essendo una previsione, questo dato fornisce un’indicazione dei rischi potenziali per la redditività delle società. Il motivo per cui il mercato azionario britannico si posiziona così male non è, infatti, la sua ben nota grande allocazione nei settori inquinanti dell’energia e dei materiali (che </w:t>
      </w:r>
      <w:r w:rsidRPr="00A33B15">
        <w:rPr>
          <w:rFonts w:ascii="Calibri" w:eastAsia="Times New Roman" w:hAnsi="Calibri" w:cs="Calibri"/>
          <w:kern w:val="0"/>
          <w:sz w:val="22"/>
          <w:szCs w:val="22"/>
          <w:lang w:val="it-IT" w:eastAsia="en-GB"/>
          <w14:ligatures w14:val="none"/>
        </w:rPr>
        <w:lastRenderedPageBreak/>
        <w:t xml:space="preserve">insieme rappresentano il 23% del mercato alla fine di luglio). </w:t>
      </w:r>
      <w:r w:rsidRPr="008E6B7F">
        <w:rPr>
          <w:rFonts w:ascii="Calibri" w:eastAsia="Times New Roman" w:hAnsi="Calibri" w:cs="Calibri"/>
          <w:b/>
          <w:bCs/>
          <w:kern w:val="0"/>
          <w:sz w:val="22"/>
          <w:szCs w:val="22"/>
          <w:lang w:val="it-IT" w:eastAsia="en-GB"/>
          <w14:ligatures w14:val="none"/>
        </w:rPr>
        <w:t>Per quanto riguarda le metriche ambientali, il Regno Unito si colloca a metà classifica</w:t>
      </w:r>
      <w:r w:rsidRPr="00A33B15">
        <w:rPr>
          <w:rFonts w:ascii="Calibri" w:eastAsia="Times New Roman" w:hAnsi="Calibri" w:cs="Calibri"/>
          <w:kern w:val="0"/>
          <w:sz w:val="22"/>
          <w:szCs w:val="22"/>
          <w:lang w:val="it-IT" w:eastAsia="en-GB"/>
          <w14:ligatures w14:val="none"/>
        </w:rPr>
        <w:t xml:space="preserve">, al </w:t>
      </w:r>
      <w:r w:rsidR="007230E8" w:rsidRPr="00A33B15">
        <w:rPr>
          <w:rFonts w:ascii="Calibri" w:eastAsia="Times New Roman" w:hAnsi="Calibri" w:cs="Calibri"/>
          <w:kern w:val="0"/>
          <w:sz w:val="22"/>
          <w:szCs w:val="22"/>
          <w:lang w:val="it-IT" w:eastAsia="en-GB"/>
          <w14:ligatures w14:val="none"/>
        </w:rPr>
        <w:t>dodicesimo</w:t>
      </w:r>
      <w:r w:rsidRPr="00A33B15">
        <w:rPr>
          <w:rFonts w:ascii="Calibri" w:eastAsia="Times New Roman" w:hAnsi="Calibri" w:cs="Calibri"/>
          <w:kern w:val="0"/>
          <w:sz w:val="22"/>
          <w:szCs w:val="22"/>
          <w:lang w:val="it-IT" w:eastAsia="en-GB"/>
          <w14:ligatures w14:val="none"/>
        </w:rPr>
        <w:t xml:space="preserve"> posto.</w:t>
      </w:r>
      <w:r w:rsidR="00010222" w:rsidRPr="00A33B15">
        <w:rPr>
          <w:rFonts w:ascii="Calibri" w:eastAsia="Times New Roman" w:hAnsi="Calibri" w:cs="Calibri"/>
          <w:kern w:val="0"/>
          <w:sz w:val="22"/>
          <w:szCs w:val="22"/>
          <w:lang w:val="it-IT" w:eastAsia="en-GB"/>
          <w14:ligatures w14:val="none"/>
        </w:rPr>
        <w:t xml:space="preserve"> </w:t>
      </w:r>
      <w:r w:rsidRPr="00A33B15">
        <w:rPr>
          <w:rFonts w:ascii="Calibri" w:eastAsia="Times New Roman" w:hAnsi="Calibri" w:cs="Calibri"/>
          <w:kern w:val="0"/>
          <w:sz w:val="22"/>
          <w:szCs w:val="22"/>
          <w:lang w:val="it-IT" w:eastAsia="en-GB"/>
          <w14:ligatures w14:val="none"/>
        </w:rPr>
        <w:t>L’aspetto più negativo è l’esposizione del mercato alle aziende produttrici di tabacco e bevande alcoliche. Questi hanno costi diretti per la salute e indiretti per la società. Anche il mercato olandese risente della sua esposizione alle aziende produttrici di bevande alcoliche.</w:t>
      </w:r>
      <w:r w:rsidR="00010222" w:rsidRPr="00A33B15">
        <w:rPr>
          <w:rFonts w:ascii="Calibri" w:eastAsia="Times New Roman" w:hAnsi="Calibri" w:cs="Calibri"/>
          <w:kern w:val="0"/>
          <w:sz w:val="22"/>
          <w:szCs w:val="22"/>
          <w:lang w:val="it-IT" w:eastAsia="en-GB"/>
          <w14:ligatures w14:val="none"/>
        </w:rPr>
        <w:t xml:space="preserve"> </w:t>
      </w:r>
    </w:p>
    <w:p w14:paraId="4382EBA3" w14:textId="07ED8312" w:rsidR="00A525E1" w:rsidRPr="00DA589F" w:rsidRDefault="00A525E1" w:rsidP="00A525E1">
      <w:pPr>
        <w:spacing w:before="100" w:beforeAutospacing="1" w:after="100" w:afterAutospacing="1"/>
        <w:rPr>
          <w:rFonts w:ascii="Calibri" w:eastAsia="Times New Roman" w:hAnsi="Calibri" w:cs="Calibri"/>
          <w:b/>
          <w:bCs/>
          <w:color w:val="000000"/>
          <w:kern w:val="0"/>
          <w:sz w:val="22"/>
          <w:szCs w:val="22"/>
          <w:lang w:val="it-IT" w:eastAsia="en-GB"/>
          <w14:ligatures w14:val="none"/>
        </w:rPr>
      </w:pPr>
      <w:r w:rsidRPr="00F13E91">
        <w:rPr>
          <w:rFonts w:ascii="Calibri" w:eastAsia="Times New Roman" w:hAnsi="Calibri" w:cs="Calibri"/>
          <w:color w:val="000000"/>
          <w:kern w:val="0"/>
          <w:sz w:val="22"/>
          <w:szCs w:val="22"/>
          <w:u w:val="single"/>
          <w:lang w:val="it-IT" w:eastAsia="en-GB"/>
          <w14:ligatures w14:val="none"/>
        </w:rPr>
        <w:t>E l’Italia?</w:t>
      </w:r>
      <w:r>
        <w:rPr>
          <w:rFonts w:ascii="Calibri" w:eastAsia="Times New Roman" w:hAnsi="Calibri" w:cs="Calibri"/>
          <w:b/>
          <w:bCs/>
          <w:color w:val="000000"/>
          <w:kern w:val="0"/>
          <w:sz w:val="22"/>
          <w:szCs w:val="22"/>
          <w:lang w:val="it-IT" w:eastAsia="en-GB"/>
          <w14:ligatures w14:val="none"/>
        </w:rPr>
        <w:br/>
      </w:r>
      <w:r w:rsidRPr="00C84C6C">
        <w:rPr>
          <w:rFonts w:ascii="Calibri" w:eastAsia="Times New Roman" w:hAnsi="Calibri" w:cs="Calibri"/>
          <w:color w:val="000000"/>
          <w:kern w:val="0"/>
          <w:sz w:val="22"/>
          <w:szCs w:val="22"/>
          <w:lang w:val="it-IT" w:eastAsia="en-GB"/>
          <w14:ligatures w14:val="none"/>
        </w:rPr>
        <w:t xml:space="preserve">Secondo la nostra analisi, </w:t>
      </w:r>
      <w:r w:rsidRPr="008E6B7F">
        <w:rPr>
          <w:rFonts w:ascii="Calibri" w:eastAsia="Times New Roman" w:hAnsi="Calibri" w:cs="Calibri"/>
          <w:b/>
          <w:bCs/>
          <w:color w:val="000000"/>
          <w:kern w:val="0"/>
          <w:sz w:val="22"/>
          <w:szCs w:val="22"/>
          <w:lang w:val="it-IT" w:eastAsia="en-GB"/>
          <w14:ligatures w14:val="none"/>
        </w:rPr>
        <w:t>il mercato azionario italiano è uno dei soli sei in cui le esternalità delle società sono positive in aggregato.</w:t>
      </w:r>
      <w:r w:rsidRPr="00C84C6C">
        <w:rPr>
          <w:rFonts w:ascii="Calibri" w:eastAsia="Times New Roman" w:hAnsi="Calibri" w:cs="Calibri"/>
          <w:color w:val="000000"/>
          <w:kern w:val="0"/>
          <w:sz w:val="22"/>
          <w:szCs w:val="22"/>
          <w:lang w:val="it-IT" w:eastAsia="en-GB"/>
          <w14:ligatures w14:val="none"/>
        </w:rPr>
        <w:t xml:space="preserve"> Si posiziona bene sia per le credenziali sociali</w:t>
      </w:r>
      <w:r>
        <w:rPr>
          <w:rFonts w:ascii="Calibri" w:eastAsia="Times New Roman" w:hAnsi="Calibri" w:cs="Calibri"/>
          <w:color w:val="000000"/>
          <w:kern w:val="0"/>
          <w:sz w:val="22"/>
          <w:szCs w:val="22"/>
          <w:lang w:val="it-IT" w:eastAsia="en-GB"/>
          <w14:ligatures w14:val="none"/>
        </w:rPr>
        <w:t xml:space="preserve">, al </w:t>
      </w:r>
      <w:r w:rsidRPr="00C84C6C">
        <w:rPr>
          <w:rFonts w:ascii="Calibri" w:eastAsia="Times New Roman" w:hAnsi="Calibri" w:cs="Calibri"/>
          <w:color w:val="000000"/>
          <w:kern w:val="0"/>
          <w:sz w:val="22"/>
          <w:szCs w:val="22"/>
          <w:lang w:val="it-IT" w:eastAsia="en-GB"/>
          <w14:ligatures w14:val="none"/>
        </w:rPr>
        <w:t>quarto posto</w:t>
      </w:r>
      <w:r>
        <w:rPr>
          <w:rFonts w:ascii="Calibri" w:eastAsia="Times New Roman" w:hAnsi="Calibri" w:cs="Calibri"/>
          <w:color w:val="000000"/>
          <w:kern w:val="0"/>
          <w:sz w:val="22"/>
          <w:szCs w:val="22"/>
          <w:lang w:val="it-IT" w:eastAsia="en-GB"/>
          <w14:ligatures w14:val="none"/>
        </w:rPr>
        <w:t>, sia</w:t>
      </w:r>
      <w:r w:rsidRPr="00C84C6C">
        <w:rPr>
          <w:rFonts w:ascii="Calibri" w:eastAsia="Times New Roman" w:hAnsi="Calibri" w:cs="Calibri"/>
          <w:color w:val="000000"/>
          <w:kern w:val="0"/>
          <w:sz w:val="22"/>
          <w:szCs w:val="22"/>
          <w:lang w:val="it-IT" w:eastAsia="en-GB"/>
          <w14:ligatures w14:val="none"/>
        </w:rPr>
        <w:t xml:space="preserve"> per quelle ambientali</w:t>
      </w:r>
      <w:r>
        <w:rPr>
          <w:rFonts w:ascii="Calibri" w:eastAsia="Times New Roman" w:hAnsi="Calibri" w:cs="Calibri"/>
          <w:color w:val="000000"/>
          <w:kern w:val="0"/>
          <w:sz w:val="22"/>
          <w:szCs w:val="22"/>
          <w:lang w:val="it-IT" w:eastAsia="en-GB"/>
          <w14:ligatures w14:val="none"/>
        </w:rPr>
        <w:t>, quinta</w:t>
      </w:r>
      <w:r w:rsidRPr="00C84C6C">
        <w:rPr>
          <w:rFonts w:ascii="Calibri" w:eastAsia="Times New Roman" w:hAnsi="Calibri" w:cs="Calibri"/>
          <w:color w:val="000000"/>
          <w:kern w:val="0"/>
          <w:sz w:val="22"/>
          <w:szCs w:val="22"/>
          <w:lang w:val="it-IT" w:eastAsia="en-GB"/>
          <w14:ligatures w14:val="none"/>
        </w:rPr>
        <w:t>. Si colloca</w:t>
      </w:r>
      <w:r>
        <w:rPr>
          <w:rFonts w:ascii="Calibri" w:eastAsia="Times New Roman" w:hAnsi="Calibri" w:cs="Calibri"/>
          <w:color w:val="000000"/>
          <w:kern w:val="0"/>
          <w:sz w:val="22"/>
          <w:szCs w:val="22"/>
          <w:lang w:val="it-IT" w:eastAsia="en-GB"/>
          <w14:ligatures w14:val="none"/>
        </w:rPr>
        <w:t>,</w:t>
      </w:r>
      <w:r w:rsidRPr="00C84C6C">
        <w:rPr>
          <w:rFonts w:ascii="Calibri" w:eastAsia="Times New Roman" w:hAnsi="Calibri" w:cs="Calibri"/>
          <w:color w:val="000000"/>
          <w:kern w:val="0"/>
          <w:sz w:val="22"/>
          <w:szCs w:val="22"/>
          <w:lang w:val="it-IT" w:eastAsia="en-GB"/>
          <w14:ligatures w14:val="none"/>
        </w:rPr>
        <w:t xml:space="preserve"> inoltre</w:t>
      </w:r>
      <w:r>
        <w:rPr>
          <w:rFonts w:ascii="Calibri" w:eastAsia="Times New Roman" w:hAnsi="Calibri" w:cs="Calibri"/>
          <w:color w:val="000000"/>
          <w:kern w:val="0"/>
          <w:sz w:val="22"/>
          <w:szCs w:val="22"/>
          <w:lang w:val="it-IT" w:eastAsia="en-GB"/>
          <w14:ligatures w14:val="none"/>
        </w:rPr>
        <w:t>,</w:t>
      </w:r>
      <w:r w:rsidRPr="00C84C6C">
        <w:rPr>
          <w:rFonts w:ascii="Calibri" w:eastAsia="Times New Roman" w:hAnsi="Calibri" w:cs="Calibri"/>
          <w:color w:val="000000"/>
          <w:kern w:val="0"/>
          <w:sz w:val="22"/>
          <w:szCs w:val="22"/>
          <w:lang w:val="it-IT" w:eastAsia="en-GB"/>
          <w14:ligatures w14:val="none"/>
        </w:rPr>
        <w:t xml:space="preserve"> al quinto posto </w:t>
      </w:r>
      <w:r>
        <w:rPr>
          <w:rFonts w:ascii="Calibri" w:eastAsia="Times New Roman" w:hAnsi="Calibri" w:cs="Calibri"/>
          <w:color w:val="000000"/>
          <w:kern w:val="0"/>
          <w:sz w:val="22"/>
          <w:szCs w:val="22"/>
          <w:lang w:val="it-IT" w:eastAsia="en-GB"/>
          <w14:ligatures w14:val="none"/>
        </w:rPr>
        <w:t xml:space="preserve">in termini di azienda </w:t>
      </w:r>
      <w:r w:rsidRPr="00C84C6C">
        <w:rPr>
          <w:rFonts w:ascii="Calibri" w:eastAsia="Times New Roman" w:hAnsi="Calibri" w:cs="Calibri"/>
          <w:color w:val="000000"/>
          <w:kern w:val="0"/>
          <w:sz w:val="22"/>
          <w:szCs w:val="22"/>
          <w:lang w:val="it-IT" w:eastAsia="en-GB"/>
          <w14:ligatures w14:val="none"/>
        </w:rPr>
        <w:t xml:space="preserve">mediana. </w:t>
      </w:r>
      <w:r w:rsidRPr="008E6B7F">
        <w:rPr>
          <w:rFonts w:ascii="Calibri" w:eastAsia="Times New Roman" w:hAnsi="Calibri" w:cs="Calibri"/>
          <w:b/>
          <w:bCs/>
          <w:color w:val="000000"/>
          <w:kern w:val="0"/>
          <w:sz w:val="22"/>
          <w:szCs w:val="22"/>
          <w:lang w:val="it-IT" w:eastAsia="en-GB"/>
          <w14:ligatures w14:val="none"/>
        </w:rPr>
        <w:t>L'Italia risulta, quindi, tra i mercati con il punteggio più alto su più metriche.</w:t>
      </w:r>
    </w:p>
    <w:p w14:paraId="45374F11" w14:textId="0F8CBABB" w:rsidR="004566DB" w:rsidRPr="00ED0E83" w:rsidRDefault="00010222" w:rsidP="00A33B15">
      <w:pPr>
        <w:spacing w:before="100" w:beforeAutospacing="1" w:after="100" w:afterAutospacing="1"/>
        <w:rPr>
          <w:rFonts w:ascii="Calibri" w:eastAsia="Times New Roman" w:hAnsi="Calibri" w:cs="Calibri"/>
          <w:b/>
          <w:bCs/>
          <w:color w:val="000000"/>
          <w:kern w:val="0"/>
          <w:sz w:val="22"/>
          <w:szCs w:val="22"/>
          <w:lang w:val="it-IT" w:eastAsia="en-GB"/>
          <w14:ligatures w14:val="none"/>
        </w:rPr>
      </w:pPr>
      <w:r w:rsidRPr="00F13E91">
        <w:rPr>
          <w:rFonts w:ascii="Calibri" w:eastAsia="Times New Roman" w:hAnsi="Calibri" w:cs="Calibri"/>
          <w:kern w:val="0"/>
          <w:sz w:val="22"/>
          <w:szCs w:val="22"/>
          <w:u w:val="single"/>
          <w:lang w:val="it-IT" w:eastAsia="en-GB"/>
          <w14:ligatures w14:val="none"/>
        </w:rPr>
        <w:t>La rilevanza delle esternalità per i profitti aziendali</w:t>
      </w:r>
      <w:r w:rsidR="007A2ED1">
        <w:rPr>
          <w:rFonts w:ascii="Calibri" w:eastAsia="Times New Roman" w:hAnsi="Calibri" w:cs="Calibri"/>
          <w:kern w:val="0"/>
          <w:sz w:val="22"/>
          <w:szCs w:val="22"/>
          <w:lang w:val="it-IT" w:eastAsia="en-GB"/>
          <w14:ligatures w14:val="none"/>
        </w:rPr>
        <w:br/>
      </w:r>
      <w:r w:rsidR="00746437" w:rsidRPr="00ED0E83">
        <w:rPr>
          <w:rFonts w:ascii="Calibri" w:eastAsia="Times New Roman" w:hAnsi="Calibri" w:cs="Calibri"/>
          <w:b/>
          <w:bCs/>
          <w:kern w:val="0"/>
          <w:sz w:val="22"/>
          <w:szCs w:val="22"/>
          <w:lang w:val="it-IT" w:eastAsia="en-GB"/>
          <w14:ligatures w14:val="none"/>
        </w:rPr>
        <w:t xml:space="preserve">In molti casi, i profitti aziendali subirebbero un duro colpo se l’impatto finanziario delle imprese sull’ambiente e sulla società fosse a </w:t>
      </w:r>
      <w:r w:rsidR="00746437" w:rsidRPr="00ED0E83">
        <w:rPr>
          <w:rFonts w:ascii="Calibri" w:eastAsia="Times New Roman" w:hAnsi="Calibri" w:cs="Calibri"/>
          <w:b/>
          <w:bCs/>
          <w:color w:val="000000"/>
          <w:kern w:val="0"/>
          <w:sz w:val="22"/>
          <w:szCs w:val="22"/>
          <w:lang w:val="it-IT" w:eastAsia="en-GB"/>
          <w14:ligatures w14:val="none"/>
        </w:rPr>
        <w:t>carico delle imprese stesse.</w:t>
      </w:r>
      <w:r>
        <w:rPr>
          <w:rFonts w:ascii="Calibri" w:eastAsia="Times New Roman" w:hAnsi="Calibri" w:cs="Calibri"/>
          <w:color w:val="000000"/>
          <w:kern w:val="0"/>
          <w:sz w:val="22"/>
          <w:szCs w:val="22"/>
          <w:lang w:val="it-IT" w:eastAsia="en-GB"/>
          <w14:ligatures w14:val="none"/>
        </w:rPr>
        <w:t xml:space="preserve"> </w:t>
      </w:r>
      <w:r w:rsidR="004566DB" w:rsidRPr="00B2234D">
        <w:rPr>
          <w:rFonts w:ascii="Calibri" w:eastAsia="Times New Roman" w:hAnsi="Calibri" w:cs="Calibri"/>
          <w:color w:val="000000"/>
          <w:kern w:val="0"/>
          <w:sz w:val="22"/>
          <w:szCs w:val="22"/>
          <w:lang w:val="it-IT" w:eastAsia="en-GB"/>
          <w14:ligatures w14:val="none"/>
        </w:rPr>
        <w:t xml:space="preserve">Può sembrare strano che i profitti cinesi siano più a rischio di quelli sauditi, quando la nostra classifica mostra che le aziende saudite hanno un effetto negativo maggiore sulla società. Questo perché il mercato azionario cinese ha un margine di profitto previsto relativamente basso (4,7%), mentre quello saudita è relativamente alto (21,0%). </w:t>
      </w:r>
      <w:r w:rsidR="004566DB" w:rsidRPr="00ED0E83">
        <w:rPr>
          <w:rFonts w:ascii="Calibri" w:eastAsia="Times New Roman" w:hAnsi="Calibri" w:cs="Calibri"/>
          <w:b/>
          <w:bCs/>
          <w:color w:val="000000"/>
          <w:kern w:val="0"/>
          <w:sz w:val="22"/>
          <w:szCs w:val="22"/>
          <w:lang w:val="it-IT" w:eastAsia="en-GB"/>
          <w14:ligatures w14:val="none"/>
        </w:rPr>
        <w:t>Le società cinesi hanno</w:t>
      </w:r>
      <w:r w:rsidR="004566DB" w:rsidRPr="00B2234D">
        <w:rPr>
          <w:rFonts w:ascii="Calibri" w:eastAsia="Times New Roman" w:hAnsi="Calibri" w:cs="Calibri"/>
          <w:color w:val="000000"/>
          <w:kern w:val="0"/>
          <w:sz w:val="22"/>
          <w:szCs w:val="22"/>
          <w:lang w:val="it-IT" w:eastAsia="en-GB"/>
          <w14:ligatures w14:val="none"/>
        </w:rPr>
        <w:t xml:space="preserve"> semplicemente </w:t>
      </w:r>
      <w:r w:rsidR="004566DB" w:rsidRPr="00ED0E83">
        <w:rPr>
          <w:rFonts w:ascii="Calibri" w:eastAsia="Times New Roman" w:hAnsi="Calibri" w:cs="Calibri"/>
          <w:b/>
          <w:bCs/>
          <w:color w:val="000000"/>
          <w:kern w:val="0"/>
          <w:sz w:val="22"/>
          <w:szCs w:val="22"/>
          <w:lang w:val="it-IT" w:eastAsia="en-GB"/>
          <w14:ligatures w14:val="none"/>
        </w:rPr>
        <w:t>meno spazio per assorbire eventuali costi aggiuntivi.</w:t>
      </w:r>
      <w:r w:rsidR="008F42F8" w:rsidRPr="00ED0E83">
        <w:rPr>
          <w:rFonts w:ascii="Calibri" w:eastAsia="Times New Roman" w:hAnsi="Calibri" w:cs="Calibri"/>
          <w:b/>
          <w:bCs/>
          <w:color w:val="000000"/>
          <w:kern w:val="0"/>
          <w:sz w:val="22"/>
          <w:szCs w:val="22"/>
          <w:lang w:val="it-IT" w:eastAsia="en-GB"/>
          <w14:ligatures w14:val="none"/>
        </w:rPr>
        <w:t xml:space="preserve"> </w:t>
      </w:r>
      <w:r w:rsidR="004566DB" w:rsidRPr="00B2234D">
        <w:rPr>
          <w:rFonts w:ascii="Calibri" w:eastAsia="Times New Roman" w:hAnsi="Calibri" w:cs="Calibri"/>
          <w:color w:val="000000"/>
          <w:kern w:val="0"/>
          <w:sz w:val="22"/>
          <w:szCs w:val="22"/>
          <w:lang w:val="it-IT" w:eastAsia="en-GB"/>
          <w14:ligatures w14:val="none"/>
        </w:rPr>
        <w:t>Sul fronte dei rendimenti, le forti credenziali di sostenibilità non garantiscono buoni rendimenti e viceversa. È importante valutare quanto le opportunità e i rischi si riflettano già nei prezzi delle azioni. Alcuni investitori danno priorità al miglioramento delle credenziali di sostenibilità del proprio portafoglio. Altri puntano ad avere un impatto positivo. Un portafoglio che esclude i mercati dei peggiori colpevoli sembrerebbe ovviamente molto più vantaggioso per la società rispetto al semplice acquisto dell’intero mercato globale. Questo è vero sia che si guardi ai mercati azionari, ai settori o alle singole società. Ma questo non significa che sarebbe la cosa giusta da fare per ottenere risultati migliori per la società. O per i rendimenti degli investimenti.</w:t>
      </w:r>
      <w:r>
        <w:rPr>
          <w:rFonts w:ascii="Calibri" w:eastAsia="Times New Roman" w:hAnsi="Calibri" w:cs="Calibri"/>
          <w:color w:val="000000"/>
          <w:kern w:val="0"/>
          <w:sz w:val="22"/>
          <w:szCs w:val="22"/>
          <w:lang w:val="it-IT" w:eastAsia="en-GB"/>
          <w14:ligatures w14:val="none"/>
        </w:rPr>
        <w:t xml:space="preserve"> </w:t>
      </w:r>
      <w:r w:rsidR="004566DB" w:rsidRPr="00ED0E83">
        <w:rPr>
          <w:rFonts w:ascii="Calibri" w:eastAsia="Times New Roman" w:hAnsi="Calibri" w:cs="Calibri"/>
          <w:b/>
          <w:bCs/>
          <w:color w:val="000000"/>
          <w:kern w:val="0"/>
          <w:sz w:val="22"/>
          <w:szCs w:val="22"/>
          <w:lang w:val="it-IT" w:eastAsia="en-GB"/>
          <w14:ligatures w14:val="none"/>
        </w:rPr>
        <w:t>L’esclusione di alcune società o settori non impedisce lo svolgimento di attività dannose.</w:t>
      </w:r>
      <w:r w:rsidR="004566DB" w:rsidRPr="00B2234D">
        <w:rPr>
          <w:rFonts w:ascii="Calibri" w:eastAsia="Times New Roman" w:hAnsi="Calibri" w:cs="Calibri"/>
          <w:color w:val="000000"/>
          <w:kern w:val="0"/>
          <w:sz w:val="22"/>
          <w:szCs w:val="22"/>
          <w:lang w:val="it-IT" w:eastAsia="en-GB"/>
          <w14:ligatures w14:val="none"/>
        </w:rPr>
        <w:t xml:space="preserve"> Per ogni venditore di azioni c’è un compratore.</w:t>
      </w:r>
      <w:r w:rsidR="00A525E1">
        <w:rPr>
          <w:rFonts w:ascii="Calibri" w:eastAsia="Times New Roman" w:hAnsi="Calibri" w:cs="Calibri"/>
          <w:color w:val="000000"/>
          <w:kern w:val="0"/>
          <w:sz w:val="22"/>
          <w:szCs w:val="22"/>
          <w:lang w:val="it-IT" w:eastAsia="en-GB"/>
          <w14:ligatures w14:val="none"/>
        </w:rPr>
        <w:t xml:space="preserve"> Piuttosto, </w:t>
      </w:r>
      <w:r w:rsidR="00A525E1" w:rsidRPr="00ED0E83">
        <w:rPr>
          <w:rFonts w:ascii="Calibri" w:eastAsia="Times New Roman" w:hAnsi="Calibri" w:cs="Calibri"/>
          <w:b/>
          <w:bCs/>
          <w:color w:val="000000"/>
          <w:kern w:val="0"/>
          <w:sz w:val="22"/>
          <w:szCs w:val="22"/>
          <w:lang w:val="it-IT" w:eastAsia="en-GB"/>
          <w14:ligatures w14:val="none"/>
        </w:rPr>
        <w:t>riteniamo fermamente nel potere e nell’importanza dell’azionariato attivo, influenzando le aziende in cui investiamo per ottenere risultati migliori per la società e per gli azionisti.</w:t>
      </w:r>
    </w:p>
    <w:p w14:paraId="26F4E9FE" w14:textId="4777D411" w:rsidR="004566DB" w:rsidRDefault="004566DB" w:rsidP="004566DB">
      <w:pPr>
        <w:rPr>
          <w:rFonts w:ascii="Calibri" w:eastAsia="Times New Roman" w:hAnsi="Calibri" w:cs="Calibri"/>
          <w:kern w:val="0"/>
          <w:sz w:val="22"/>
          <w:szCs w:val="22"/>
          <w:u w:val="single"/>
          <w:lang w:val="it-IT" w:eastAsia="en-GB"/>
          <w14:ligatures w14:val="none"/>
        </w:rPr>
      </w:pPr>
      <w:r w:rsidRPr="00F13E91">
        <w:rPr>
          <w:rFonts w:ascii="Calibri" w:eastAsia="Times New Roman" w:hAnsi="Calibri" w:cs="Calibri"/>
          <w:kern w:val="0"/>
          <w:sz w:val="22"/>
          <w:szCs w:val="22"/>
          <w:u w:val="single"/>
          <w:lang w:val="it-IT" w:eastAsia="en-GB"/>
          <w14:ligatures w14:val="none"/>
        </w:rPr>
        <w:t xml:space="preserve">I mercati azionari spagnoli, tedeschi e danesi sono in testa, Regno Unito e olandesi sono </w:t>
      </w:r>
      <w:r w:rsidR="00A525E1" w:rsidRPr="00F13E91">
        <w:rPr>
          <w:rFonts w:ascii="Calibri" w:eastAsia="Times New Roman" w:hAnsi="Calibri" w:cs="Calibri"/>
          <w:kern w:val="0"/>
          <w:sz w:val="22"/>
          <w:szCs w:val="22"/>
          <w:u w:val="single"/>
          <w:lang w:val="it-IT" w:eastAsia="en-GB"/>
          <w14:ligatures w14:val="none"/>
        </w:rPr>
        <w:t>indietro</w:t>
      </w:r>
      <w:r w:rsidRPr="00F13E91">
        <w:rPr>
          <w:rFonts w:ascii="Calibri" w:eastAsia="Times New Roman" w:hAnsi="Calibri" w:cs="Calibri"/>
          <w:kern w:val="0"/>
          <w:sz w:val="22"/>
          <w:szCs w:val="22"/>
          <w:u w:val="single"/>
          <w:lang w:val="it-IT" w:eastAsia="en-GB"/>
          <w14:ligatures w14:val="none"/>
        </w:rPr>
        <w:t xml:space="preserve"> </w:t>
      </w:r>
    </w:p>
    <w:p w14:paraId="4582D22C" w14:textId="77777777" w:rsidR="00F13E91" w:rsidRPr="00F13E91" w:rsidRDefault="00F13E91" w:rsidP="004566DB">
      <w:pPr>
        <w:rPr>
          <w:rFonts w:ascii="Calibri" w:eastAsia="Times New Roman" w:hAnsi="Calibri" w:cs="Calibri"/>
          <w:kern w:val="0"/>
          <w:sz w:val="22"/>
          <w:szCs w:val="22"/>
          <w:u w:val="single"/>
          <w:lang w:val="it-IT" w:eastAsia="en-GB"/>
          <w14:ligatures w14:val="none"/>
        </w:rPr>
      </w:pPr>
    </w:p>
    <w:p w14:paraId="1CC17377" w14:textId="77777777" w:rsidR="004566DB" w:rsidRPr="00B2234D" w:rsidRDefault="004566DB" w:rsidP="00B513E5">
      <w:pPr>
        <w:rPr>
          <w:rFonts w:ascii="Calibri" w:eastAsia="Times New Roman" w:hAnsi="Calibri" w:cs="Calibri"/>
          <w:kern w:val="0"/>
          <w:sz w:val="22"/>
          <w:szCs w:val="22"/>
          <w:lang w:val="it-IT" w:eastAsia="en-GB"/>
          <w14:ligatures w14:val="none"/>
        </w:rPr>
      </w:pPr>
      <w:r w:rsidRPr="00B2234D">
        <w:rPr>
          <w:rFonts w:ascii="Calibri" w:eastAsia="Times New Roman" w:hAnsi="Calibri" w:cs="Calibri"/>
          <w:noProof/>
          <w:kern w:val="0"/>
          <w:sz w:val="22"/>
          <w:szCs w:val="22"/>
          <w:lang w:val="it-IT" w:eastAsia="en-GB"/>
          <w14:ligatures w14:val="none"/>
        </w:rPr>
        <w:drawing>
          <wp:inline distT="0" distB="0" distL="0" distR="0" wp14:anchorId="349AB1FD" wp14:editId="38287421">
            <wp:extent cx="3816000" cy="2504850"/>
            <wp:effectExtent l="0" t="0" r="0" b="0"/>
            <wp:docPr id="11454610" name="Immagine 11454610" descr="A chart of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22676" name="Picture 1" descr="A chart of stock market&#10;&#10;Description automatically generated"/>
                    <pic:cNvPicPr/>
                  </pic:nvPicPr>
                  <pic:blipFill rotWithShape="1">
                    <a:blip r:embed="rId7"/>
                    <a:srcRect t="12788" b="11945"/>
                    <a:stretch/>
                  </pic:blipFill>
                  <pic:spPr bwMode="auto">
                    <a:xfrm>
                      <a:off x="0" y="0"/>
                      <a:ext cx="3816000" cy="2504850"/>
                    </a:xfrm>
                    <a:prstGeom prst="rect">
                      <a:avLst/>
                    </a:prstGeom>
                    <a:ln>
                      <a:noFill/>
                    </a:ln>
                    <a:extLst>
                      <a:ext uri="{53640926-AAD7-44D8-BBD7-CCE9431645EC}">
                        <a14:shadowObscured xmlns:a14="http://schemas.microsoft.com/office/drawing/2010/main"/>
                      </a:ext>
                    </a:extLst>
                  </pic:spPr>
                </pic:pic>
              </a:graphicData>
            </a:graphic>
          </wp:inline>
        </w:drawing>
      </w:r>
    </w:p>
    <w:p w14:paraId="44776CEE" w14:textId="77777777" w:rsidR="004566DB" w:rsidRPr="00F13E91" w:rsidRDefault="004566DB" w:rsidP="004566DB">
      <w:pPr>
        <w:rPr>
          <w:rFonts w:ascii="Calibri" w:eastAsia="Times New Roman" w:hAnsi="Calibri" w:cs="Calibri"/>
          <w:kern w:val="0"/>
          <w:sz w:val="18"/>
          <w:szCs w:val="18"/>
          <w:lang w:val="it-IT" w:eastAsia="en-GB"/>
          <w14:ligatures w14:val="none"/>
        </w:rPr>
      </w:pPr>
      <w:r w:rsidRPr="00F13E91">
        <w:rPr>
          <w:rFonts w:ascii="Calibri" w:eastAsia="Times New Roman" w:hAnsi="Calibri" w:cs="Calibri"/>
          <w:kern w:val="0"/>
          <w:sz w:val="18"/>
          <w:szCs w:val="18"/>
          <w:lang w:val="it-IT" w:eastAsia="en-GB"/>
          <w14:ligatures w14:val="none"/>
        </w:rPr>
        <w:br/>
      </w:r>
      <w:r w:rsidRPr="00F13E91">
        <w:rPr>
          <w:rFonts w:ascii="Calibri" w:eastAsia="Times New Roman" w:hAnsi="Calibri" w:cs="Calibri"/>
          <w:i/>
          <w:iCs/>
          <w:kern w:val="0"/>
          <w:sz w:val="18"/>
          <w:szCs w:val="18"/>
          <w:lang w:val="it-IT" w:eastAsia="en-GB"/>
          <w14:ligatures w14:val="none"/>
        </w:rPr>
        <w:t>Dati al 31 luglio 2023. Fonte: Schroders</w:t>
      </w:r>
    </w:p>
    <w:p w14:paraId="2CAA5A88" w14:textId="28A84C74" w:rsidR="00847CA1" w:rsidRPr="00A33B15" w:rsidRDefault="00746437" w:rsidP="00847CA1">
      <w:pPr>
        <w:rPr>
          <w:rFonts w:ascii="Calibri" w:eastAsia="Times New Roman" w:hAnsi="Calibri" w:cs="Calibri"/>
          <w:color w:val="000000"/>
          <w:kern w:val="0"/>
          <w:sz w:val="22"/>
          <w:szCs w:val="22"/>
          <w:lang w:val="it-IT" w:eastAsia="en-GB"/>
          <w14:ligatures w14:val="none"/>
        </w:rPr>
      </w:pPr>
      <w:r w:rsidRPr="00F13E91">
        <w:rPr>
          <w:rFonts w:ascii="Calibri" w:eastAsia="Times New Roman" w:hAnsi="Calibri" w:cs="Calibri"/>
          <w:color w:val="000000"/>
          <w:kern w:val="0"/>
          <w:sz w:val="22"/>
          <w:szCs w:val="22"/>
          <w:u w:val="single"/>
          <w:lang w:val="it-IT" w:eastAsia="en-GB"/>
          <w14:ligatures w14:val="none"/>
        </w:rPr>
        <w:lastRenderedPageBreak/>
        <w:t xml:space="preserve">Variazione dei profitti se il costo/beneficio finanziario delle esternalità delle aziende si riflettesse sul conto economico dell’anno prossimo </w:t>
      </w:r>
      <w:r w:rsidR="00847CA1" w:rsidRPr="00A33B15">
        <w:rPr>
          <w:rFonts w:ascii="Calibri" w:eastAsia="Times New Roman" w:hAnsi="Calibri" w:cs="Calibri"/>
          <w:color w:val="000000"/>
          <w:kern w:val="0"/>
          <w:sz w:val="22"/>
          <w:szCs w:val="22"/>
          <w:lang w:val="it-IT" w:eastAsia="en-GB"/>
          <w14:ligatures w14:val="none"/>
        </w:rPr>
        <w:fldChar w:fldCharType="begin"/>
      </w:r>
      <w:r w:rsidR="00847CA1" w:rsidRPr="00A33B15">
        <w:rPr>
          <w:rFonts w:ascii="Calibri" w:eastAsia="Times New Roman" w:hAnsi="Calibri" w:cs="Calibri"/>
          <w:color w:val="000000"/>
          <w:kern w:val="0"/>
          <w:sz w:val="22"/>
          <w:szCs w:val="22"/>
          <w:lang w:val="it-IT" w:eastAsia="en-GB"/>
          <w14:ligatures w14:val="none"/>
        </w:rPr>
        <w:instrText xml:space="preserve"> INCLUDEPICTURE "https://d2csxpduxe849s.cloudfront.net/media/469BA343-4BDA-4DA8-82EFE0F61A0F858A/279C70E6-EFCB-46E4-A15907E88EB76822/webimage-C4A88F11-3CA4-46FA-A3F1E9CEA0867225.png" \* MERGEFORMATINET </w:instrText>
      </w:r>
      <w:r w:rsidR="00847CA1" w:rsidRPr="00A33B15">
        <w:rPr>
          <w:rFonts w:ascii="Calibri" w:eastAsia="Times New Roman" w:hAnsi="Calibri" w:cs="Calibri"/>
          <w:color w:val="000000"/>
          <w:kern w:val="0"/>
          <w:sz w:val="22"/>
          <w:szCs w:val="22"/>
          <w:lang w:val="it-IT" w:eastAsia="en-GB"/>
          <w14:ligatures w14:val="none"/>
        </w:rPr>
        <w:fldChar w:fldCharType="separate"/>
      </w:r>
      <w:r w:rsidR="00847CA1" w:rsidRPr="00A33B15">
        <w:rPr>
          <w:rFonts w:ascii="Calibri" w:eastAsia="Times New Roman" w:hAnsi="Calibri" w:cs="Calibri"/>
          <w:noProof/>
          <w:color w:val="000000"/>
          <w:kern w:val="0"/>
          <w:sz w:val="22"/>
          <w:szCs w:val="22"/>
          <w:lang w:val="it-IT" w:eastAsia="en-GB"/>
          <w14:ligatures w14:val="none"/>
        </w:rPr>
        <w:drawing>
          <wp:inline distT="0" distB="0" distL="0" distR="0" wp14:anchorId="47D94806" wp14:editId="592B35FE">
            <wp:extent cx="5731071" cy="3642609"/>
            <wp:effectExtent l="0" t="0" r="0" b="2540"/>
            <wp:docPr id="627416658" name="Picture 1" descr="Profit impact of companies' extern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t impact of companies' externalities"/>
                    <pic:cNvPicPr>
                      <a:picLocks noChangeAspect="1" noChangeArrowheads="1"/>
                    </pic:cNvPicPr>
                  </pic:nvPicPr>
                  <pic:blipFill rotWithShape="1">
                    <a:blip r:embed="rId8">
                      <a:extLst>
                        <a:ext uri="{28A0092B-C50C-407E-A947-70E740481C1C}">
                          <a14:useLocalDpi xmlns:a14="http://schemas.microsoft.com/office/drawing/2010/main" val="0"/>
                        </a:ext>
                      </a:extLst>
                    </a:blip>
                    <a:srcRect t="12616" b="14387"/>
                    <a:stretch/>
                  </pic:blipFill>
                  <pic:spPr bwMode="auto">
                    <a:xfrm>
                      <a:off x="0" y="0"/>
                      <a:ext cx="5731510" cy="3642888"/>
                    </a:xfrm>
                    <a:prstGeom prst="rect">
                      <a:avLst/>
                    </a:prstGeom>
                    <a:noFill/>
                    <a:ln>
                      <a:noFill/>
                    </a:ln>
                    <a:extLst>
                      <a:ext uri="{53640926-AAD7-44D8-BBD7-CCE9431645EC}">
                        <a14:shadowObscured xmlns:a14="http://schemas.microsoft.com/office/drawing/2010/main"/>
                      </a:ext>
                    </a:extLst>
                  </pic:spPr>
                </pic:pic>
              </a:graphicData>
            </a:graphic>
          </wp:inline>
        </w:drawing>
      </w:r>
      <w:r w:rsidR="00847CA1" w:rsidRPr="00A33B15">
        <w:rPr>
          <w:rFonts w:ascii="Calibri" w:eastAsia="Times New Roman" w:hAnsi="Calibri" w:cs="Calibri"/>
          <w:color w:val="000000"/>
          <w:kern w:val="0"/>
          <w:sz w:val="22"/>
          <w:szCs w:val="22"/>
          <w:lang w:val="it-IT" w:eastAsia="en-GB"/>
          <w14:ligatures w14:val="none"/>
        </w:rPr>
        <w:fldChar w:fldCharType="end"/>
      </w:r>
    </w:p>
    <w:p w14:paraId="171A059F" w14:textId="77777777" w:rsidR="008E6B7F" w:rsidRDefault="008E6B7F" w:rsidP="008E6B7F">
      <w:pPr>
        <w:rPr>
          <w:rFonts w:ascii="Calibri" w:eastAsia="Times New Roman" w:hAnsi="Calibri" w:cs="Calibri"/>
          <w:i/>
          <w:iCs/>
          <w:color w:val="000000"/>
          <w:kern w:val="0"/>
          <w:sz w:val="22"/>
          <w:szCs w:val="22"/>
          <w:lang w:val="it-IT" w:eastAsia="en-GB"/>
          <w14:ligatures w14:val="none"/>
        </w:rPr>
      </w:pPr>
    </w:p>
    <w:p w14:paraId="7CB82A59" w14:textId="403D9F6E" w:rsidR="008E6B7F" w:rsidRPr="008E6B7F" w:rsidRDefault="008E6B7F" w:rsidP="008E6B7F">
      <w:pPr>
        <w:rPr>
          <w:rFonts w:ascii="Calibri" w:eastAsia="Times New Roman" w:hAnsi="Calibri" w:cs="Calibri"/>
          <w:i/>
          <w:iCs/>
          <w:kern w:val="0"/>
          <w:sz w:val="16"/>
          <w:szCs w:val="16"/>
          <w:lang w:val="it-IT" w:eastAsia="en-GB"/>
          <w14:ligatures w14:val="none"/>
        </w:rPr>
      </w:pPr>
      <w:r w:rsidRPr="008E6B7F">
        <w:rPr>
          <w:rFonts w:ascii="Calibri" w:eastAsia="Times New Roman" w:hAnsi="Calibri" w:cs="Calibri"/>
          <w:i/>
          <w:iCs/>
          <w:color w:val="000000"/>
          <w:kern w:val="0"/>
          <w:sz w:val="16"/>
          <w:szCs w:val="16"/>
          <w:lang w:val="it-IT" w:eastAsia="en-GB"/>
          <w14:ligatures w14:val="none"/>
        </w:rPr>
        <w:t xml:space="preserve">*La classifica è stata stilata utilizzando uno strumento proprietario, </w:t>
      </w:r>
      <w:proofErr w:type="spellStart"/>
      <w:r w:rsidRPr="008E6B7F">
        <w:rPr>
          <w:rFonts w:ascii="Calibri" w:eastAsia="Times New Roman" w:hAnsi="Calibri" w:cs="Calibri"/>
          <w:i/>
          <w:iCs/>
          <w:color w:val="000000"/>
          <w:kern w:val="0"/>
          <w:sz w:val="16"/>
          <w:szCs w:val="16"/>
          <w:lang w:val="it-IT" w:eastAsia="en-GB"/>
          <w14:ligatures w14:val="none"/>
        </w:rPr>
        <w:t>SustainEx</w:t>
      </w:r>
      <w:proofErr w:type="spellEnd"/>
      <w:r w:rsidRPr="008E6B7F">
        <w:rPr>
          <w:rFonts w:ascii="Calibri" w:eastAsia="Times New Roman" w:hAnsi="Calibri" w:cs="Calibri"/>
          <w:i/>
          <w:iCs/>
          <w:color w:val="000000"/>
          <w:kern w:val="0"/>
          <w:sz w:val="16"/>
          <w:szCs w:val="16"/>
          <w:lang w:val="it-IT" w:eastAsia="en-GB"/>
          <w14:ligatures w14:val="none"/>
        </w:rPr>
        <w:t xml:space="preserve">, </w:t>
      </w:r>
      <w:r w:rsidRPr="008E6B7F">
        <w:rPr>
          <w:rFonts w:ascii="Calibri" w:eastAsia="Times New Roman" w:hAnsi="Calibri" w:cs="Calibri"/>
          <w:i/>
          <w:iCs/>
          <w:kern w:val="0"/>
          <w:sz w:val="16"/>
          <w:szCs w:val="16"/>
          <w:lang w:val="it-IT" w:eastAsia="en-GB"/>
          <w14:ligatures w14:val="none"/>
        </w:rPr>
        <w:t xml:space="preserve">modello che quantifica in costo/beneficio in dollari l’effetto di un’azienda o di un mercato sulla società, rapportato alle sue vendite per garantire la comparabilità. Fornisce un’indicazione della rilevanza finanziaria delle esternalità delle aziende e può essere utilizzato per valutare il rischio per gli utili aziendali se tali esternalità si riflettessero sulle aziende che le generano. </w:t>
      </w:r>
    </w:p>
    <w:p w14:paraId="4728BFAF" w14:textId="77030577" w:rsidR="006E49B2" w:rsidRPr="00A33B15" w:rsidRDefault="006E49B2" w:rsidP="00A33B15">
      <w:pPr>
        <w:rPr>
          <w:rFonts w:ascii="Calibri" w:eastAsia="Times New Roman" w:hAnsi="Calibri" w:cs="Calibri"/>
          <w:color w:val="000000"/>
          <w:kern w:val="0"/>
          <w:sz w:val="22"/>
          <w:szCs w:val="22"/>
          <w:lang w:val="it-IT" w:eastAsia="en-GB"/>
          <w14:ligatures w14:val="none"/>
        </w:rPr>
      </w:pPr>
    </w:p>
    <w:sectPr w:rsidR="006E49B2" w:rsidRPr="00A33B15" w:rsidSect="008E6B7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5D56" w14:textId="77777777" w:rsidR="00197FA2" w:rsidRDefault="00197FA2" w:rsidP="007F7D16">
      <w:r>
        <w:separator/>
      </w:r>
    </w:p>
  </w:endnote>
  <w:endnote w:type="continuationSeparator" w:id="0">
    <w:p w14:paraId="25A4A021" w14:textId="77777777" w:rsidR="00197FA2" w:rsidRDefault="00197FA2" w:rsidP="007F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5561" w14:textId="77777777" w:rsidR="00197FA2" w:rsidRDefault="00197FA2" w:rsidP="007F7D16">
      <w:r>
        <w:separator/>
      </w:r>
    </w:p>
  </w:footnote>
  <w:footnote w:type="continuationSeparator" w:id="0">
    <w:p w14:paraId="41FB10D6" w14:textId="77777777" w:rsidR="00197FA2" w:rsidRDefault="00197FA2" w:rsidP="007F7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AFD"/>
    <w:multiLevelType w:val="hybridMultilevel"/>
    <w:tmpl w:val="91BC7988"/>
    <w:lvl w:ilvl="0" w:tplc="CBC624D6">
      <w:numFmt w:val="bullet"/>
      <w:lvlText w:val=""/>
      <w:lvlJc w:val="left"/>
      <w:pPr>
        <w:ind w:left="720" w:hanging="360"/>
      </w:pPr>
      <w:rPr>
        <w:rFonts w:ascii="Symbol" w:eastAsia="Times New Roman" w:hAnsi="Symbol"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390118"/>
    <w:multiLevelType w:val="hybridMultilevel"/>
    <w:tmpl w:val="5DE218E6"/>
    <w:lvl w:ilvl="0" w:tplc="E23CABF4">
      <w:numFmt w:val="bullet"/>
      <w:lvlText w:val=""/>
      <w:lvlJc w:val="left"/>
      <w:pPr>
        <w:ind w:left="720" w:hanging="360"/>
      </w:pPr>
      <w:rPr>
        <w:rFonts w:ascii="Symbol" w:eastAsia="Times New Roman" w:hAnsi="Symbol" w:cs="Calibri" w:hint="default"/>
        <w:i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2332269">
    <w:abstractNumId w:val="1"/>
  </w:num>
  <w:num w:numId="2" w16cid:durableId="44022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8D"/>
    <w:rsid w:val="00010222"/>
    <w:rsid w:val="00095EEF"/>
    <w:rsid w:val="000C7AD0"/>
    <w:rsid w:val="000D09AA"/>
    <w:rsid w:val="001431E2"/>
    <w:rsid w:val="00156FD1"/>
    <w:rsid w:val="00197FA2"/>
    <w:rsid w:val="001B7963"/>
    <w:rsid w:val="001F1E0E"/>
    <w:rsid w:val="00202DF2"/>
    <w:rsid w:val="00202F63"/>
    <w:rsid w:val="00212737"/>
    <w:rsid w:val="004566DB"/>
    <w:rsid w:val="00500E37"/>
    <w:rsid w:val="00660367"/>
    <w:rsid w:val="006E49B2"/>
    <w:rsid w:val="007230E8"/>
    <w:rsid w:val="00746437"/>
    <w:rsid w:val="007A2ED1"/>
    <w:rsid w:val="007F7D16"/>
    <w:rsid w:val="008045AB"/>
    <w:rsid w:val="0084032B"/>
    <w:rsid w:val="00847CA1"/>
    <w:rsid w:val="008A2D31"/>
    <w:rsid w:val="008E6B7F"/>
    <w:rsid w:val="008F42F8"/>
    <w:rsid w:val="00966009"/>
    <w:rsid w:val="009E750D"/>
    <w:rsid w:val="00A33B15"/>
    <w:rsid w:val="00A525E1"/>
    <w:rsid w:val="00B513E5"/>
    <w:rsid w:val="00BC4C71"/>
    <w:rsid w:val="00CF7FAC"/>
    <w:rsid w:val="00D0080A"/>
    <w:rsid w:val="00DA42AE"/>
    <w:rsid w:val="00DA589F"/>
    <w:rsid w:val="00E46D0C"/>
    <w:rsid w:val="00ED0E83"/>
    <w:rsid w:val="00ED4FC9"/>
    <w:rsid w:val="00F13E91"/>
    <w:rsid w:val="00FA0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064B"/>
  <w15:chartTrackingRefBased/>
  <w15:docId w15:val="{44976FFF-1A1A-1A4B-8098-4D41CC9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A09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FA09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A098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A098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A098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A098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A098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A098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A098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098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FA098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A098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A098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A098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A098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A098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A098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A098D"/>
    <w:rPr>
      <w:rFonts w:eastAsiaTheme="majorEastAsia" w:cstheme="majorBidi"/>
      <w:color w:val="272727" w:themeColor="text1" w:themeTint="D8"/>
    </w:rPr>
  </w:style>
  <w:style w:type="paragraph" w:styleId="Titolo">
    <w:name w:val="Title"/>
    <w:basedOn w:val="Normale"/>
    <w:next w:val="Normale"/>
    <w:link w:val="TitoloCarattere"/>
    <w:uiPriority w:val="10"/>
    <w:qFormat/>
    <w:rsid w:val="00FA098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A098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A098D"/>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A098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A098D"/>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FA098D"/>
    <w:rPr>
      <w:i/>
      <w:iCs/>
      <w:color w:val="404040" w:themeColor="text1" w:themeTint="BF"/>
    </w:rPr>
  </w:style>
  <w:style w:type="paragraph" w:styleId="Paragrafoelenco">
    <w:name w:val="List Paragraph"/>
    <w:basedOn w:val="Normale"/>
    <w:uiPriority w:val="34"/>
    <w:qFormat/>
    <w:rsid w:val="00FA098D"/>
    <w:pPr>
      <w:ind w:left="720"/>
      <w:contextualSpacing/>
    </w:pPr>
  </w:style>
  <w:style w:type="character" w:styleId="Enfasiintensa">
    <w:name w:val="Intense Emphasis"/>
    <w:basedOn w:val="Carpredefinitoparagrafo"/>
    <w:uiPriority w:val="21"/>
    <w:qFormat/>
    <w:rsid w:val="00FA098D"/>
    <w:rPr>
      <w:i/>
      <w:iCs/>
      <w:color w:val="0F4761" w:themeColor="accent1" w:themeShade="BF"/>
    </w:rPr>
  </w:style>
  <w:style w:type="paragraph" w:styleId="Citazioneintensa">
    <w:name w:val="Intense Quote"/>
    <w:basedOn w:val="Normale"/>
    <w:next w:val="Normale"/>
    <w:link w:val="CitazioneintensaCarattere"/>
    <w:uiPriority w:val="30"/>
    <w:qFormat/>
    <w:rsid w:val="00FA09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A098D"/>
    <w:rPr>
      <w:i/>
      <w:iCs/>
      <w:color w:val="0F4761" w:themeColor="accent1" w:themeShade="BF"/>
    </w:rPr>
  </w:style>
  <w:style w:type="character" w:styleId="Riferimentointenso">
    <w:name w:val="Intense Reference"/>
    <w:basedOn w:val="Carpredefinitoparagrafo"/>
    <w:uiPriority w:val="32"/>
    <w:qFormat/>
    <w:rsid w:val="00FA098D"/>
    <w:rPr>
      <w:b/>
      <w:bCs/>
      <w:smallCaps/>
      <w:color w:val="0F4761" w:themeColor="accent1" w:themeShade="BF"/>
      <w:spacing w:val="5"/>
    </w:rPr>
  </w:style>
  <w:style w:type="paragraph" w:customStyle="1" w:styleId="utilsstyledtypography-sc-1yp2xd1-0">
    <w:name w:val="utils__styledtypography-sc-1yp2xd1-0"/>
    <w:basedOn w:val="Normale"/>
    <w:rsid w:val="00847CA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uthorstyledauthorname-sc-wzv1n4-6">
    <w:name w:val="authorstyled__authorname-sc-wzv1n4-6"/>
    <w:basedOn w:val="Carpredefinitoparagrafo"/>
    <w:rsid w:val="00847CA1"/>
  </w:style>
  <w:style w:type="paragraph" w:customStyle="1" w:styleId="typographyparagraph-sc-numijp-1">
    <w:name w:val="typography__paragraph-sc-numijp-1"/>
    <w:basedOn w:val="Normale"/>
    <w:rsid w:val="00847CA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nfasicorsivo">
    <w:name w:val="Emphasis"/>
    <w:basedOn w:val="Carpredefinitoparagrafo"/>
    <w:uiPriority w:val="20"/>
    <w:qFormat/>
    <w:rsid w:val="00847CA1"/>
    <w:rPr>
      <w:i/>
      <w:iCs/>
    </w:rPr>
  </w:style>
  <w:style w:type="character" w:styleId="Enfasigrassetto">
    <w:name w:val="Strong"/>
    <w:basedOn w:val="Carpredefinitoparagrafo"/>
    <w:uiPriority w:val="22"/>
    <w:qFormat/>
    <w:rsid w:val="00847CA1"/>
    <w:rPr>
      <w:b/>
      <w:bCs/>
    </w:rPr>
  </w:style>
  <w:style w:type="character" w:styleId="Collegamentoipertestuale">
    <w:name w:val="Hyperlink"/>
    <w:basedOn w:val="Carpredefinitoparagrafo"/>
    <w:uiPriority w:val="99"/>
    <w:semiHidden/>
    <w:unhideWhenUsed/>
    <w:rsid w:val="00847CA1"/>
    <w:rPr>
      <w:color w:val="0000FF"/>
      <w:u w:val="single"/>
    </w:rPr>
  </w:style>
  <w:style w:type="paragraph" w:styleId="Intestazione">
    <w:name w:val="header"/>
    <w:basedOn w:val="Normale"/>
    <w:link w:val="IntestazioneCarattere"/>
    <w:uiPriority w:val="99"/>
    <w:unhideWhenUsed/>
    <w:rsid w:val="007F7D16"/>
    <w:pPr>
      <w:tabs>
        <w:tab w:val="center" w:pos="4513"/>
        <w:tab w:val="right" w:pos="9026"/>
      </w:tabs>
    </w:pPr>
  </w:style>
  <w:style w:type="character" w:customStyle="1" w:styleId="IntestazioneCarattere">
    <w:name w:val="Intestazione Carattere"/>
    <w:basedOn w:val="Carpredefinitoparagrafo"/>
    <w:link w:val="Intestazione"/>
    <w:uiPriority w:val="99"/>
    <w:rsid w:val="007F7D16"/>
  </w:style>
  <w:style w:type="paragraph" w:styleId="Pidipagina">
    <w:name w:val="footer"/>
    <w:basedOn w:val="Normale"/>
    <w:link w:val="PidipaginaCarattere"/>
    <w:uiPriority w:val="99"/>
    <w:unhideWhenUsed/>
    <w:rsid w:val="007F7D16"/>
    <w:pPr>
      <w:tabs>
        <w:tab w:val="center" w:pos="4513"/>
        <w:tab w:val="right" w:pos="9026"/>
      </w:tabs>
    </w:pPr>
  </w:style>
  <w:style w:type="character" w:customStyle="1" w:styleId="PidipaginaCarattere">
    <w:name w:val="Piè di pagina Carattere"/>
    <w:basedOn w:val="Carpredefinitoparagrafo"/>
    <w:link w:val="Pidipagina"/>
    <w:uiPriority w:val="99"/>
    <w:rsid w:val="007F7D16"/>
  </w:style>
  <w:style w:type="paragraph" w:styleId="Revisione">
    <w:name w:val="Revision"/>
    <w:hidden/>
    <w:uiPriority w:val="99"/>
    <w:semiHidden/>
    <w:rsid w:val="0020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99716">
      <w:bodyDiv w:val="1"/>
      <w:marLeft w:val="0"/>
      <w:marRight w:val="0"/>
      <w:marTop w:val="0"/>
      <w:marBottom w:val="0"/>
      <w:divBdr>
        <w:top w:val="none" w:sz="0" w:space="0" w:color="auto"/>
        <w:left w:val="none" w:sz="0" w:space="0" w:color="auto"/>
        <w:bottom w:val="none" w:sz="0" w:space="0" w:color="auto"/>
        <w:right w:val="none" w:sz="0" w:space="0" w:color="auto"/>
      </w:divBdr>
      <w:divsChild>
        <w:div w:id="1072504842">
          <w:marLeft w:val="0"/>
          <w:marRight w:val="0"/>
          <w:marTop w:val="0"/>
          <w:marBottom w:val="0"/>
          <w:divBdr>
            <w:top w:val="none" w:sz="0" w:space="0" w:color="auto"/>
            <w:left w:val="none" w:sz="0" w:space="0" w:color="auto"/>
            <w:bottom w:val="none" w:sz="0" w:space="0" w:color="auto"/>
            <w:right w:val="none" w:sz="0" w:space="0" w:color="auto"/>
          </w:divBdr>
          <w:divsChild>
            <w:div w:id="1765957382">
              <w:marLeft w:val="0"/>
              <w:marRight w:val="0"/>
              <w:marTop w:val="0"/>
              <w:marBottom w:val="0"/>
              <w:divBdr>
                <w:top w:val="none" w:sz="0" w:space="0" w:color="auto"/>
                <w:left w:val="none" w:sz="0" w:space="0" w:color="auto"/>
                <w:bottom w:val="none" w:sz="0" w:space="0" w:color="auto"/>
                <w:right w:val="none" w:sz="0" w:space="0" w:color="auto"/>
              </w:divBdr>
            </w:div>
            <w:div w:id="2139950142">
              <w:marLeft w:val="0"/>
              <w:marRight w:val="0"/>
              <w:marTop w:val="0"/>
              <w:marBottom w:val="0"/>
              <w:divBdr>
                <w:top w:val="none" w:sz="0" w:space="0" w:color="auto"/>
                <w:left w:val="none" w:sz="0" w:space="0" w:color="auto"/>
                <w:bottom w:val="none" w:sz="0" w:space="0" w:color="auto"/>
                <w:right w:val="none" w:sz="0" w:space="0" w:color="auto"/>
              </w:divBdr>
            </w:div>
          </w:divsChild>
        </w:div>
        <w:div w:id="576861669">
          <w:marLeft w:val="-180"/>
          <w:marRight w:val="-180"/>
          <w:marTop w:val="0"/>
          <w:marBottom w:val="0"/>
          <w:divBdr>
            <w:top w:val="none" w:sz="0" w:space="0" w:color="auto"/>
            <w:left w:val="none" w:sz="0" w:space="0" w:color="auto"/>
            <w:bottom w:val="none" w:sz="0" w:space="0" w:color="auto"/>
            <w:right w:val="none" w:sz="0" w:space="0" w:color="auto"/>
          </w:divBdr>
          <w:divsChild>
            <w:div w:id="863010245">
              <w:marLeft w:val="0"/>
              <w:marRight w:val="0"/>
              <w:marTop w:val="0"/>
              <w:marBottom w:val="0"/>
              <w:divBdr>
                <w:top w:val="none" w:sz="0" w:space="0" w:color="auto"/>
                <w:left w:val="none" w:sz="0" w:space="0" w:color="auto"/>
                <w:bottom w:val="none" w:sz="0" w:space="0" w:color="auto"/>
                <w:right w:val="none" w:sz="0" w:space="0" w:color="auto"/>
              </w:divBdr>
              <w:divsChild>
                <w:div w:id="1329557239">
                  <w:marLeft w:val="-180"/>
                  <w:marRight w:val="-180"/>
                  <w:marTop w:val="0"/>
                  <w:marBottom w:val="0"/>
                  <w:divBdr>
                    <w:top w:val="none" w:sz="0" w:space="0" w:color="auto"/>
                    <w:left w:val="none" w:sz="0" w:space="0" w:color="auto"/>
                    <w:bottom w:val="none" w:sz="0" w:space="0" w:color="auto"/>
                    <w:right w:val="none" w:sz="0" w:space="0" w:color="auto"/>
                  </w:divBdr>
                  <w:divsChild>
                    <w:div w:id="912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42189">
      <w:bodyDiv w:val="1"/>
      <w:marLeft w:val="0"/>
      <w:marRight w:val="0"/>
      <w:marTop w:val="0"/>
      <w:marBottom w:val="0"/>
      <w:divBdr>
        <w:top w:val="none" w:sz="0" w:space="0" w:color="auto"/>
        <w:left w:val="none" w:sz="0" w:space="0" w:color="auto"/>
        <w:bottom w:val="none" w:sz="0" w:space="0" w:color="auto"/>
        <w:right w:val="none" w:sz="0" w:space="0" w:color="auto"/>
      </w:divBdr>
      <w:divsChild>
        <w:div w:id="32271088">
          <w:marLeft w:val="0"/>
          <w:marRight w:val="0"/>
          <w:marTop w:val="0"/>
          <w:marBottom w:val="60"/>
          <w:divBdr>
            <w:top w:val="none" w:sz="0" w:space="0" w:color="auto"/>
            <w:left w:val="none" w:sz="0" w:space="0" w:color="auto"/>
            <w:bottom w:val="none" w:sz="0" w:space="0" w:color="auto"/>
            <w:right w:val="none" w:sz="0" w:space="0" w:color="auto"/>
          </w:divBdr>
        </w:div>
      </w:divsChild>
    </w:div>
    <w:div w:id="1177844316">
      <w:bodyDiv w:val="1"/>
      <w:marLeft w:val="0"/>
      <w:marRight w:val="0"/>
      <w:marTop w:val="0"/>
      <w:marBottom w:val="0"/>
      <w:divBdr>
        <w:top w:val="none" w:sz="0" w:space="0" w:color="auto"/>
        <w:left w:val="none" w:sz="0" w:space="0" w:color="auto"/>
        <w:bottom w:val="none" w:sz="0" w:space="0" w:color="auto"/>
        <w:right w:val="none" w:sz="0" w:space="0" w:color="auto"/>
      </w:divBdr>
      <w:divsChild>
        <w:div w:id="832569372">
          <w:marLeft w:val="-180"/>
          <w:marRight w:val="-180"/>
          <w:marTop w:val="0"/>
          <w:marBottom w:val="0"/>
          <w:divBdr>
            <w:top w:val="none" w:sz="0" w:space="0" w:color="auto"/>
            <w:left w:val="none" w:sz="0" w:space="0" w:color="auto"/>
            <w:bottom w:val="none" w:sz="0" w:space="0" w:color="auto"/>
            <w:right w:val="none" w:sz="0" w:space="0" w:color="auto"/>
          </w:divBdr>
          <w:divsChild>
            <w:div w:id="10234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384">
      <w:bodyDiv w:val="1"/>
      <w:marLeft w:val="0"/>
      <w:marRight w:val="0"/>
      <w:marTop w:val="0"/>
      <w:marBottom w:val="0"/>
      <w:divBdr>
        <w:top w:val="none" w:sz="0" w:space="0" w:color="auto"/>
        <w:left w:val="none" w:sz="0" w:space="0" w:color="auto"/>
        <w:bottom w:val="none" w:sz="0" w:space="0" w:color="auto"/>
        <w:right w:val="none" w:sz="0" w:space="0" w:color="auto"/>
      </w:divBdr>
    </w:div>
    <w:div w:id="1905098498">
      <w:bodyDiv w:val="1"/>
      <w:marLeft w:val="0"/>
      <w:marRight w:val="0"/>
      <w:marTop w:val="0"/>
      <w:marBottom w:val="0"/>
      <w:divBdr>
        <w:top w:val="none" w:sz="0" w:space="0" w:color="auto"/>
        <w:left w:val="none" w:sz="0" w:space="0" w:color="auto"/>
        <w:bottom w:val="none" w:sz="0" w:space="0" w:color="auto"/>
        <w:right w:val="none" w:sz="0" w:space="0" w:color="auto"/>
      </w:divBdr>
      <w:divsChild>
        <w:div w:id="176850312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1182</Words>
  <Characters>6742</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Sarah Tuggey</dc:creator>
  <cp:keywords/>
  <dc:description/>
  <cp:lastModifiedBy>Diana Ferla</cp:lastModifiedBy>
  <cp:revision>5</cp:revision>
  <dcterms:created xsi:type="dcterms:W3CDTF">2023-10-03T12:59:00Z</dcterms:created>
  <dcterms:modified xsi:type="dcterms:W3CDTF">2023-10-05T07:47:00Z</dcterms:modified>
</cp:coreProperties>
</file>